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Lines="100" w:afterLines="100" w:line="500" w:lineRule="exact"/>
        <w:rPr>
          <w:rFonts w:hAnsi="华文中宋"/>
          <w:color w:val="auto"/>
          <w:szCs w:val="44"/>
        </w:rPr>
      </w:pPr>
      <w:r>
        <w:rPr>
          <w:rFonts w:hint="eastAsia" w:hAnsi="华文中宋"/>
          <w:color w:val="auto"/>
          <w:szCs w:val="44"/>
        </w:rPr>
        <w:t>北京市朝阳区黑庄户地区办事处</w:t>
      </w:r>
    </w:p>
    <w:p>
      <w:pPr>
        <w:pStyle w:val="3"/>
        <w:adjustRightInd w:val="0"/>
        <w:snapToGrid w:val="0"/>
        <w:spacing w:beforeLines="100" w:afterLines="100" w:line="500" w:lineRule="exact"/>
        <w:rPr>
          <w:rFonts w:hAnsi="华文中宋"/>
          <w:color w:val="auto"/>
          <w:szCs w:val="44"/>
        </w:rPr>
      </w:pPr>
      <w:r>
        <w:rPr>
          <w:rFonts w:hint="eastAsia" w:hAnsi="华文中宋"/>
          <w:color w:val="auto"/>
          <w:szCs w:val="44"/>
        </w:rPr>
        <w:t>201</w:t>
      </w:r>
      <w:r>
        <w:rPr>
          <w:rFonts w:hint="eastAsia" w:hAnsi="华文中宋"/>
          <w:color w:val="auto"/>
          <w:szCs w:val="44"/>
          <w:lang w:val="en-US" w:eastAsia="zh-CN"/>
        </w:rPr>
        <w:t>8</w:t>
      </w:r>
      <w:r>
        <w:rPr>
          <w:rFonts w:hint="eastAsia" w:hAnsi="华文中宋"/>
          <w:color w:val="auto"/>
          <w:szCs w:val="44"/>
        </w:rPr>
        <w:t>年政府信息公开工作年度报告</w:t>
      </w:r>
    </w:p>
    <w:p>
      <w:pPr>
        <w:widowControl/>
        <w:spacing w:line="600" w:lineRule="exact"/>
        <w:ind w:firstLine="640" w:firstLineChars="200"/>
        <w:rPr>
          <w:rFonts w:ascii="仿宋_GB2312" w:hAnsi="宋体" w:eastAsia="仿宋_GB2312"/>
          <w:sz w:val="32"/>
          <w:szCs w:val="32"/>
        </w:rPr>
      </w:pP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sz w:val="32"/>
          <w:szCs w:val="32"/>
        </w:rPr>
        <w:t>本报告是根据《中华人民共和国政府信息公开条例》</w:t>
      </w:r>
      <w:r>
        <w:rPr>
          <w:rFonts w:hint="eastAsia" w:ascii="仿宋_GB2312" w:hAnsi="宋体" w:eastAsia="仿宋_GB2312" w:cs="宋体"/>
          <w:color w:val="000000"/>
          <w:kern w:val="0"/>
          <w:sz w:val="32"/>
          <w:szCs w:val="32"/>
        </w:rPr>
        <w:t>（</w:t>
      </w:r>
      <w:r>
        <w:rPr>
          <w:rFonts w:hint="eastAsia" w:ascii="仿宋_GB2312" w:hAnsi="宋体" w:eastAsia="仿宋_GB2312"/>
          <w:sz w:val="32"/>
          <w:szCs w:val="32"/>
        </w:rPr>
        <w:t>以下简称《条例》）要求</w:t>
      </w:r>
      <w:r>
        <w:rPr>
          <w:rFonts w:hint="eastAsia" w:ascii="仿宋_GB2312" w:hAnsi="宋体" w:eastAsia="仿宋_GB2312"/>
          <w:color w:val="000000"/>
          <w:sz w:val="32"/>
          <w:szCs w:val="32"/>
        </w:rPr>
        <w:t>，由北京市</w:t>
      </w:r>
      <w:r>
        <w:rPr>
          <w:rFonts w:hint="eastAsia" w:ascii="仿宋_GB2312" w:hAnsi="宋体" w:eastAsia="仿宋_GB2312" w:cs="宋体"/>
          <w:color w:val="000000"/>
          <w:kern w:val="0"/>
          <w:sz w:val="32"/>
          <w:szCs w:val="32"/>
        </w:rPr>
        <w:t>朝阳区黑庄户地区办事处编制的20</w:t>
      </w:r>
      <w:r>
        <w:rPr>
          <w:rFonts w:hint="eastAsia" w:ascii="仿宋_GB2312" w:hAnsi="宋体" w:eastAsia="仿宋_GB2312" w:cs="宋体"/>
          <w:color w:val="000000"/>
          <w:kern w:val="0"/>
          <w:sz w:val="32"/>
          <w:szCs w:val="32"/>
          <w:lang w:val="en-US" w:eastAsia="zh-CN"/>
        </w:rPr>
        <w:t>18</w:t>
      </w:r>
      <w:r>
        <w:rPr>
          <w:rFonts w:hint="eastAsia" w:ascii="仿宋_GB2312" w:hAnsi="宋体" w:eastAsia="仿宋_GB2312" w:cs="宋体"/>
          <w:color w:val="000000"/>
          <w:kern w:val="0"/>
          <w:sz w:val="32"/>
          <w:szCs w:val="32"/>
        </w:rPr>
        <w:t>年度政府信息公开年度报告。</w:t>
      </w:r>
    </w:p>
    <w:p>
      <w:pPr>
        <w:widowControl/>
        <w:spacing w:line="600" w:lineRule="exact"/>
        <w:ind w:firstLine="640" w:firstLineChars="200"/>
        <w:rPr>
          <w:rFonts w:ascii="仿宋_GB2312" w:hAnsi="宋体" w:eastAsia="仿宋_GB2312"/>
          <w:color w:val="000000"/>
          <w:kern w:val="0"/>
          <w:sz w:val="32"/>
        </w:rPr>
      </w:pPr>
      <w:r>
        <w:rPr>
          <w:rFonts w:hint="eastAsia" w:ascii="仿宋_GB2312" w:hAnsi="宋体" w:eastAsia="仿宋_GB2312" w:cs="宋体"/>
          <w:color w:val="000000"/>
          <w:kern w:val="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w:t>
      </w:r>
      <w:r>
        <w:rPr>
          <w:rFonts w:hint="eastAsia" w:ascii="仿宋_GB2312" w:hAnsi="宋体" w:eastAsia="仿宋_GB2312" w:cs="宋体"/>
          <w:kern w:val="0"/>
          <w:sz w:val="32"/>
          <w:szCs w:val="32"/>
        </w:rPr>
        <w:t>六</w:t>
      </w:r>
      <w:r>
        <w:rPr>
          <w:rFonts w:hint="eastAsia" w:ascii="仿宋_GB2312" w:hAnsi="宋体" w:eastAsia="仿宋_GB2312" w:cs="宋体"/>
          <w:color w:val="000000"/>
          <w:kern w:val="0"/>
          <w:sz w:val="32"/>
          <w:szCs w:val="32"/>
        </w:rPr>
        <w:t>部分内容。本报告中所列数据的统计期限自201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年1月1日起，至201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年12月31日止。本报告的电子版可在朝阳区政府网站（</w:t>
      </w:r>
      <w:r>
        <w:fldChar w:fldCharType="begin"/>
      </w:r>
      <w:r>
        <w:instrText xml:space="preserve"> HYPERLINK "http://xxgk.bjchy.gov.cn/" </w:instrText>
      </w:r>
      <w:r>
        <w:fldChar w:fldCharType="separate"/>
      </w:r>
      <w:r>
        <w:rPr>
          <w:rStyle w:val="10"/>
          <w:rFonts w:hint="eastAsia" w:ascii="仿宋_GB2312" w:hAnsi="宋体" w:eastAsia="仿宋_GB2312" w:cs="宋体"/>
          <w:color w:val="auto"/>
          <w:kern w:val="0"/>
          <w:sz w:val="32"/>
          <w:szCs w:val="32"/>
        </w:rPr>
        <w:t>http://xxgk.bjchy.gov.cn/</w:t>
      </w:r>
      <w:r>
        <w:rPr>
          <w:rStyle w:val="10"/>
          <w:rFonts w:hint="eastAsia" w:ascii="仿宋_GB2312" w:hAnsi="宋体" w:eastAsia="仿宋_GB2312" w:cs="宋体"/>
          <w:color w:val="auto"/>
          <w:kern w:val="0"/>
          <w:sz w:val="32"/>
          <w:szCs w:val="32"/>
        </w:rPr>
        <w:fldChar w:fldCharType="end"/>
      </w:r>
      <w:r>
        <w:rPr>
          <w:rFonts w:hint="eastAsia" w:ascii="仿宋_GB2312" w:hAnsi="宋体" w:eastAsia="仿宋_GB2312" w:cs="宋体"/>
          <w:color w:val="000000"/>
          <w:kern w:val="0"/>
          <w:sz w:val="32"/>
          <w:szCs w:val="32"/>
        </w:rPr>
        <w:t>）下载。如对报告有任何疑问，请联系：</w:t>
      </w:r>
      <w:r>
        <w:rPr>
          <w:rFonts w:hint="eastAsia" w:ascii="仿宋_GB2312" w:hAnsi="宋体" w:eastAsia="仿宋_GB2312"/>
          <w:color w:val="000000"/>
          <w:kern w:val="0"/>
          <w:sz w:val="32"/>
        </w:rPr>
        <w:t>黑庄户地区办公室</w:t>
      </w:r>
      <w:r>
        <w:rPr>
          <w:rFonts w:hint="eastAsia" w:ascii="仿宋_GB2312" w:hAnsi="宋体" w:eastAsia="仿宋_GB2312" w:cs="宋体"/>
          <w:color w:val="000000"/>
          <w:kern w:val="0"/>
          <w:sz w:val="32"/>
          <w:szCs w:val="32"/>
        </w:rPr>
        <w:t>，联系电话：8538</w:t>
      </w:r>
      <w:r>
        <w:rPr>
          <w:rFonts w:hint="eastAsia" w:ascii="仿宋_GB2312" w:hAnsi="宋体" w:eastAsia="仿宋_GB2312" w:cs="宋体"/>
          <w:color w:val="000000"/>
          <w:kern w:val="0"/>
          <w:sz w:val="32"/>
          <w:szCs w:val="32"/>
          <w:lang w:val="en-US" w:eastAsia="zh-CN"/>
        </w:rPr>
        <w:t>3677</w:t>
      </w:r>
      <w:r>
        <w:rPr>
          <w:rFonts w:hint="eastAsia" w:ascii="仿宋_GB2312" w:hAnsi="宋体" w:eastAsia="仿宋_GB2312" w:cs="宋体"/>
          <w:color w:val="000000"/>
          <w:kern w:val="0"/>
          <w:sz w:val="32"/>
          <w:szCs w:val="32"/>
        </w:rPr>
        <w:t>。</w:t>
      </w:r>
    </w:p>
    <w:p>
      <w:pPr>
        <w:widowControl/>
        <w:spacing w:beforeLines="100" w:afterLines="100" w:line="560" w:lineRule="exact"/>
        <w:ind w:firstLine="640" w:firstLineChars="200"/>
        <w:jc w:val="center"/>
        <w:outlineLvl w:val="0"/>
        <w:rPr>
          <w:rFonts w:ascii="黑体" w:hAnsi="宋体" w:eastAsia="黑体" w:cs="宋体"/>
          <w:color w:val="000000"/>
          <w:kern w:val="0"/>
          <w:sz w:val="32"/>
          <w:szCs w:val="32"/>
        </w:rPr>
      </w:pPr>
    </w:p>
    <w:p>
      <w:pPr>
        <w:widowControl/>
        <w:spacing w:beforeLines="100" w:afterLines="100" w:line="560" w:lineRule="exact"/>
        <w:ind w:firstLine="640" w:firstLineChars="200"/>
        <w:jc w:val="center"/>
        <w:outlineLvl w:val="0"/>
        <w:rPr>
          <w:rFonts w:ascii="黑体" w:hAnsi="宋体" w:eastAsia="黑体" w:cs="宋体"/>
          <w:color w:val="000000"/>
          <w:kern w:val="0"/>
          <w:sz w:val="32"/>
          <w:szCs w:val="32"/>
        </w:rPr>
      </w:pPr>
    </w:p>
    <w:p>
      <w:pPr>
        <w:widowControl/>
        <w:spacing w:beforeLines="100" w:afterLines="100" w:line="560" w:lineRule="exact"/>
        <w:ind w:firstLine="640" w:firstLineChars="200"/>
        <w:jc w:val="center"/>
        <w:outlineLvl w:val="0"/>
        <w:rPr>
          <w:rFonts w:ascii="黑体" w:hAnsi="宋体" w:eastAsia="黑体" w:cs="宋体"/>
          <w:color w:val="000000"/>
          <w:kern w:val="0"/>
          <w:sz w:val="32"/>
          <w:szCs w:val="32"/>
        </w:rPr>
      </w:pPr>
    </w:p>
    <w:p>
      <w:pPr>
        <w:widowControl/>
        <w:spacing w:beforeLines="100" w:afterLines="100" w:line="560" w:lineRule="exact"/>
        <w:ind w:firstLine="640" w:firstLineChars="200"/>
        <w:jc w:val="center"/>
        <w:outlineLvl w:val="0"/>
        <w:rPr>
          <w:rFonts w:ascii="黑体" w:hAnsi="宋体" w:eastAsia="黑体" w:cs="宋体"/>
          <w:color w:val="000000"/>
          <w:kern w:val="0"/>
          <w:sz w:val="32"/>
          <w:szCs w:val="32"/>
        </w:rPr>
      </w:pPr>
    </w:p>
    <w:p>
      <w:pPr>
        <w:widowControl/>
        <w:spacing w:beforeLines="100" w:afterLines="100" w:line="560" w:lineRule="exact"/>
        <w:ind w:firstLine="640" w:firstLineChars="200"/>
        <w:jc w:val="center"/>
        <w:outlineLvl w:val="0"/>
        <w:rPr>
          <w:rFonts w:ascii="黑体" w:hAnsi="宋体" w:eastAsia="黑体" w:cs="宋体"/>
          <w:color w:val="000000"/>
          <w:kern w:val="0"/>
          <w:sz w:val="32"/>
          <w:szCs w:val="32"/>
        </w:rPr>
      </w:pPr>
    </w:p>
    <w:p>
      <w:pPr>
        <w:widowControl/>
        <w:spacing w:beforeLines="100" w:afterLines="100" w:line="560" w:lineRule="exact"/>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一、概述</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w:t>
      </w:r>
      <w:r>
        <w:rPr>
          <w:rFonts w:hint="eastAsia" w:ascii="仿宋_GB2312" w:hAnsi="宋体" w:eastAsia="仿宋_GB2312"/>
          <w:kern w:val="0"/>
          <w:sz w:val="32"/>
        </w:rPr>
        <w:t>我单位继续推进政府信息公开工作。我单位</w:t>
      </w:r>
      <w:r>
        <w:rPr>
          <w:rFonts w:hint="eastAsia" w:ascii="仿宋_GB2312" w:hAnsi="宋体" w:eastAsia="仿宋_GB2312"/>
          <w:kern w:val="0"/>
          <w:sz w:val="32"/>
          <w:lang w:eastAsia="zh-CN"/>
        </w:rPr>
        <w:t>负责信息公开的主责部门是乡办公室，</w:t>
      </w:r>
      <w:r>
        <w:rPr>
          <w:rFonts w:hint="eastAsia" w:ascii="仿宋_GB2312" w:hAnsi="宋体" w:eastAsia="仿宋_GB2312"/>
          <w:kern w:val="0"/>
          <w:sz w:val="32"/>
        </w:rPr>
        <w:t>宣传科</w:t>
      </w:r>
      <w:r>
        <w:rPr>
          <w:rFonts w:hint="eastAsia" w:ascii="仿宋_GB2312" w:hAnsi="宋体" w:eastAsia="仿宋_GB2312"/>
          <w:kern w:val="0"/>
          <w:sz w:val="32"/>
          <w:lang w:eastAsia="zh-CN"/>
        </w:rPr>
        <w:t>、社保所等相关部门和单位全力配合</w:t>
      </w:r>
      <w:r>
        <w:rPr>
          <w:rFonts w:hint="eastAsia" w:ascii="仿宋_GB2312" w:hAnsi="宋体" w:eastAsia="仿宋_GB2312"/>
          <w:kern w:val="0"/>
          <w:sz w:val="32"/>
        </w:rPr>
        <w:t>。在</w:t>
      </w:r>
      <w:r>
        <w:rPr>
          <w:rFonts w:hint="eastAsia" w:ascii="仿宋_GB2312" w:hAnsi="宋体" w:eastAsia="仿宋_GB2312"/>
          <w:kern w:val="0"/>
          <w:sz w:val="32"/>
          <w:lang w:eastAsia="zh-CN"/>
        </w:rPr>
        <w:t>人员保障上，</w:t>
      </w:r>
      <w:r>
        <w:rPr>
          <w:rFonts w:hint="eastAsia" w:ascii="仿宋_GB2312" w:hAnsi="宋体" w:eastAsia="仿宋_GB2312"/>
          <w:kern w:val="0"/>
          <w:sz w:val="32"/>
        </w:rPr>
        <w:t>配备</w:t>
      </w:r>
      <w:r>
        <w:rPr>
          <w:rFonts w:hint="eastAsia" w:ascii="仿宋_GB2312" w:hAnsi="宋体" w:eastAsia="仿宋_GB2312"/>
          <w:kern w:val="0"/>
          <w:sz w:val="32"/>
          <w:lang w:eastAsia="zh-CN"/>
        </w:rPr>
        <w:t>有</w:t>
      </w:r>
      <w:r>
        <w:rPr>
          <w:rFonts w:hint="eastAsia" w:ascii="仿宋_GB2312" w:hAnsi="宋体" w:eastAsia="仿宋_GB2312"/>
          <w:kern w:val="0"/>
          <w:sz w:val="32"/>
        </w:rPr>
        <w:t>1名专职，1名兼职人员，在为民服务大厅设</w:t>
      </w:r>
      <w:r>
        <w:rPr>
          <w:rFonts w:hint="eastAsia" w:ascii="仿宋_GB2312" w:hAnsi="宋体" w:eastAsia="仿宋_GB2312"/>
          <w:kern w:val="0"/>
          <w:sz w:val="32"/>
          <w:lang w:eastAsia="zh-CN"/>
        </w:rPr>
        <w:t>有</w:t>
      </w:r>
      <w:r>
        <w:rPr>
          <w:rFonts w:hint="eastAsia" w:ascii="仿宋_GB2312" w:hAnsi="宋体" w:eastAsia="仿宋_GB2312"/>
          <w:kern w:val="0"/>
          <w:sz w:val="32"/>
        </w:rPr>
        <w:t>引导人员，负责做好引导、查询等政府信息公开工作。我单位设立了专门的信息申请受理点，并开辟了公共查阅点。</w:t>
      </w:r>
      <w:r>
        <w:rPr>
          <w:rFonts w:hint="eastAsia" w:ascii="仿宋_GB2312" w:hAnsi="宋体" w:eastAsia="仿宋_GB2312"/>
          <w:kern w:val="0"/>
          <w:sz w:val="32"/>
          <w:lang w:eastAsia="zh-CN"/>
        </w:rPr>
        <w:t>结合不断更新的要求和形势，我单位先后组织相关科室政府信息公开人员培训</w:t>
      </w:r>
      <w:r>
        <w:rPr>
          <w:rFonts w:hint="eastAsia" w:ascii="仿宋_GB2312" w:hAnsi="宋体" w:eastAsia="仿宋_GB2312"/>
          <w:kern w:val="0"/>
          <w:sz w:val="32"/>
          <w:lang w:val="en-US" w:eastAsia="zh-CN"/>
        </w:rPr>
        <w:t>30人次，尤其是围绕政府公开工作要点的内容和标准进行及时传达和讲解，提高主动公开的规范化和标准。</w:t>
      </w:r>
      <w:r>
        <w:rPr>
          <w:rFonts w:hint="eastAsia" w:ascii="仿宋_GB2312" w:hAnsi="宋体" w:eastAsia="仿宋_GB2312"/>
          <w:kern w:val="0"/>
          <w:sz w:val="32"/>
        </w:rPr>
        <w:t>截至201</w:t>
      </w:r>
      <w:r>
        <w:rPr>
          <w:rFonts w:hint="eastAsia" w:ascii="仿宋_GB2312" w:hAnsi="宋体" w:eastAsia="仿宋_GB2312"/>
          <w:kern w:val="0"/>
          <w:sz w:val="32"/>
          <w:lang w:val="en-US" w:eastAsia="zh-CN"/>
        </w:rPr>
        <w:t>8</w:t>
      </w:r>
      <w:r>
        <w:rPr>
          <w:rFonts w:hint="eastAsia" w:ascii="仿宋_GB2312" w:hAnsi="宋体" w:eastAsia="仿宋_GB2312"/>
          <w:kern w:val="0"/>
          <w:sz w:val="32"/>
        </w:rPr>
        <w:t>年底，我单位政府信息公开工作运行正常，政府信息公开咨询、申请以及答复工作均得到了顺利开展。</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rPr>
        <w:t>201</w:t>
      </w:r>
      <w:r>
        <w:rPr>
          <w:rFonts w:hint="eastAsia" w:ascii="仿宋_GB2312" w:hAnsi="宋体" w:eastAsia="仿宋_GB2312"/>
          <w:kern w:val="0"/>
          <w:sz w:val="32"/>
          <w:lang w:val="en-US" w:eastAsia="zh-CN"/>
        </w:rPr>
        <w:t>8</w:t>
      </w:r>
      <w:r>
        <w:rPr>
          <w:rFonts w:hint="eastAsia" w:ascii="仿宋_GB2312" w:hAnsi="宋体" w:eastAsia="仿宋_GB2312"/>
          <w:kern w:val="0"/>
          <w:sz w:val="32"/>
        </w:rPr>
        <w:t>年黑庄户地区政务信息公开从完善公开信息方式</w:t>
      </w:r>
      <w:r>
        <w:rPr>
          <w:rFonts w:hint="eastAsia" w:ascii="仿宋_GB2312" w:hAnsi="宋体" w:eastAsia="仿宋_GB2312"/>
          <w:kern w:val="0"/>
          <w:sz w:val="32"/>
          <w:lang w:eastAsia="zh-CN"/>
        </w:rPr>
        <w:t>、丰富公开内容</w:t>
      </w:r>
      <w:r>
        <w:rPr>
          <w:rFonts w:hint="eastAsia" w:ascii="仿宋_GB2312" w:hAnsi="宋体" w:eastAsia="仿宋_GB2312"/>
          <w:kern w:val="0"/>
          <w:sz w:val="32"/>
        </w:rPr>
        <w:t>的角度出发,</w:t>
      </w:r>
      <w:r>
        <w:rPr>
          <w:rFonts w:hint="eastAsia" w:ascii="仿宋_GB2312" w:hAnsi="宋体" w:eastAsia="仿宋_GB2312"/>
          <w:kern w:val="0"/>
          <w:sz w:val="32"/>
          <w:lang w:eastAsia="zh-CN"/>
        </w:rPr>
        <w:t>通过网站、微信公众号、属地公开栏、发放宣传手册等</w:t>
      </w:r>
      <w:r>
        <w:rPr>
          <w:rFonts w:hint="eastAsia" w:ascii="仿宋_GB2312" w:hAnsi="宋体" w:eastAsia="仿宋_GB2312"/>
          <w:kern w:val="0"/>
          <w:sz w:val="32"/>
        </w:rPr>
        <w:t>多种途径</w:t>
      </w:r>
      <w:r>
        <w:rPr>
          <w:rFonts w:hint="eastAsia" w:ascii="仿宋_GB2312" w:hAnsi="宋体" w:eastAsia="仿宋_GB2312"/>
          <w:kern w:val="0"/>
          <w:sz w:val="32"/>
          <w:lang w:eastAsia="zh-CN"/>
        </w:rPr>
        <w:t>进行政府信息的主动</w:t>
      </w:r>
      <w:r>
        <w:rPr>
          <w:rFonts w:hint="eastAsia" w:ascii="仿宋_GB2312" w:hAnsi="宋体" w:eastAsia="仿宋_GB2312"/>
          <w:kern w:val="0"/>
          <w:sz w:val="32"/>
        </w:rPr>
        <w:t>公开，杜绝不公开，努力构建和谐社会，密切政群关系，打造服务型政府，切实提高科学执政、民主执政、依法执政能力，增加政府工作的共开透明度。</w:t>
      </w:r>
    </w:p>
    <w:p>
      <w:pPr>
        <w:widowControl/>
        <w:spacing w:beforeLines="100" w:afterLines="100" w:line="560" w:lineRule="exact"/>
        <w:ind w:firstLine="640" w:firstLineChars="200"/>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二、主动公开情况</w:t>
      </w:r>
    </w:p>
    <w:p>
      <w:pPr>
        <w:widowControl/>
        <w:spacing w:line="560" w:lineRule="exact"/>
        <w:ind w:firstLine="643"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（一）公开情况</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我地区201</w:t>
      </w:r>
      <w:r>
        <w:rPr>
          <w:rFonts w:hint="eastAsia" w:ascii="仿宋_GB2312" w:eastAsia="仿宋_GB2312"/>
          <w:sz w:val="32"/>
          <w:szCs w:val="32"/>
          <w:lang w:val="en-US" w:eastAsia="zh-CN"/>
        </w:rPr>
        <w:t>8</w:t>
      </w:r>
      <w:r>
        <w:rPr>
          <w:rFonts w:hint="eastAsia" w:ascii="仿宋_GB2312" w:eastAsia="仿宋_GB2312"/>
          <w:sz w:val="32"/>
          <w:szCs w:val="32"/>
        </w:rPr>
        <w:t>年共主动公开政府信息</w:t>
      </w:r>
      <w:r>
        <w:rPr>
          <w:rFonts w:hint="eastAsia" w:ascii="仿宋_GB2312" w:eastAsia="仿宋_GB2312"/>
          <w:sz w:val="32"/>
          <w:szCs w:val="32"/>
          <w:lang w:val="en-US" w:eastAsia="zh-CN"/>
        </w:rPr>
        <w:t>543</w:t>
      </w:r>
      <w:r>
        <w:rPr>
          <w:rFonts w:hint="eastAsia" w:ascii="仿宋_GB2312" w:eastAsia="仿宋_GB2312"/>
          <w:sz w:val="32"/>
          <w:szCs w:val="32"/>
        </w:rPr>
        <w:t>条，全文电子化率达100%。按照《朝阳区201</w:t>
      </w:r>
      <w:r>
        <w:rPr>
          <w:rFonts w:hint="eastAsia" w:ascii="仿宋_GB2312" w:eastAsia="仿宋_GB2312"/>
          <w:sz w:val="32"/>
          <w:szCs w:val="32"/>
          <w:lang w:val="en-US" w:eastAsia="zh-CN"/>
        </w:rPr>
        <w:t>8</w:t>
      </w:r>
      <w:r>
        <w:rPr>
          <w:rFonts w:hint="eastAsia" w:ascii="仿宋_GB2312" w:eastAsia="仿宋_GB2312"/>
          <w:sz w:val="32"/>
          <w:szCs w:val="32"/>
        </w:rPr>
        <w:t>年政务公开工作要点》要求，将部门机构职责、主要职责、内设机构、行政流程以及联系方式等进行规范公开，尤其是涉及权力运用的关键部门、关键部位、关键环节，群众关心、社会关注的重要事项等</w:t>
      </w:r>
      <w:r>
        <w:rPr>
          <w:rFonts w:hint="eastAsia" w:ascii="仿宋_GB2312" w:eastAsia="仿宋_GB2312"/>
          <w:sz w:val="32"/>
          <w:szCs w:val="32"/>
          <w:lang w:eastAsia="zh-CN"/>
        </w:rPr>
        <w:t>，仅关于食药安全方面的信息就主动公开</w:t>
      </w:r>
      <w:r>
        <w:rPr>
          <w:rFonts w:hint="eastAsia" w:ascii="仿宋_GB2312" w:eastAsia="仿宋_GB2312"/>
          <w:sz w:val="32"/>
          <w:szCs w:val="32"/>
          <w:lang w:val="en-US" w:eastAsia="zh-CN"/>
        </w:rPr>
        <w:t>71条</w:t>
      </w:r>
      <w:r>
        <w:rPr>
          <w:rFonts w:hint="eastAsia" w:ascii="仿宋_GB2312" w:eastAsia="仿宋_GB2312"/>
          <w:sz w:val="32"/>
          <w:szCs w:val="32"/>
        </w:rPr>
        <w:t>。在涉密方面，严格按照《中华人民共和国保守国家秘密法》对信息逐条进行审核，建立公文属性源头认定机制和政府信息公开保密审查，确保公开的信息不涉密，涉密的信息不公开。</w:t>
      </w:r>
    </w:p>
    <w:p>
      <w:pPr>
        <w:widowControl/>
        <w:spacing w:line="560" w:lineRule="exact"/>
        <w:ind w:firstLine="643"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（二）公开形式</w:t>
      </w:r>
    </w:p>
    <w:p>
      <w:pPr>
        <w:widowControl/>
        <w:spacing w:line="560" w:lineRule="exact"/>
        <w:ind w:firstLine="640" w:firstLineChars="200"/>
        <w:rPr>
          <w:rFonts w:ascii="仿宋_GB2312" w:hAnsi="宋体" w:eastAsia="仿宋_GB2312" w:cs="宋体"/>
          <w:i/>
          <w:color w:val="000000"/>
          <w:kern w:val="0"/>
          <w:sz w:val="32"/>
          <w:szCs w:val="32"/>
        </w:rPr>
      </w:pPr>
      <w:r>
        <w:rPr>
          <w:rFonts w:hint="eastAsia" w:ascii="仿宋_GB2312" w:hAnsi="宋体" w:eastAsia="仿宋_GB2312" w:cs="宋体"/>
          <w:color w:val="000000"/>
          <w:kern w:val="0"/>
          <w:sz w:val="32"/>
          <w:szCs w:val="32"/>
        </w:rPr>
        <w:t>在主动公开的信息中，为方便公众第一时间能看到信息，本单位在主动公开政府信息的形式上做了大量工作。通过</w:t>
      </w:r>
      <w:r>
        <w:rPr>
          <w:rFonts w:hint="eastAsia" w:ascii="仿宋_GB2312" w:hAnsi="宋体" w:eastAsia="仿宋_GB2312" w:cs="宋体"/>
          <w:color w:val="000000"/>
          <w:kern w:val="0"/>
          <w:sz w:val="32"/>
          <w:szCs w:val="32"/>
          <w:lang w:eastAsia="zh-CN"/>
        </w:rPr>
        <w:t>首都之窗的基层动态</w:t>
      </w:r>
      <w:r>
        <w:rPr>
          <w:rFonts w:hint="eastAsia" w:ascii="仿宋_GB2312" w:hAnsi="宋体" w:eastAsia="仿宋_GB2312" w:cs="宋体"/>
          <w:color w:val="000000"/>
          <w:kern w:val="0"/>
          <w:sz w:val="32"/>
          <w:szCs w:val="32"/>
        </w:rPr>
        <w:t>、政府信息公开大厅、微信</w:t>
      </w:r>
      <w:r>
        <w:rPr>
          <w:rFonts w:hint="eastAsia" w:ascii="仿宋_GB2312" w:hAnsi="宋体" w:eastAsia="仿宋_GB2312" w:cs="宋体"/>
          <w:color w:val="000000"/>
          <w:kern w:val="0"/>
          <w:sz w:val="32"/>
          <w:szCs w:val="32"/>
          <w:lang w:eastAsia="zh-CN"/>
        </w:rPr>
        <w:t>公众号</w:t>
      </w:r>
      <w:r>
        <w:rPr>
          <w:rFonts w:hint="eastAsia" w:ascii="仿宋_GB2312" w:hAnsi="宋体" w:eastAsia="仿宋_GB2312" w:cs="宋体"/>
          <w:color w:val="000000"/>
          <w:kern w:val="0"/>
          <w:sz w:val="32"/>
          <w:szCs w:val="32"/>
        </w:rPr>
        <w:t>、基层单位公开栏等形式公开各类政府信息，保障了百姓的知情权和知政权。</w:t>
      </w:r>
      <w:r>
        <w:rPr>
          <w:rFonts w:hint="eastAsia" w:ascii="仿宋_GB2312" w:hAnsi="宋体" w:eastAsia="仿宋_GB2312" w:cs="宋体"/>
          <w:color w:val="000000"/>
          <w:kern w:val="0"/>
          <w:sz w:val="32"/>
          <w:szCs w:val="32"/>
          <w:lang w:eastAsia="zh-CN"/>
        </w:rPr>
        <w:t>今年进一步加大了微信公众号的</w:t>
      </w:r>
      <w:r>
        <w:rPr>
          <w:rFonts w:hint="eastAsia" w:ascii="仿宋_GB2312" w:hAnsi="宋体" w:eastAsia="仿宋_GB2312" w:cs="宋体"/>
          <w:color w:val="000000"/>
          <w:kern w:val="0"/>
          <w:sz w:val="32"/>
          <w:szCs w:val="32"/>
        </w:rPr>
        <w:t>信息更新</w:t>
      </w:r>
      <w:r>
        <w:rPr>
          <w:rFonts w:hint="eastAsia" w:ascii="仿宋_GB2312" w:hAnsi="宋体" w:eastAsia="仿宋_GB2312" w:cs="宋体"/>
          <w:color w:val="000000"/>
          <w:kern w:val="0"/>
          <w:sz w:val="32"/>
          <w:szCs w:val="32"/>
          <w:lang w:eastAsia="zh-CN"/>
        </w:rPr>
        <w:t>力度</w:t>
      </w:r>
      <w:r>
        <w:rPr>
          <w:rFonts w:hint="eastAsia" w:ascii="仿宋_GB2312" w:hAnsi="宋体" w:eastAsia="仿宋_GB2312" w:cs="宋体"/>
          <w:color w:val="000000"/>
          <w:kern w:val="0"/>
          <w:sz w:val="32"/>
          <w:szCs w:val="32"/>
        </w:rPr>
        <w:t>，即产生政府信息及时上传；公开栏的宣传阵地作用充分发挥，办事处21个基层单位对大额资金使用、为民便民服务、社会保障、文化计生工作等关乎百姓生活等内容进行公开公示。其中最常用最受百姓欢迎的是微信</w:t>
      </w:r>
      <w:r>
        <w:rPr>
          <w:rFonts w:hint="eastAsia" w:ascii="仿宋_GB2312" w:hAnsi="宋体" w:eastAsia="仿宋_GB2312" w:cs="宋体"/>
          <w:color w:val="000000"/>
          <w:kern w:val="0"/>
          <w:sz w:val="32"/>
          <w:szCs w:val="32"/>
          <w:lang w:eastAsia="zh-CN"/>
        </w:rPr>
        <w:t>公众号</w:t>
      </w:r>
      <w:r>
        <w:rPr>
          <w:rFonts w:hint="eastAsia" w:ascii="仿宋_GB2312" w:hAnsi="宋体" w:eastAsia="仿宋_GB2312" w:cs="宋体"/>
          <w:color w:val="000000"/>
          <w:kern w:val="0"/>
          <w:sz w:val="32"/>
          <w:szCs w:val="32"/>
        </w:rPr>
        <w:t>，快速、方便、直接，受到地区百姓的普遍欢迎。</w:t>
      </w:r>
    </w:p>
    <w:p>
      <w:pPr>
        <w:widowControl/>
        <w:spacing w:line="560" w:lineRule="exact"/>
        <w:ind w:firstLine="640" w:firstLineChars="200"/>
        <w:rPr>
          <w:rFonts w:ascii="仿宋_GB2312" w:hAnsi="宋体" w:eastAsia="仿宋_GB2312" w:cs="宋体"/>
          <w:i/>
          <w:color w:val="000000"/>
          <w:kern w:val="0"/>
          <w:sz w:val="32"/>
          <w:szCs w:val="32"/>
        </w:rPr>
      </w:pPr>
    </w:p>
    <w:p>
      <w:pPr>
        <w:widowControl/>
        <w:spacing w:beforeLines="100" w:afterLines="100" w:line="560" w:lineRule="exact"/>
        <w:ind w:firstLine="640" w:firstLineChars="200"/>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三、依申请公开情况</w:t>
      </w:r>
    </w:p>
    <w:p>
      <w:pPr>
        <w:widowControl/>
        <w:spacing w:line="560" w:lineRule="exact"/>
        <w:ind w:firstLine="643"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（一）申请情况</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本单位201</w:t>
      </w:r>
      <w:r>
        <w:rPr>
          <w:rFonts w:hint="eastAsia" w:ascii="仿宋_GB2312" w:eastAsia="仿宋_GB2312"/>
          <w:sz w:val="32"/>
          <w:szCs w:val="32"/>
          <w:lang w:val="en-US" w:eastAsia="zh-CN"/>
        </w:rPr>
        <w:t>8</w:t>
      </w:r>
      <w:r>
        <w:rPr>
          <w:rFonts w:hint="eastAsia" w:ascii="仿宋_GB2312" w:eastAsia="仿宋_GB2312"/>
          <w:sz w:val="32"/>
          <w:szCs w:val="32"/>
        </w:rPr>
        <w:t>年度共收到政府信息公开申请</w:t>
      </w:r>
      <w:r>
        <w:rPr>
          <w:rFonts w:hint="eastAsia" w:ascii="仿宋_GB2312" w:eastAsia="仿宋_GB2312"/>
          <w:sz w:val="32"/>
          <w:szCs w:val="32"/>
          <w:lang w:val="en-US" w:eastAsia="zh-CN"/>
        </w:rPr>
        <w:t>3</w:t>
      </w:r>
      <w:r>
        <w:rPr>
          <w:rFonts w:hint="eastAsia" w:ascii="仿宋_GB2312" w:eastAsia="仿宋_GB2312"/>
          <w:sz w:val="32"/>
          <w:szCs w:val="32"/>
        </w:rPr>
        <w:t>件，</w:t>
      </w:r>
      <w:r>
        <w:rPr>
          <w:rFonts w:hint="eastAsia" w:ascii="仿宋_GB2312" w:eastAsia="仿宋_GB2312"/>
          <w:sz w:val="32"/>
          <w:szCs w:val="32"/>
          <w:lang w:eastAsia="zh-CN"/>
        </w:rPr>
        <w:t>其中</w:t>
      </w:r>
      <w:r>
        <w:rPr>
          <w:rFonts w:hint="eastAsia" w:ascii="仿宋_GB2312" w:eastAsia="仿宋_GB2312"/>
          <w:sz w:val="32"/>
          <w:szCs w:val="32"/>
          <w:lang w:val="en-US" w:eastAsia="zh-CN"/>
        </w:rPr>
        <w:t>2</w:t>
      </w:r>
      <w:r>
        <w:rPr>
          <w:rFonts w:hint="eastAsia" w:ascii="仿宋_GB2312" w:eastAsia="仿宋_GB2312"/>
          <w:sz w:val="32"/>
          <w:szCs w:val="32"/>
        </w:rPr>
        <w:t>件按时完成答复</w:t>
      </w:r>
      <w:r>
        <w:rPr>
          <w:rFonts w:hint="eastAsia" w:ascii="仿宋_GB2312" w:eastAsia="仿宋_GB2312"/>
          <w:sz w:val="32"/>
          <w:szCs w:val="32"/>
          <w:lang w:eastAsia="zh-CN"/>
        </w:rPr>
        <w:t>，</w:t>
      </w:r>
      <w:r>
        <w:rPr>
          <w:rFonts w:hint="eastAsia" w:ascii="仿宋_GB2312" w:eastAsia="仿宋_GB2312"/>
          <w:sz w:val="32"/>
          <w:szCs w:val="32"/>
          <w:lang w:val="en-US" w:eastAsia="zh-CN"/>
        </w:rPr>
        <w:t>1件跨年度按时完成答复</w:t>
      </w:r>
      <w:r>
        <w:rPr>
          <w:rFonts w:hint="eastAsia" w:ascii="仿宋_GB2312" w:eastAsia="仿宋_GB2312"/>
          <w:sz w:val="32"/>
          <w:szCs w:val="32"/>
        </w:rPr>
        <w:t>。</w:t>
      </w:r>
    </w:p>
    <w:p>
      <w:pPr>
        <w:widowControl/>
        <w:spacing w:line="560" w:lineRule="exact"/>
        <w:ind w:firstLine="643"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（二）答复情况</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条申请信息，全部按要求答复。其中有</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条属于主动公开范围，告知申请人获知的途径和网址链接；1条属于可以公开的政府信息，向申请人邮寄了答复告知书；</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条属于</w:t>
      </w:r>
      <w:r>
        <w:rPr>
          <w:rFonts w:hint="eastAsia" w:ascii="仿宋_GB2312" w:hAnsi="宋体" w:eastAsia="仿宋_GB2312" w:cs="宋体"/>
          <w:color w:val="000000"/>
          <w:kern w:val="0"/>
          <w:sz w:val="32"/>
          <w:szCs w:val="32"/>
          <w:lang w:eastAsia="zh-CN"/>
        </w:rPr>
        <w:t>申请的</w:t>
      </w:r>
      <w:r>
        <w:rPr>
          <w:rFonts w:hint="eastAsia" w:ascii="仿宋_GB2312" w:hAnsi="宋体" w:eastAsia="仿宋_GB2312" w:cs="宋体"/>
          <w:color w:val="000000"/>
          <w:kern w:val="0"/>
          <w:sz w:val="32"/>
          <w:szCs w:val="32"/>
        </w:rPr>
        <w:t>政府信息</w:t>
      </w:r>
      <w:r>
        <w:rPr>
          <w:rFonts w:hint="eastAsia" w:ascii="仿宋_GB2312" w:hAnsi="宋体" w:eastAsia="仿宋_GB2312" w:cs="宋体"/>
          <w:color w:val="000000"/>
          <w:kern w:val="0"/>
          <w:sz w:val="32"/>
          <w:szCs w:val="32"/>
          <w:lang w:eastAsia="zh-CN"/>
        </w:rPr>
        <w:t>不存在</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条属于非本行政机关政府信息，均已按时限、要求告知申请人。</w:t>
      </w:r>
    </w:p>
    <w:p>
      <w:pPr>
        <w:widowControl/>
        <w:spacing w:line="560" w:lineRule="exact"/>
        <w:ind w:firstLine="640" w:firstLineChars="200"/>
        <w:rPr>
          <w:rFonts w:ascii="仿宋_GB2312" w:hAnsi="宋体" w:eastAsia="仿宋_GB2312" w:cs="宋体"/>
          <w:color w:val="000000"/>
          <w:kern w:val="0"/>
          <w:sz w:val="32"/>
          <w:szCs w:val="32"/>
        </w:rPr>
      </w:pPr>
    </w:p>
    <w:p>
      <w:pPr>
        <w:widowControl/>
        <w:spacing w:line="560" w:lineRule="exact"/>
        <w:jc w:val="center"/>
        <w:rPr>
          <w:rFonts w:ascii="仿宋_GB2312" w:hAnsi="宋体" w:eastAsia="仿宋_GB2312" w:cs="宋体"/>
          <w:color w:val="000000"/>
          <w:kern w:val="0"/>
          <w:sz w:val="32"/>
          <w:szCs w:val="32"/>
        </w:rPr>
      </w:pPr>
      <w:r>
        <w:rPr>
          <w:rFonts w:hint="eastAsia" w:ascii="黑体" w:hAnsi="宋体" w:eastAsia="黑体" w:cs="宋体"/>
          <w:color w:val="000000"/>
          <w:kern w:val="0"/>
          <w:sz w:val="32"/>
          <w:szCs w:val="32"/>
        </w:rPr>
        <w:t>四、行政复议和行政诉讼情况</w:t>
      </w:r>
    </w:p>
    <w:p>
      <w:pPr>
        <w:widowControl/>
        <w:spacing w:line="56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年，针对本单位</w:t>
      </w:r>
      <w:r>
        <w:rPr>
          <w:rFonts w:ascii="仿宋_GB2312" w:hAnsi="宋体" w:eastAsia="仿宋_GB2312" w:cs="宋体"/>
          <w:color w:val="000000"/>
          <w:kern w:val="0"/>
          <w:sz w:val="32"/>
          <w:szCs w:val="32"/>
        </w:rPr>
        <w:t>政府信息公开</w:t>
      </w:r>
      <w:r>
        <w:rPr>
          <w:rFonts w:hint="eastAsia" w:ascii="仿宋_GB2312" w:hAnsi="宋体" w:eastAsia="仿宋_GB2312" w:cs="宋体"/>
          <w:color w:val="000000"/>
          <w:kern w:val="0"/>
          <w:sz w:val="32"/>
          <w:szCs w:val="32"/>
        </w:rPr>
        <w:t>的行政复议申请</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件。</w:t>
      </w:r>
    </w:p>
    <w:p>
      <w:pPr>
        <w:widowControl/>
        <w:spacing w:line="56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年，针对本单位</w:t>
      </w:r>
      <w:r>
        <w:rPr>
          <w:rFonts w:ascii="仿宋_GB2312" w:hAnsi="宋体" w:eastAsia="仿宋_GB2312" w:cs="宋体"/>
          <w:color w:val="000000"/>
          <w:kern w:val="0"/>
          <w:sz w:val="32"/>
          <w:szCs w:val="32"/>
        </w:rPr>
        <w:t>政府信息公开</w:t>
      </w:r>
      <w:r>
        <w:rPr>
          <w:rFonts w:hint="eastAsia" w:ascii="仿宋_GB2312" w:hAnsi="宋体" w:eastAsia="仿宋_GB2312" w:cs="宋体"/>
          <w:color w:val="000000"/>
          <w:kern w:val="0"/>
          <w:sz w:val="32"/>
          <w:szCs w:val="32"/>
        </w:rPr>
        <w:t>的行政诉讼</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件。</w:t>
      </w:r>
    </w:p>
    <w:p>
      <w:pPr>
        <w:widowControl/>
        <w:spacing w:line="560" w:lineRule="exact"/>
        <w:rPr>
          <w:rFonts w:ascii="仿宋_GB2312" w:hAnsi="宋体" w:eastAsia="仿宋_GB2312" w:cs="宋体"/>
          <w:color w:val="000000"/>
          <w:kern w:val="0"/>
          <w:sz w:val="32"/>
          <w:szCs w:val="32"/>
        </w:rPr>
      </w:pPr>
    </w:p>
    <w:p>
      <w:pPr>
        <w:widowControl/>
        <w:spacing w:beforeLines="100" w:afterLines="100" w:line="560" w:lineRule="exact"/>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lang w:eastAsia="zh-CN"/>
        </w:rPr>
        <w:t>五</w:t>
      </w:r>
      <w:r>
        <w:rPr>
          <w:rFonts w:hint="eastAsia" w:ascii="黑体" w:hAnsi="宋体" w:eastAsia="黑体" w:cs="宋体"/>
          <w:color w:val="000000"/>
          <w:kern w:val="0"/>
          <w:sz w:val="32"/>
          <w:szCs w:val="32"/>
        </w:rPr>
        <w:t>、</w:t>
      </w:r>
      <w:r>
        <w:rPr>
          <w:rFonts w:hint="eastAsia" w:ascii="黑体" w:hAnsi="宋体" w:eastAsia="黑体" w:cs="宋体"/>
          <w:color w:val="000000"/>
          <w:kern w:val="0"/>
          <w:sz w:val="32"/>
          <w:szCs w:val="32"/>
          <w:lang w:eastAsia="zh-CN"/>
        </w:rPr>
        <w:t>存在</w:t>
      </w:r>
      <w:bookmarkStart w:id="0" w:name="_GoBack"/>
      <w:bookmarkEnd w:id="0"/>
      <w:r>
        <w:rPr>
          <w:rFonts w:hint="eastAsia" w:ascii="黑体" w:hAnsi="宋体" w:eastAsia="黑体" w:cs="宋体"/>
          <w:color w:val="000000"/>
          <w:kern w:val="0"/>
          <w:sz w:val="32"/>
          <w:szCs w:val="32"/>
        </w:rPr>
        <w:t>主要问题和改进措施</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eastAsia="仿宋_GB2312"/>
          <w:sz w:val="32"/>
          <w:szCs w:val="32"/>
        </w:rPr>
        <w:t>虽然我地区政府信息公开工作在区政府信息公开办的大力指导下，取得了一定成效，但同时存在的问题也是不容忽视的，</w:t>
      </w:r>
      <w:r>
        <w:rPr>
          <w:rFonts w:hint="eastAsia" w:ascii="仿宋_GB2312" w:hAnsi="宋体" w:eastAsia="仿宋_GB2312"/>
          <w:color w:val="000000"/>
          <w:kern w:val="0"/>
          <w:sz w:val="32"/>
          <w:szCs w:val="32"/>
        </w:rPr>
        <w:t>主要表现在</w:t>
      </w:r>
      <w:r>
        <w:rPr>
          <w:rFonts w:hint="eastAsia" w:ascii="仿宋_GB2312" w:hAnsi="宋体" w:eastAsia="仿宋_GB2312"/>
          <w:color w:val="000000"/>
          <w:kern w:val="0"/>
          <w:sz w:val="32"/>
          <w:szCs w:val="32"/>
          <w:lang w:eastAsia="zh-CN"/>
        </w:rPr>
        <w:t>：一是新媒体的运用上管理机制需要进一步完善</w:t>
      </w:r>
      <w:r>
        <w:rPr>
          <w:rFonts w:hint="eastAsia" w:ascii="仿宋_GB2312" w:hAnsi="宋体" w:eastAsia="仿宋_GB2312"/>
          <w:color w:val="000000"/>
          <w:kern w:val="0"/>
          <w:sz w:val="32"/>
          <w:szCs w:val="32"/>
        </w:rPr>
        <w:t>。</w:t>
      </w:r>
      <w:r>
        <w:rPr>
          <w:rFonts w:hint="eastAsia" w:ascii="仿宋_GB2312" w:hAnsi="宋体" w:eastAsia="仿宋_GB2312" w:cs="宋体"/>
          <w:kern w:val="0"/>
          <w:sz w:val="32"/>
          <w:szCs w:val="32"/>
        </w:rPr>
        <w:t>我地区政府信息公开、政务公开工作由办公室统筹负责，</w:t>
      </w:r>
      <w:r>
        <w:rPr>
          <w:rFonts w:hint="eastAsia" w:ascii="仿宋_GB2312" w:hAnsi="宋体" w:eastAsia="仿宋_GB2312" w:cs="宋体"/>
          <w:kern w:val="0"/>
          <w:sz w:val="32"/>
          <w:szCs w:val="32"/>
          <w:lang w:eastAsia="zh-CN"/>
        </w:rPr>
        <w:t>其中</w:t>
      </w:r>
      <w:r>
        <w:rPr>
          <w:rFonts w:hint="eastAsia" w:ascii="仿宋_GB2312" w:hAnsi="宋体" w:eastAsia="仿宋_GB2312" w:cs="宋体"/>
          <w:kern w:val="0"/>
          <w:sz w:val="32"/>
          <w:szCs w:val="32"/>
        </w:rPr>
        <w:t>宣传科在宣传和政府信息公开工作占有很大比重，</w:t>
      </w:r>
      <w:r>
        <w:rPr>
          <w:rFonts w:hint="eastAsia" w:ascii="仿宋_GB2312" w:hAnsi="宋体" w:eastAsia="仿宋_GB2312" w:cs="宋体"/>
          <w:kern w:val="0"/>
          <w:sz w:val="32"/>
          <w:szCs w:val="32"/>
          <w:lang w:eastAsia="zh-CN"/>
        </w:rPr>
        <w:t>首都之窗上面的基层动态</w:t>
      </w:r>
      <w:r>
        <w:rPr>
          <w:rFonts w:hint="eastAsia" w:ascii="仿宋_GB2312" w:hAnsi="宋体" w:eastAsia="仿宋_GB2312" w:cs="宋体"/>
          <w:kern w:val="0"/>
          <w:sz w:val="32"/>
          <w:szCs w:val="32"/>
        </w:rPr>
        <w:t>和微信公众号在政府信息公开中发挥了巨大作用，需要我们进一步完善政府信息公开的制度，深化政府信息公开的内容，规范政府信息公开工作。</w:t>
      </w:r>
      <w:r>
        <w:rPr>
          <w:rFonts w:hint="eastAsia" w:ascii="仿宋_GB2312" w:hAnsi="宋体" w:eastAsia="仿宋_GB2312" w:cs="宋体"/>
          <w:kern w:val="0"/>
          <w:sz w:val="32"/>
          <w:szCs w:val="32"/>
          <w:lang w:eastAsia="zh-CN"/>
        </w:rPr>
        <w:t>二是人员素质需进一步提高。政府信息公开是个系统工程，里面涉及方方面面的工作，尤其是现在群众对知情权、参与权、监督权的重视，对此项工作的标准和要求逐年提高，但各科室人员的素质参差不齐，更换频繁，需要进一步加强政府信息公开的培训和指导。三是执法部门的政府信息公开意识需提高。部分执法部门对政府信息公开尤其是主动公开很敏感，对公开的内容把握不好，造成信息公开积极性不高，量偏少。</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2019年，我地区将继续深入推进政府信息公开的规范化，</w:t>
      </w:r>
      <w:r>
        <w:rPr>
          <w:rFonts w:hint="eastAsia" w:ascii="仿宋_GB2312" w:hAnsi="宋体" w:eastAsia="仿宋_GB2312" w:cs="宋体"/>
          <w:kern w:val="0"/>
          <w:sz w:val="32"/>
          <w:szCs w:val="32"/>
        </w:rPr>
        <w:t>切实保障群众的知情权、参与权和监督权。一是进一步完善信息公开审核机制，规范程序，充分发挥地区网站、微信公众号作用，扩大群众覆盖面。二是加强各科室间沟通协调。对政府信息涉及多个科室的，相互协调达成一致意见后进行公开，</w:t>
      </w:r>
      <w:r>
        <w:rPr>
          <w:rFonts w:hint="eastAsia" w:ascii="仿宋_GB2312" w:hAnsi="宋体" w:eastAsia="仿宋_GB2312" w:cs="宋体"/>
          <w:bCs/>
          <w:kern w:val="0"/>
          <w:sz w:val="32"/>
          <w:szCs w:val="32"/>
        </w:rPr>
        <w:t>保证信息内容的完整性</w:t>
      </w:r>
      <w:r>
        <w:rPr>
          <w:rFonts w:hint="eastAsia" w:ascii="仿宋_GB2312" w:hAnsi="宋体" w:eastAsia="仿宋_GB2312" w:cs="宋体"/>
          <w:kern w:val="0"/>
          <w:sz w:val="32"/>
          <w:szCs w:val="32"/>
        </w:rPr>
        <w:t>。三是进一步开展调研培训。组织机关各科室学习政府信息公开有关文件法规，并进行相关培训，通过解读《条例》等相关文件，促进依法管理和服务。</w:t>
      </w:r>
    </w:p>
    <w:p>
      <w:pPr>
        <w:widowControl/>
        <w:spacing w:line="600" w:lineRule="exact"/>
        <w:ind w:firstLine="640" w:firstLineChars="200"/>
        <w:jc w:val="left"/>
        <w:rPr>
          <w:rFonts w:ascii="仿宋_GB2312" w:hAnsi="宋体" w:eastAsia="仿宋_GB2312" w:cs="宋体"/>
          <w:bCs/>
          <w:kern w:val="0"/>
          <w:sz w:val="32"/>
          <w:szCs w:val="32"/>
        </w:rPr>
      </w:pPr>
    </w:p>
    <w:p>
      <w:pPr>
        <w:widowControl/>
        <w:spacing w:line="600" w:lineRule="exact"/>
        <w:ind w:firstLine="640" w:firstLineChars="200"/>
        <w:jc w:val="left"/>
        <w:rPr>
          <w:rFonts w:ascii="仿宋_GB2312" w:hAnsi="宋体" w:eastAsia="仿宋_GB2312" w:cs="宋体"/>
          <w:bCs/>
          <w:color w:val="000000"/>
          <w:kern w:val="0"/>
          <w:sz w:val="32"/>
          <w:szCs w:val="32"/>
        </w:rPr>
      </w:pPr>
    </w:p>
    <w:p>
      <w:pPr>
        <w:widowControl/>
        <w:spacing w:line="600" w:lineRule="exact"/>
        <w:ind w:firstLine="640" w:firstLineChars="200"/>
        <w:jc w:val="left"/>
        <w:rPr>
          <w:rFonts w:ascii="仿宋_GB2312" w:hAnsi="宋体" w:eastAsia="仿宋_GB2312" w:cs="宋体"/>
          <w:bCs/>
          <w:color w:val="000000"/>
          <w:kern w:val="0"/>
          <w:sz w:val="32"/>
          <w:szCs w:val="32"/>
        </w:rPr>
      </w:pPr>
    </w:p>
    <w:p>
      <w:pPr>
        <w:widowControl/>
        <w:spacing w:line="600" w:lineRule="exact"/>
        <w:ind w:firstLine="640" w:firstLineChars="200"/>
        <w:jc w:val="left"/>
        <w:rPr>
          <w:rFonts w:ascii="仿宋_GB2312" w:hAnsi="宋体" w:eastAsia="仿宋_GB2312" w:cs="宋体"/>
          <w:bCs/>
          <w:color w:val="000000"/>
          <w:kern w:val="0"/>
          <w:sz w:val="32"/>
          <w:szCs w:val="32"/>
        </w:rPr>
      </w:pPr>
    </w:p>
    <w:p>
      <w:pPr>
        <w:widowControl/>
        <w:spacing w:line="600" w:lineRule="exact"/>
        <w:ind w:firstLine="3680" w:firstLineChars="1150"/>
        <w:jc w:val="left"/>
        <w:rPr>
          <w:rFonts w:ascii="仿宋_GB2312" w:hAnsi="Tahoma" w:eastAsia="仿宋_GB2312" w:cs="Tahoma"/>
          <w:kern w:val="0"/>
          <w:sz w:val="32"/>
          <w:szCs w:val="32"/>
        </w:rPr>
      </w:pPr>
      <w:r>
        <w:rPr>
          <w:rFonts w:hint="eastAsia" w:ascii="仿宋_GB2312" w:hAnsi="Tahoma" w:eastAsia="仿宋_GB2312" w:cs="Tahoma"/>
          <w:kern w:val="0"/>
          <w:sz w:val="32"/>
          <w:szCs w:val="32"/>
        </w:rPr>
        <w:t>北京市朝阳区黑庄户地区办事处</w:t>
      </w:r>
    </w:p>
    <w:p>
      <w:pPr>
        <w:widowControl/>
        <w:tabs>
          <w:tab w:val="left" w:pos="7560"/>
        </w:tabs>
        <w:spacing w:line="600" w:lineRule="exact"/>
        <w:ind w:firstLine="4960" w:firstLineChars="1550"/>
        <w:jc w:val="left"/>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xml:space="preserve">  201</w:t>
      </w:r>
      <w:r>
        <w:rPr>
          <w:rFonts w:hint="eastAsia" w:ascii="仿宋_GB2312" w:hAnsi="Tahoma" w:eastAsia="仿宋_GB2312" w:cs="Tahoma"/>
          <w:kern w:val="0"/>
          <w:sz w:val="32"/>
          <w:szCs w:val="32"/>
          <w:lang w:val="en-US" w:eastAsia="zh-CN"/>
        </w:rPr>
        <w:t>9</w:t>
      </w:r>
      <w:r>
        <w:rPr>
          <w:rFonts w:hint="eastAsia" w:ascii="仿宋_GB2312" w:hAnsi="Tahoma" w:eastAsia="仿宋_GB2312" w:cs="Tahoma"/>
          <w:kern w:val="0"/>
          <w:sz w:val="32"/>
          <w:szCs w:val="32"/>
        </w:rPr>
        <w:t>年3月</w:t>
      </w:r>
    </w:p>
    <w:p>
      <w:pPr>
        <w:widowControl/>
        <w:tabs>
          <w:tab w:val="left" w:pos="7560"/>
        </w:tabs>
        <w:spacing w:line="600" w:lineRule="exact"/>
        <w:ind w:firstLine="4960" w:firstLineChars="1550"/>
        <w:jc w:val="left"/>
        <w:rPr>
          <w:rFonts w:hint="eastAsia" w:ascii="仿宋_GB2312" w:hAnsi="Tahoma" w:eastAsia="仿宋_GB2312" w:cs="Tahoma"/>
          <w:kern w:val="0"/>
          <w:sz w:val="32"/>
          <w:szCs w:val="32"/>
        </w:rPr>
      </w:pPr>
    </w:p>
    <w:p>
      <w:pPr>
        <w:widowControl/>
        <w:tabs>
          <w:tab w:val="left" w:pos="7560"/>
        </w:tabs>
        <w:spacing w:line="600" w:lineRule="exact"/>
        <w:ind w:firstLine="4960" w:firstLineChars="1550"/>
        <w:jc w:val="left"/>
        <w:rPr>
          <w:rFonts w:hint="eastAsia" w:ascii="仿宋_GB2312" w:hAnsi="Tahoma" w:eastAsia="仿宋_GB2312" w:cs="Tahoma"/>
          <w:kern w:val="0"/>
          <w:sz w:val="32"/>
          <w:szCs w:val="32"/>
        </w:rPr>
      </w:pPr>
    </w:p>
    <w:p>
      <w:pPr>
        <w:widowControl/>
        <w:tabs>
          <w:tab w:val="left" w:pos="7560"/>
        </w:tabs>
        <w:spacing w:line="600" w:lineRule="exact"/>
        <w:ind w:firstLine="4960" w:firstLineChars="1550"/>
        <w:jc w:val="left"/>
        <w:rPr>
          <w:rFonts w:hint="eastAsia" w:ascii="仿宋_GB2312" w:hAnsi="Tahoma" w:eastAsia="仿宋_GB2312" w:cs="Tahoma"/>
          <w:kern w:val="0"/>
          <w:sz w:val="32"/>
          <w:szCs w:val="32"/>
        </w:rPr>
      </w:pPr>
    </w:p>
    <w:p>
      <w:pPr>
        <w:widowControl/>
        <w:tabs>
          <w:tab w:val="left" w:pos="7560"/>
        </w:tabs>
        <w:spacing w:line="600" w:lineRule="exact"/>
        <w:ind w:firstLine="4960" w:firstLineChars="1550"/>
        <w:jc w:val="left"/>
        <w:rPr>
          <w:rFonts w:hint="eastAsia" w:ascii="仿宋_GB2312" w:hAnsi="Tahoma" w:eastAsia="仿宋_GB2312" w:cs="Tahoma"/>
          <w:kern w:val="0"/>
          <w:sz w:val="32"/>
          <w:szCs w:val="32"/>
        </w:rPr>
      </w:pPr>
    </w:p>
    <w:p>
      <w:pPr>
        <w:widowControl/>
        <w:tabs>
          <w:tab w:val="left" w:pos="7560"/>
        </w:tabs>
        <w:spacing w:line="600" w:lineRule="exact"/>
        <w:ind w:firstLine="4960" w:firstLineChars="1550"/>
        <w:jc w:val="left"/>
        <w:rPr>
          <w:rFonts w:hint="eastAsia" w:ascii="仿宋_GB2312" w:hAnsi="Tahoma" w:eastAsia="仿宋_GB2312" w:cs="Tahoma"/>
          <w:kern w:val="0"/>
          <w:sz w:val="32"/>
          <w:szCs w:val="32"/>
        </w:rPr>
      </w:pPr>
    </w:p>
    <w:tbl>
      <w:tblPr>
        <w:tblW w:w="8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376"/>
        <w:gridCol w:w="432"/>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504" w:type="dxa"/>
            <w:gridSpan w:val="3"/>
            <w:shd w:val="cle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olor w:val="000000"/>
                <w:kern w:val="0"/>
                <w:sz w:val="28"/>
                <w:szCs w:val="28"/>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黑庄户地区政府信息公开情况统计表</w:t>
            </w:r>
          </w:p>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 计 指 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一、主动公开情况</w:t>
            </w:r>
          </w:p>
        </w:tc>
        <w:tc>
          <w:tcPr>
            <w:tcW w:w="432" w:type="dxa"/>
            <w:shd w:val="clear" w:color="auto" w:fill="FFFFFF"/>
            <w:vAlign w:val="center"/>
          </w:tcPr>
          <w:p>
            <w:pPr>
              <w:jc w:val="center"/>
              <w:rPr>
                <w:rFonts w:hint="default" w:ascii="Arial" w:hAnsi="Arial" w:cs="Arial"/>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（一）主动公开政府信息数（不同渠道和方式公开相同信息计1条）</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其中：主动公开规范性文件数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制发规范性文件总数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（二）重点领域公开政府信息数（不同渠道和方式公开相同信息计1条）</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其中：主动公开财政预算决算、“三公经费”和行政经费信息数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主动公开保障性安居工程建设计划、项目开工和竣工情况，保障性住房的分配和退出等信息数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主动公开食品安全标准，食品生产经营许可、专项检查整治等信息数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主动公开环境核查审批、环境状况公报和重特大突发环境事件等信息数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主动公开招投标违法违规行为及处理情况、国有资金占控股或者主导地位依法应当招标的项目等信息数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主动公开生产安全事故的政府举措、处置进展、风险预警、防范措施等信息数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主动公开农用地转为建设用地批准、征收集体土地批准、征地公告征地补偿安置公示、集体土地征收结案等信息数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主动公开政府指导价、政府定价和收费标准调整的项目、价格、依据、执行时间和范围等信息数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主动公开本市企业信用信息系统中的警示信息和良好信息等信息数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主动公开政府部门预算执行审计结果等信息数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主动公开行政机关对与人民群众利益密切相关的公共企事业单位进行监督管理的信息数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主动公开市人民政府决定主动公开的其他信息数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（三）通过不同渠道和方式公开政府信息的情况</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1.政府公报公开政府信息数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2.政府网站公开政府信息数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3.政务微博公开政府信息数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4.政务微信公开政府信息数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5.其他方式公开政府信息数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二、回应解读情况</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（一）回应公众关注热点或重大舆情数（不同方式回应同一热点或舆情计1次）</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（二）通过不同渠道和方式回应解读的情况</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1.参加或举办新闻发布会总次数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其中：主要负责同志参加新闻发布会次数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2.政府网站在线访谈次数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其中：主要负责同志参加政府网站在线访谈次数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3.政策解读稿件发布数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篇</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4.微博微信回应事件数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5.其他方式回应事件数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三、依申请公开情况</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（一）收到申请数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1.当面申请数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2.传真申请数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3.网络申请数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4.信函申请数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（二）申请办结数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1.按时办结数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2.延期办结数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（三）申请答复数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1.属于已主动公开范围数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2.同意公开答复数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3.同意部分公开答复数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4.不同意公开答复数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其中：涉及国家秘密</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涉及商业秘密</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涉及个人隐私</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危及国家安全、公共安全、经济安全和社会稳定</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不是《条例》所指政府信息</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法律法规规定的其他情形</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5.不属于本行政机关公开数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6.申请信息不存在数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7.告知作出更改补充数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8.告知通过其他途径办理数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四、行政复议数量</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五、行政诉讼数量</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（一）维持具体行政行为或者驳回原告诉讼请求数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六、举报投诉数量</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七、依申请公开信息收取的费用</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八、机构建设和保障经费情况</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（一）政府信息公开工作专门机构数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（二）设置政府信息公开查阅点数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（三）从事政府信息公开工作人员数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1.专职人员数（不包括政府公报及政府网站工作人员数）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2.兼职人员数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（四）政府信息公开专项经费（不包括用于政府公报编辑管理及政府网站建设维护等方面的经费）</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九、政府信息公开会议和培训情况</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（一）召开政府信息公开工作会议或专题会议数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（二）举办各类培训班数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37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（三）接受培训人员数</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人次</w:t>
            </w:r>
          </w:p>
        </w:tc>
        <w:tc>
          <w:tcPr>
            <w:tcW w:w="6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r>
    </w:tbl>
    <w:p>
      <w:pPr>
        <w:widowControl/>
        <w:tabs>
          <w:tab w:val="left" w:pos="7560"/>
        </w:tabs>
        <w:spacing w:line="600" w:lineRule="exact"/>
        <w:ind w:firstLine="4960" w:firstLineChars="1550"/>
        <w:jc w:val="left"/>
        <w:rPr>
          <w:rFonts w:hint="eastAsia" w:ascii="仿宋_GB2312" w:hAnsi="Tahoma" w:eastAsia="仿宋_GB2312" w:cs="Tahoma"/>
          <w:kern w:val="0"/>
          <w:sz w:val="32"/>
          <w:szCs w:val="32"/>
        </w:rPr>
      </w:pPr>
    </w:p>
    <w:p>
      <w:pPr>
        <w:widowControl/>
        <w:tabs>
          <w:tab w:val="left" w:pos="7560"/>
        </w:tabs>
        <w:spacing w:line="600" w:lineRule="exact"/>
        <w:ind w:firstLine="4960" w:firstLineChars="1550"/>
        <w:jc w:val="left"/>
        <w:rPr>
          <w:rFonts w:hint="eastAsia" w:ascii="仿宋_GB2312" w:hAnsi="Tahoma" w:eastAsia="仿宋_GB2312" w:cs="Tahoma"/>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汉仪大宋简">
    <w:altName w:val="Arial"/>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1" w:usb1="00000000" w:usb2="00000000" w:usb3="00000000" w:csb0="00000020" w:csb1="002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全新硬笔行书简">
    <w:panose1 w:val="0201060004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75D2"/>
    <w:rsid w:val="00023CB6"/>
    <w:rsid w:val="000364B3"/>
    <w:rsid w:val="00036F21"/>
    <w:rsid w:val="00063515"/>
    <w:rsid w:val="000673A8"/>
    <w:rsid w:val="000B4DA6"/>
    <w:rsid w:val="000C3499"/>
    <w:rsid w:val="000C69B0"/>
    <w:rsid w:val="000D0CED"/>
    <w:rsid w:val="000E4668"/>
    <w:rsid w:val="00116750"/>
    <w:rsid w:val="001221B0"/>
    <w:rsid w:val="001300D4"/>
    <w:rsid w:val="001B3F73"/>
    <w:rsid w:val="001C2389"/>
    <w:rsid w:val="001F0E74"/>
    <w:rsid w:val="001F2AC3"/>
    <w:rsid w:val="002215F2"/>
    <w:rsid w:val="00227CDE"/>
    <w:rsid w:val="00271ED9"/>
    <w:rsid w:val="00274DDF"/>
    <w:rsid w:val="002A6BAE"/>
    <w:rsid w:val="002D18C0"/>
    <w:rsid w:val="002E0518"/>
    <w:rsid w:val="0031089C"/>
    <w:rsid w:val="003111DB"/>
    <w:rsid w:val="00360BEB"/>
    <w:rsid w:val="003628B1"/>
    <w:rsid w:val="00370DE0"/>
    <w:rsid w:val="003748F8"/>
    <w:rsid w:val="003A5A6E"/>
    <w:rsid w:val="003B09FD"/>
    <w:rsid w:val="003C1C08"/>
    <w:rsid w:val="003D5EFC"/>
    <w:rsid w:val="003D6A57"/>
    <w:rsid w:val="003E45C4"/>
    <w:rsid w:val="004027E5"/>
    <w:rsid w:val="004031C8"/>
    <w:rsid w:val="00405396"/>
    <w:rsid w:val="00411301"/>
    <w:rsid w:val="00433E70"/>
    <w:rsid w:val="004375C5"/>
    <w:rsid w:val="004408DC"/>
    <w:rsid w:val="00445973"/>
    <w:rsid w:val="00446651"/>
    <w:rsid w:val="00465A4C"/>
    <w:rsid w:val="0048712A"/>
    <w:rsid w:val="004926B4"/>
    <w:rsid w:val="0049276F"/>
    <w:rsid w:val="00495DDE"/>
    <w:rsid w:val="00497E17"/>
    <w:rsid w:val="004B3039"/>
    <w:rsid w:val="004F26D5"/>
    <w:rsid w:val="00540BE3"/>
    <w:rsid w:val="00541DAA"/>
    <w:rsid w:val="005475D2"/>
    <w:rsid w:val="005529BD"/>
    <w:rsid w:val="0055548C"/>
    <w:rsid w:val="0058735F"/>
    <w:rsid w:val="005B75C0"/>
    <w:rsid w:val="005E33C6"/>
    <w:rsid w:val="00600845"/>
    <w:rsid w:val="0060116D"/>
    <w:rsid w:val="006017C4"/>
    <w:rsid w:val="00642BB3"/>
    <w:rsid w:val="00667023"/>
    <w:rsid w:val="00673B52"/>
    <w:rsid w:val="006B19DB"/>
    <w:rsid w:val="006D7E46"/>
    <w:rsid w:val="006F58D4"/>
    <w:rsid w:val="007149CC"/>
    <w:rsid w:val="0075231F"/>
    <w:rsid w:val="007A3C10"/>
    <w:rsid w:val="007C43C2"/>
    <w:rsid w:val="007E5DDA"/>
    <w:rsid w:val="007E6C48"/>
    <w:rsid w:val="008109E3"/>
    <w:rsid w:val="00825077"/>
    <w:rsid w:val="0085043D"/>
    <w:rsid w:val="00851E39"/>
    <w:rsid w:val="00862AD8"/>
    <w:rsid w:val="008B4B57"/>
    <w:rsid w:val="00936B41"/>
    <w:rsid w:val="00966B5C"/>
    <w:rsid w:val="00991274"/>
    <w:rsid w:val="009953C4"/>
    <w:rsid w:val="009C1434"/>
    <w:rsid w:val="009C3E96"/>
    <w:rsid w:val="009C4D25"/>
    <w:rsid w:val="009C6533"/>
    <w:rsid w:val="009D2C39"/>
    <w:rsid w:val="009E6689"/>
    <w:rsid w:val="009F40BA"/>
    <w:rsid w:val="00A03647"/>
    <w:rsid w:val="00A10A5D"/>
    <w:rsid w:val="00A2387C"/>
    <w:rsid w:val="00A5418C"/>
    <w:rsid w:val="00A76E17"/>
    <w:rsid w:val="00A861A7"/>
    <w:rsid w:val="00A94E50"/>
    <w:rsid w:val="00AB0B9A"/>
    <w:rsid w:val="00AC0A2D"/>
    <w:rsid w:val="00AF4639"/>
    <w:rsid w:val="00B03085"/>
    <w:rsid w:val="00B050C0"/>
    <w:rsid w:val="00B0590E"/>
    <w:rsid w:val="00B2433E"/>
    <w:rsid w:val="00B32FA6"/>
    <w:rsid w:val="00B36CE7"/>
    <w:rsid w:val="00B62C3D"/>
    <w:rsid w:val="00BA3DCC"/>
    <w:rsid w:val="00BC5088"/>
    <w:rsid w:val="00BE47D9"/>
    <w:rsid w:val="00BF60BD"/>
    <w:rsid w:val="00BF6B82"/>
    <w:rsid w:val="00BF79FD"/>
    <w:rsid w:val="00C6336E"/>
    <w:rsid w:val="00CB038C"/>
    <w:rsid w:val="00CC2EA4"/>
    <w:rsid w:val="00CC39BF"/>
    <w:rsid w:val="00CC55D7"/>
    <w:rsid w:val="00CC75B7"/>
    <w:rsid w:val="00CF284D"/>
    <w:rsid w:val="00D247D8"/>
    <w:rsid w:val="00D46BBC"/>
    <w:rsid w:val="00D61945"/>
    <w:rsid w:val="00D70CC2"/>
    <w:rsid w:val="00D82F7D"/>
    <w:rsid w:val="00DB06FC"/>
    <w:rsid w:val="00DC4073"/>
    <w:rsid w:val="00DC4D8C"/>
    <w:rsid w:val="00DC6884"/>
    <w:rsid w:val="00DD1DFF"/>
    <w:rsid w:val="00DD3CBD"/>
    <w:rsid w:val="00DE1FA1"/>
    <w:rsid w:val="00DE7DE5"/>
    <w:rsid w:val="00DF138C"/>
    <w:rsid w:val="00E0387E"/>
    <w:rsid w:val="00E359CC"/>
    <w:rsid w:val="00E6152B"/>
    <w:rsid w:val="00E77DB7"/>
    <w:rsid w:val="00E918F5"/>
    <w:rsid w:val="00E92940"/>
    <w:rsid w:val="00E9754E"/>
    <w:rsid w:val="00E979F7"/>
    <w:rsid w:val="00EC4B4A"/>
    <w:rsid w:val="00EE3CB3"/>
    <w:rsid w:val="00F01B3B"/>
    <w:rsid w:val="00F06E4B"/>
    <w:rsid w:val="00F14EBE"/>
    <w:rsid w:val="00F153FE"/>
    <w:rsid w:val="00F370C6"/>
    <w:rsid w:val="00F71C00"/>
    <w:rsid w:val="00FB7A38"/>
    <w:rsid w:val="00FE39D4"/>
    <w:rsid w:val="01923245"/>
    <w:rsid w:val="02DE2314"/>
    <w:rsid w:val="06B065A9"/>
    <w:rsid w:val="07A3555E"/>
    <w:rsid w:val="0B8912E6"/>
    <w:rsid w:val="0D74323F"/>
    <w:rsid w:val="12580D31"/>
    <w:rsid w:val="12E672AD"/>
    <w:rsid w:val="135A77F8"/>
    <w:rsid w:val="19D77486"/>
    <w:rsid w:val="1E7D3E08"/>
    <w:rsid w:val="1E8E0748"/>
    <w:rsid w:val="20587035"/>
    <w:rsid w:val="2E3A7810"/>
    <w:rsid w:val="33EC23FD"/>
    <w:rsid w:val="3B9105D1"/>
    <w:rsid w:val="3C9F3262"/>
    <w:rsid w:val="42066DE9"/>
    <w:rsid w:val="45662C2B"/>
    <w:rsid w:val="46AC1809"/>
    <w:rsid w:val="480808E8"/>
    <w:rsid w:val="53F530C4"/>
    <w:rsid w:val="548126C4"/>
    <w:rsid w:val="5BFB549F"/>
    <w:rsid w:val="5FEB20C1"/>
    <w:rsid w:val="68530817"/>
    <w:rsid w:val="6A817EEA"/>
    <w:rsid w:val="6E06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uiPriority w:val="0"/>
    <w:pPr>
      <w:suppressAutoHyphens/>
      <w:jc w:val="center"/>
    </w:pPr>
    <w:rPr>
      <w:rFonts w:ascii="方正小标宋简体" w:hAnsi="汉仪大宋简" w:eastAsia="方正小标宋简体"/>
      <w:color w:val="000000"/>
      <w:kern w:val="0"/>
      <w:sz w:val="44"/>
      <w:szCs w:val="20"/>
    </w:rPr>
  </w:style>
  <w:style w:type="paragraph" w:styleId="4">
    <w:name w:val="Date"/>
    <w:basedOn w:val="1"/>
    <w:next w:val="1"/>
    <w:uiPriority w:val="0"/>
    <w:pPr>
      <w:ind w:left="100" w:leftChars="2500"/>
    </w:p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Hyperlink"/>
    <w:basedOn w:val="8"/>
    <w:uiPriority w:val="0"/>
    <w:rPr>
      <w:color w:val="BC0021"/>
      <w:u w:val="single"/>
    </w:rPr>
  </w:style>
  <w:style w:type="character" w:customStyle="1" w:styleId="12">
    <w:name w:val="bold1"/>
    <w:basedOn w:val="8"/>
    <w:uiPriority w:val="0"/>
    <w:rPr>
      <w:b/>
      <w:bCs/>
    </w:rPr>
  </w:style>
  <w:style w:type="paragraph" w:customStyle="1" w:styleId="13">
    <w:name w:val="Char Char Char1 Char Char Char Char"/>
    <w:basedOn w:val="2"/>
    <w:uiPriority w:val="0"/>
    <w:pPr>
      <w:adjustRightInd w:val="0"/>
      <w:spacing w:line="436" w:lineRule="exact"/>
      <w:ind w:left="357"/>
      <w:jc w:val="left"/>
      <w:outlineLvl w:val="3"/>
    </w:pPr>
    <w:rPr>
      <w:rFonts w:ascii="Tahoma" w:hAnsi="Tahoma"/>
      <w:b/>
      <w:sz w:val="24"/>
    </w:rPr>
  </w:style>
  <w:style w:type="paragraph" w:customStyle="1" w:styleId="14">
    <w:name w:val="Char Char Char Char"/>
    <w:basedOn w:val="2"/>
    <w:uiPriority w:val="0"/>
    <w:pPr>
      <w:adjustRightInd w:val="0"/>
      <w:spacing w:line="436" w:lineRule="exact"/>
      <w:ind w:left="357"/>
      <w:jc w:val="left"/>
      <w:outlineLvl w:val="3"/>
    </w:pPr>
    <w:rPr>
      <w:rFonts w:ascii="Tahoma" w:hAnsi="Tahoma"/>
      <w:b/>
      <w:sz w:val="24"/>
    </w:rPr>
  </w:style>
  <w:style w:type="character" w:customStyle="1" w:styleId="15">
    <w:name w:val="页眉 Char"/>
    <w:basedOn w:val="8"/>
    <w:link w:val="6"/>
    <w:uiPriority w:val="0"/>
    <w:rPr>
      <w:kern w:val="2"/>
      <w:sz w:val="18"/>
      <w:szCs w:val="18"/>
    </w:rPr>
  </w:style>
  <w:style w:type="character" w:customStyle="1" w:styleId="16">
    <w:name w:val="页脚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600</Words>
  <Characters>3424</Characters>
  <Lines>28</Lines>
  <Paragraphs>8</Paragraphs>
  <TotalTime>0</TotalTime>
  <ScaleCrop>false</ScaleCrop>
  <LinksUpToDate>false</LinksUpToDate>
  <CharactersWithSpaces>4016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2015-03-25T02:33:00Z</dcterms:created>
  <dc:creator>微软用户</dc:creator>
  <cp:lastModifiedBy>yy</cp:lastModifiedBy>
  <cp:lastPrinted>2009-03-18T01:34:00Z</cp:lastPrinted>
  <dcterms:modified xsi:type="dcterms:W3CDTF">2019-02-15T08:16:03Z</dcterms:modified>
  <dc:title>关于2008年度政府信息公开年度报告</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