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25F55">
      <w:pPr>
        <w:spacing w:line="480" w:lineRule="exact"/>
        <w:rPr>
          <w:rFonts w:eastAsia="方正小标宋简体"/>
          <w:sz w:val="36"/>
          <w:szCs w:val="36"/>
        </w:rPr>
      </w:pPr>
      <w:r>
        <w:rPr>
          <w:rFonts w:eastAsia="黑体"/>
          <w:sz w:val="32"/>
          <w:szCs w:val="32"/>
        </w:rPr>
        <w:t>附件2</w:t>
      </w:r>
    </w:p>
    <w:p w14:paraId="486DA95F">
      <w:pPr>
        <w:ind w:left="1944" w:leftChars="164" w:hanging="1600" w:hangingChars="400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 xml:space="preserve">北京市朝阳区人民政府首都机场街道办事处 </w:t>
      </w:r>
      <w:r>
        <w:rPr>
          <w:rFonts w:eastAsia="方正小标宋简体"/>
          <w:sz w:val="44"/>
          <w:szCs w:val="44"/>
        </w:rPr>
        <w:t xml:space="preserve"> 部门整体支出绩效评价报告</w:t>
      </w:r>
    </w:p>
    <w:p w14:paraId="1A2BAEA9">
      <w:pPr>
        <w:spacing w:line="60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一、部门概况</w:t>
      </w:r>
    </w:p>
    <w:p w14:paraId="480D44A8"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（一）机构设置及职责工作任务情况</w:t>
      </w:r>
    </w:p>
    <w:p w14:paraId="32D5EBEB">
      <w:pPr>
        <w:ind w:firstLine="63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中共北京市朝阳区委首都机场街道工作委员会（简称朝阳区首都机场街道党工委）是区委的派出机关，北京市朝阳区人民政府首都机场街道办事处（简称朝阳区首都机场街道办事处）是区政府的派出机关。根据北京市委、市政府批准的《北京市朝阳区机构改革方案》，设置中共朝阳区首都机场街道工作委员会、朝阳人民政府首都机场街道办事处。街道工作委员会是街道各种组织和各项工作的领导机构;街道办事处是负责辖区社区建设、城市管理和居民管理的行政机构。</w:t>
      </w:r>
    </w:p>
    <w:p w14:paraId="39ED07BA">
      <w:pPr>
        <w:ind w:firstLine="63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其</w:t>
      </w:r>
      <w:r>
        <w:rPr>
          <w:rFonts w:eastAsia="仿宋_GB2312"/>
          <w:sz w:val="32"/>
          <w:szCs w:val="32"/>
        </w:rPr>
        <w:t>主要职能：</w:t>
      </w:r>
    </w:p>
    <w:p w14:paraId="1180E38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1.贯彻执行法律、法规、规章和市、区政府的决定、命令，依法管理基层公共事务。</w:t>
      </w:r>
    </w:p>
    <w:p w14:paraId="1828E61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2.承担辖区市容环境卫生、绿化美化的管理工作，推进街巷长、河长制工作，组织、协调城市管理综合执法和环境秩序综合治理工作，推进城市精细化管理。</w:t>
      </w:r>
    </w:p>
    <w:p w14:paraId="6432B2B1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3.协助依法履行安全生产、消防安全、食品安全、环境保护、劳动保障、流动人口及出租房屋监督管理工作，承担辖区应急、防汛和防灾减灾工作。</w:t>
      </w:r>
    </w:p>
    <w:p w14:paraId="78C1B50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4.参与制定并组织实施社区建设规划和公共服务设施规划，组织辖区单位、居民和志愿者队伍为社区发展服务。</w:t>
      </w:r>
    </w:p>
    <w:p w14:paraId="4FA840E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5.负责社区居民委员会建设，指导社区居民委员会工作，培育、发展社区社会组织，指导、监督社区业主委员会。</w:t>
      </w:r>
    </w:p>
    <w:p w14:paraId="365A435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6.推进居民自治，及时处理并向上级政府反映居民的意见和要求。动员社会力量参与社区治理，推动形成社区共治合力。</w:t>
      </w:r>
    </w:p>
    <w:p w14:paraId="03BA118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7.组织开展群众性文化、体育、科普活动，开展法治宣传和社会公德教育，推动社区公益事业发展。</w:t>
      </w:r>
    </w:p>
    <w:p w14:paraId="149B7A5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8.组织开展公共服务，落实人力社保、民政、卫生健康、教育、住房保障、便民服务等政策，维护老年人、妇女、未成年人、残疾人等合法权益。</w:t>
      </w:r>
    </w:p>
    <w:p w14:paraId="3340E4E7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9.承办区政府交办的其他事项。</w:t>
      </w:r>
    </w:p>
    <w:p w14:paraId="1C3B58D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下属3个事业单位主要职能：</w:t>
      </w:r>
    </w:p>
    <w:p w14:paraId="1D12F1F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便民服务中心(退役军人服务站)：承担政务服务、社会保障、住房保障、养老助残以及其他直接面向群众和驻区单位的综合便民服务工作。</w:t>
      </w:r>
    </w:p>
    <w:p w14:paraId="157B31DC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市民活动中心(党群活动中心)：协调社会服务资源，为辖区居民提供文体、教育、体育等各种便民服务；组织社区开展各类党群文体活动，为辖区党群组织开展活动提供场地支持。</w:t>
      </w:r>
    </w:p>
    <w:p w14:paraId="3EAF8C67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市民诉求处置中心(综治中心)：负责街道网格化服务管理信息平台的日常值守、运行管理和监督工作；承担“12345” 市政府非紧急救助服务热线及其他各类政府热线、 网格化服务管理信息平台、群众来信来访、社区上报等各类事件的统一接收、按责转办、督办落实等工作；负责街道网格化服务管理信息平台的数据统计和案件分析；推进街道、社区各信息系统、基础数据等方面的深度融合，为街道决策提供数据基础；负责配合处置、应对应急突发事件；承担城市管理、综合治理等相关的事务性、辅助性工作。</w:t>
      </w:r>
    </w:p>
    <w:p w14:paraId="4621DA6E">
      <w:pPr>
        <w:numPr>
          <w:ilvl w:val="0"/>
          <w:numId w:val="1"/>
        </w:numPr>
        <w:spacing w:line="60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部门整体绩效目标设立情况</w:t>
      </w:r>
    </w:p>
    <w:p w14:paraId="7CEC515C">
      <w:pPr>
        <w:pStyle w:val="3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，在区委、区政府的坚强领导下，街道工委、办事处坚持以习近平新时代中国特色社会主义为指导，全面贯彻党的二十大和二十届二中、三中全会精神，深入贯彻习近平总书记对北京重要讲话精神，全面落实“四个走在前”要求，对标“五宜”朝阳建设目标，守正创新、奋楫笃行，推动高质量发展的举措更加务实，建设“四型国门”的成效更加显著，中国式现代化的机场实践的步伐更加坚实。</w:t>
      </w:r>
    </w:p>
    <w:p w14:paraId="3BC2F847">
      <w:pPr>
        <w:spacing w:line="60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二、当年预算执行情况</w:t>
      </w:r>
    </w:p>
    <w:p w14:paraId="3AEA6D94"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2024年全年预算数9914.473550万元，其中，基本支出预算数3967.202447万元，项目支出预算数5947.271103万元。</w:t>
      </w:r>
    </w:p>
    <w:p w14:paraId="402AFEF9"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资金总体支出9914.473550万元，其中，基本支出3967.202447万元，项目支出5947.271103万元，其他支出0万元。预算执行率为100%。</w:t>
      </w:r>
    </w:p>
    <w:p w14:paraId="7DCA43B5">
      <w:pPr>
        <w:numPr>
          <w:ilvl w:val="0"/>
          <w:numId w:val="2"/>
        </w:numPr>
        <w:spacing w:line="600" w:lineRule="exact"/>
        <w:ind w:left="105" w:leftChars="50"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整体绩效目标实现情况</w:t>
      </w:r>
    </w:p>
    <w:p w14:paraId="61995396">
      <w:pPr>
        <w:spacing w:line="600" w:lineRule="exact"/>
        <w:ind w:left="105" w:leftChars="50"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2024年，</w:t>
      </w:r>
      <w:r>
        <w:rPr>
          <w:rFonts w:eastAsia="仿宋_GB2312"/>
          <w:sz w:val="32"/>
          <w:szCs w:val="32"/>
        </w:rPr>
        <w:t>在区委、区政府的坚强领导下，街道工委、办事处坚持以习近平新时代中国特色社会主义为指导，全面贯彻党的二十大和二十届二中、三中全会精神，深入贯彻习近平总书记对北京重要讲话精神，全面落实“四个走在前”要求，对标“五宜”朝阳建设目标，守正创新、奋楫笃行，推动高质量发展的举措更加务实，建设“四型国门”的成效更加显著，中国式现代化的机场实践的步伐更加坚实。</w:t>
      </w:r>
      <w:r>
        <w:rPr>
          <w:rFonts w:eastAsia="仿宋_GB2312"/>
          <w:b/>
          <w:sz w:val="32"/>
          <w:szCs w:val="32"/>
          <w:lang w:bidi="ar"/>
        </w:rPr>
        <w:t>持续深化忠诚国门</w:t>
      </w:r>
      <w:r>
        <w:rPr>
          <w:rFonts w:eastAsia="仿宋_GB2312"/>
          <w:sz w:val="32"/>
          <w:szCs w:val="32"/>
          <w:lang w:bidi="ar"/>
        </w:rPr>
        <w:t>，强化思想教育。</w:t>
      </w:r>
      <w:r>
        <w:rPr>
          <w:rFonts w:eastAsia="仿宋_GB2312"/>
          <w:sz w:val="32"/>
          <w:szCs w:val="32"/>
        </w:rPr>
        <w:t>扎实开展党纪学习教育，开展各类学习教育活动200余次，</w:t>
      </w:r>
      <w:r>
        <w:rPr>
          <w:rFonts w:eastAsia="仿宋_GB2312"/>
          <w:sz w:val="32"/>
          <w:szCs w:val="32"/>
          <w:lang w:bidi="ar"/>
        </w:rPr>
        <w:t>落实工委理论学习中心组学习制度，强化党员教育培训，开展“三强一勇”大讨论、班子成员“传帮带”等活动。依托街道新时代文明实践所等平台开展形式多样的宣传活动。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“国门live”微信公众号推送文章</w:t>
      </w:r>
      <w:r>
        <w:rPr>
          <w:rFonts w:eastAsia="仿宋_GB2312"/>
          <w:sz w:val="32"/>
          <w:szCs w:val="32"/>
        </w:rPr>
        <w:t>843</w:t>
      </w:r>
      <w:r>
        <w:rPr>
          <w:rFonts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篇，</w:t>
      </w:r>
      <w:r>
        <w:rPr>
          <w:rFonts w:eastAsia="仿宋_GB2312"/>
          <w:sz w:val="32"/>
          <w:szCs w:val="40"/>
        </w:rPr>
        <w:t>特色亮点工作外宣上稿</w:t>
      </w:r>
      <w:r>
        <w:rPr>
          <w:rFonts w:eastAsia="仿宋_GB2312"/>
          <w:sz w:val="32"/>
          <w:szCs w:val="32"/>
        </w:rPr>
        <w:t>298</w:t>
      </w:r>
      <w:r>
        <w:rPr>
          <w:rFonts w:eastAsia="仿宋_GB2312"/>
          <w:sz w:val="32"/>
          <w:szCs w:val="40"/>
        </w:rPr>
        <w:t>条。</w:t>
      </w:r>
      <w:r>
        <w:rPr>
          <w:rFonts w:eastAsia="仿宋_GB2312"/>
          <w:sz w:val="32"/>
          <w:szCs w:val="32"/>
        </w:rPr>
        <w:t>提升</w:t>
      </w:r>
      <w:r>
        <w:rPr>
          <w:rFonts w:eastAsia="仿宋_GB2312"/>
          <w:bCs/>
          <w:sz w:val="32"/>
          <w:szCs w:val="32"/>
        </w:rPr>
        <w:t>党建引领网格精细化治理</w:t>
      </w:r>
      <w:r>
        <w:rPr>
          <w:rFonts w:eastAsia="仿宋_GB2312"/>
          <w:sz w:val="32"/>
          <w:szCs w:val="32"/>
        </w:rPr>
        <w:t>水平，重新划分网格72个，健全“社区党委-网格党支部-楼门党员”组织架构，充实“一般+专业”网格员队伍，推动“多格合一”。制定落实新就业群体“友好城市”建设工作方案，高质量落地全时驿站，打造国门骑手驿站9个。</w:t>
      </w:r>
      <w:r>
        <w:rPr>
          <w:rFonts w:eastAsia="仿宋_GB2312"/>
          <w:b/>
          <w:sz w:val="32"/>
          <w:szCs w:val="32"/>
          <w:lang w:bidi="ar"/>
        </w:rPr>
        <w:t>不断巩固平安国门，</w:t>
      </w:r>
      <w:r>
        <w:rPr>
          <w:rFonts w:eastAsia="仿宋_GB2312"/>
          <w:sz w:val="32"/>
          <w:szCs w:val="32"/>
          <w:lang w:bidi="ar"/>
        </w:rPr>
        <w:t>全力做好重大活动安保维稳工作。立足辖区实际，坚持预防为主、综合施策、全面排查、突出应急处置的原则，细化工作方案，统筹辖区各方安保力量，发挥“朝阳群众”品牌效应，抓细抓实抓好地区社会面防控工作。切实做好大排查大整治工作。以大排查大整治工作为契机，以全方位宣传、多角度排查、多轮次整治为抓手，围绕重点内容，紧盯薄弱环节，深入排查整治，确保立行立改，持续推进安全生产和消防安全排查整治工作。</w:t>
      </w:r>
      <w:r>
        <w:rPr>
          <w:rFonts w:eastAsia="仿宋_GB2312"/>
          <w:sz w:val="32"/>
          <w:szCs w:val="32"/>
        </w:rPr>
        <w:t>开展预付消费领域百日攻坚专项治理，制定预付卡管理工作方案，有力防范化解金融风险。</w:t>
      </w:r>
      <w:r>
        <w:rPr>
          <w:rFonts w:eastAsia="仿宋_GB2312"/>
          <w:b/>
          <w:sz w:val="32"/>
          <w:szCs w:val="32"/>
          <w:lang w:bidi="ar"/>
        </w:rPr>
        <w:t>继续打造美丽国门，</w:t>
      </w:r>
      <w:r>
        <w:rPr>
          <w:rFonts w:eastAsia="仿宋_GB2312"/>
          <w:sz w:val="32"/>
          <w:szCs w:val="32"/>
          <w:lang w:bidi="ar"/>
        </w:rPr>
        <w:t>推进“三供一业”移交。</w:t>
      </w:r>
      <w:r>
        <w:rPr>
          <w:rFonts w:eastAsia="仿宋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小天竺城市会客厅项目</w:t>
      </w:r>
      <w:r>
        <w:rPr>
          <w:rFonts w:eastAsia="仿宋"/>
          <w:sz w:val="32"/>
          <w:szCs w:val="32"/>
        </w:rPr>
        <w:t>”获市发改委批复启动实施，</w:t>
      </w:r>
      <w:r>
        <w:rPr>
          <w:rFonts w:eastAsia="仿宋_GB2312"/>
          <w:sz w:val="32"/>
          <w:szCs w:val="32"/>
        </w:rPr>
        <w:t>有序推进</w:t>
      </w:r>
      <w:r>
        <w:rPr>
          <w:rFonts w:eastAsia="仿宋_GB2312"/>
          <w:bCs/>
          <w:sz w:val="32"/>
          <w:szCs w:val="32"/>
        </w:rPr>
        <w:t>花园改造、道路更新等16个工程项目，</w:t>
      </w:r>
      <w:r>
        <w:rPr>
          <w:rFonts w:eastAsia="仿宋_GB2312"/>
          <w:sz w:val="32"/>
          <w:szCs w:val="32"/>
        </w:rPr>
        <w:t>小天竺路、学校路和副食东、西街4条道路完成大修改造，完成“南平东里2号楼、3号楼消除安全隐患”区级党政群共商共治项目</w:t>
      </w:r>
      <w:r>
        <w:rPr>
          <w:rFonts w:eastAsia="仿宋_GB2312"/>
          <w:sz w:val="32"/>
          <w:szCs w:val="32"/>
          <w:lang w:bidi="ar"/>
        </w:rPr>
        <w:t>。探索“厂区大院式”管理模式，对移交后的单位强监督、勤沟通、给帮助，统筹推进移交事宜，确保城市运行平稳有序。</w:t>
      </w:r>
      <w:r>
        <w:rPr>
          <w:rFonts w:eastAsia="仿宋_GB2312"/>
          <w:b/>
          <w:sz w:val="32"/>
          <w:szCs w:val="32"/>
          <w:lang w:bidi="ar"/>
        </w:rPr>
        <w:t>全力建设幸福国门，</w:t>
      </w:r>
      <w:r>
        <w:rPr>
          <w:rFonts w:eastAsia="仿宋_GB2312"/>
          <w:sz w:val="32"/>
          <w:szCs w:val="32"/>
          <w:lang w:bidi="ar"/>
        </w:rPr>
        <w:t>增强为民解忧能力。持续围绕群众诉求反馈，对接资源、搭建平台、主动治理、分类施策、跟踪问效，全力提高接诉即办质效，确保民生诉求反应快、研究快、解决快。抓住用好“发展机遇期”，立足街道发展特点与优势，不断探索“三协一合”主动治理模式，扎实办好各类民生实事，</w:t>
      </w:r>
      <w:r>
        <w:rPr>
          <w:rFonts w:eastAsia="仿宋_GB2312"/>
          <w:sz w:val="32"/>
          <w:szCs w:val="32"/>
        </w:rPr>
        <w:t>接诉即办工作2024年连续12个月市级考评第1名，年度市直派综合成绩第1。</w:t>
      </w:r>
      <w:r>
        <w:rPr>
          <w:rFonts w:eastAsia="仿宋_GB2312"/>
          <w:sz w:val="32"/>
          <w:szCs w:val="32"/>
          <w:lang w:bidi="ar"/>
        </w:rPr>
        <w:t>拓宽基层治理路径。加强社区组织建设和班子建设，为做好辖区社区建设、依法实现自治提供坚强保障。依托党建协调委员会、物管会等协调机制等平台，加强与属地单位沟通协作，提升协商治理水平，帮助解决央产老旧小区“三供一业”移交等民生诉求。依托街道、社区、楼院议事协商平台，培育居民主动发现、协调参与解决公共事务的习惯，坚持“小步快跑”，多措并举打造共建共治共享的社会治理格局。</w:t>
      </w:r>
    </w:p>
    <w:p w14:paraId="4117F97E">
      <w:pPr>
        <w:spacing w:line="600" w:lineRule="exact"/>
        <w:ind w:left="420" w:leftChars="200"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四、预算管理情况分析</w:t>
      </w:r>
    </w:p>
    <w:p w14:paraId="17DA4A74">
      <w:pPr>
        <w:spacing w:line="600" w:lineRule="exact"/>
        <w:ind w:left="105" w:leftChars="50" w:firstLine="480" w:firstLineChars="1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（一）财务管理</w:t>
      </w:r>
    </w:p>
    <w:p w14:paraId="3962FD33">
      <w:pPr>
        <w:spacing w:line="600" w:lineRule="exact"/>
        <w:ind w:left="105" w:leftChars="50" w:firstLine="480" w:firstLineChars="15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1.财务管理制度健全性</w:t>
      </w:r>
    </w:p>
    <w:p w14:paraId="0573CBF2">
      <w:pPr>
        <w:spacing w:line="600" w:lineRule="exact"/>
        <w:ind w:left="105" w:leftChars="50" w:firstLine="480" w:firstLineChars="15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财务管理制度健全、完善，本部门严格执行内部控制制度</w:t>
      </w:r>
    </w:p>
    <w:p w14:paraId="142EA939">
      <w:pPr>
        <w:spacing w:line="600" w:lineRule="exact"/>
        <w:ind w:left="105" w:leftChars="50" w:firstLine="480" w:firstLineChars="15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2.资金使用合规性和安全性</w:t>
      </w:r>
    </w:p>
    <w:p w14:paraId="3972510F"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严格按程序申报、审批，合理合规使用资金，确保财政资金安全。</w:t>
      </w:r>
    </w:p>
    <w:p w14:paraId="67C54F52"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3.会计基础信息完善性</w:t>
      </w:r>
    </w:p>
    <w:p w14:paraId="3433D51B"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确保会计基础信息完善，核算准确无误，内容真实，数字准确。</w:t>
      </w:r>
    </w:p>
    <w:p w14:paraId="6323792A"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（二）资产管理</w:t>
      </w:r>
    </w:p>
    <w:p w14:paraId="1888742A"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货币资金、其他应收款等流动资产，严格按照相关法律法规、规章制度管理，账务管理完善、账实相符；固定资产、无形资产等非流动资产，使用合理，处置规范，从资产配置、使用到处置资产的全过程进行了有效管理。</w:t>
      </w:r>
    </w:p>
    <w:p w14:paraId="57169D4D">
      <w:pPr>
        <w:numPr>
          <w:ilvl w:val="0"/>
          <w:numId w:val="1"/>
        </w:numPr>
        <w:spacing w:line="60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绩效管理</w:t>
      </w:r>
    </w:p>
    <w:p w14:paraId="711EC0CC"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按照相关要求，制定了基本支出、项目支出和整体支出的绩效目标管理，对重点项目目标进行了量化，并严格按照绩效目标管理实施项目、使用资金，实现了部门整体绩效目标编制完整、合理，项目绩效目标编制明确、量化。</w:t>
      </w:r>
    </w:p>
    <w:p w14:paraId="549755C8">
      <w:pPr>
        <w:numPr>
          <w:ilvl w:val="0"/>
          <w:numId w:val="1"/>
        </w:numPr>
        <w:spacing w:line="60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结转结余率</w:t>
      </w:r>
    </w:p>
    <w:p w14:paraId="0015611B"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年年末数0万元，全年支出预算数9914.473550万元，结转结余率0.00%。</w:t>
      </w:r>
    </w:p>
    <w:p w14:paraId="779D0510">
      <w:pPr>
        <w:numPr>
          <w:ilvl w:val="0"/>
          <w:numId w:val="1"/>
        </w:numPr>
        <w:spacing w:line="60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部门预决算差异率</w:t>
      </w:r>
    </w:p>
    <w:p w14:paraId="42EB94BA">
      <w:pPr>
        <w:spacing w:line="600" w:lineRule="exact"/>
        <w:ind w:left="105" w:leftChars="50" w:firstLine="480" w:firstLineChars="15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年决算支出数9914.473550万元，年初预算数7916</w:t>
      </w:r>
      <w:r>
        <w:rPr>
          <w:rFonts w:hint="eastAsia"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656258万元，部门预决算差异率</w:t>
      </w:r>
      <w:r>
        <w:rPr>
          <w:rFonts w:hint="eastAsia" w:eastAsia="仿宋_GB2312"/>
          <w:color w:val="000000"/>
          <w:kern w:val="0"/>
          <w:sz w:val="32"/>
          <w:szCs w:val="32"/>
        </w:rPr>
        <w:t>23.24</w:t>
      </w:r>
      <w:r>
        <w:rPr>
          <w:rFonts w:eastAsia="仿宋_GB2312"/>
          <w:color w:val="000000"/>
          <w:kern w:val="0"/>
          <w:sz w:val="32"/>
          <w:szCs w:val="32"/>
        </w:rPr>
        <w:t>%。</w:t>
      </w:r>
    </w:p>
    <w:p w14:paraId="5704F832">
      <w:pPr>
        <w:spacing w:line="600" w:lineRule="exact"/>
        <w:ind w:left="105" w:leftChars="50" w:firstLine="480" w:firstLineChars="1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五、总体评价结论</w:t>
      </w:r>
    </w:p>
    <w:p w14:paraId="16234A1A">
      <w:pPr>
        <w:spacing w:line="600" w:lineRule="exact"/>
        <w:ind w:left="105" w:leftChars="50" w:firstLine="480" w:firstLineChars="1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（一）评价得分情况</w:t>
      </w:r>
    </w:p>
    <w:p w14:paraId="2706C3FF">
      <w:pPr>
        <w:ind w:firstLine="630"/>
        <w:rPr>
          <w:rFonts w:eastAsia="仿宋_GB2312"/>
          <w:sz w:val="32"/>
          <w:szCs w:val="32"/>
          <w:highlight w:val="none"/>
        </w:rPr>
      </w:pPr>
      <w:bookmarkStart w:id="0" w:name="_GoBack"/>
      <w:r>
        <w:rPr>
          <w:rFonts w:eastAsia="仿宋_GB2312"/>
          <w:sz w:val="32"/>
          <w:szCs w:val="32"/>
          <w:highlight w:val="none"/>
        </w:rPr>
        <w:t>根据部门整体支出绩效评价指标体系，我部门202</w:t>
      </w:r>
      <w:r>
        <w:rPr>
          <w:rFonts w:hint="eastAsia" w:eastAsia="仿宋_GB2312"/>
          <w:sz w:val="32"/>
          <w:szCs w:val="32"/>
          <w:highlight w:val="none"/>
        </w:rPr>
        <w:t>4</w:t>
      </w:r>
      <w:r>
        <w:rPr>
          <w:rFonts w:eastAsia="仿宋_GB2312"/>
          <w:sz w:val="32"/>
          <w:szCs w:val="32"/>
          <w:highlight w:val="none"/>
        </w:rPr>
        <w:t>年度部门整体支出绩效自评得分是：99分。</w:t>
      </w:r>
    </w:p>
    <w:bookmarkEnd w:id="0"/>
    <w:p w14:paraId="6BBEDA04">
      <w:pPr>
        <w:spacing w:line="600" w:lineRule="exact"/>
        <w:ind w:left="105" w:leftChars="50" w:firstLine="480" w:firstLineChars="1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（二）存在的问题及原因分析</w:t>
      </w:r>
    </w:p>
    <w:p w14:paraId="090101D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问题：目标编制不科学、质量不高。</w:t>
      </w:r>
    </w:p>
    <w:p w14:paraId="76BDA1E2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原因：对预算执行的重视程度不高，业务部门对预算编制了解不多，未意识到预算执行的重要性。</w:t>
      </w:r>
    </w:p>
    <w:p w14:paraId="5459E7C3"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六、措施建议</w:t>
      </w:r>
    </w:p>
    <w:p w14:paraId="02ADF0F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是明确职责，压实责任。坚持“谁花钱、谁问效”原则，压实项目负责人预算绩效管理主体责任，强化责任意识。二是加强培训，定期组织部门培训，不断提高各部门报送预算计划的质量。三是加强监管，推动全面预算绩效管理真落地、见实效，使每一笔财政资金分配合理、使用到位、发挥效益。</w:t>
      </w:r>
    </w:p>
    <w:p w14:paraId="0F23CD4D">
      <w:pPr>
        <w:rPr>
          <w:rFonts w:eastAsia="仿宋"/>
          <w:sz w:val="32"/>
          <w:szCs w:val="32"/>
        </w:rPr>
      </w:pPr>
    </w:p>
    <w:p w14:paraId="39905108"/>
    <w:p w14:paraId="296E29C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141262"/>
      <w:docPartObj>
        <w:docPartGallery w:val="AutoText"/>
      </w:docPartObj>
    </w:sdtPr>
    <w:sdtContent>
      <w:p w14:paraId="248027F7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0142B6C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11EC7"/>
    <w:multiLevelType w:val="singleLevel"/>
    <w:tmpl w:val="16811E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902D3FF"/>
    <w:multiLevelType w:val="singleLevel"/>
    <w:tmpl w:val="1902D3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Dk1MWZkMzViZGFiNzk5NGFmYjc0ZGMwY2RhMWYifQ=="/>
  </w:docVars>
  <w:rsids>
    <w:rsidRoot w:val="69BF12E6"/>
    <w:rsid w:val="000164E2"/>
    <w:rsid w:val="00020782"/>
    <w:rsid w:val="000537B4"/>
    <w:rsid w:val="00066A52"/>
    <w:rsid w:val="000968CB"/>
    <w:rsid w:val="000A1868"/>
    <w:rsid w:val="000A330C"/>
    <w:rsid w:val="000B3E9B"/>
    <w:rsid w:val="000D381B"/>
    <w:rsid w:val="000F53DC"/>
    <w:rsid w:val="00144A80"/>
    <w:rsid w:val="00157259"/>
    <w:rsid w:val="0016285A"/>
    <w:rsid w:val="0018135E"/>
    <w:rsid w:val="0019625F"/>
    <w:rsid w:val="001D4C01"/>
    <w:rsid w:val="0021387A"/>
    <w:rsid w:val="002C0D8D"/>
    <w:rsid w:val="00424B85"/>
    <w:rsid w:val="00431523"/>
    <w:rsid w:val="00443C97"/>
    <w:rsid w:val="00500C35"/>
    <w:rsid w:val="00530F9B"/>
    <w:rsid w:val="0056138B"/>
    <w:rsid w:val="00574238"/>
    <w:rsid w:val="005A078F"/>
    <w:rsid w:val="0061393F"/>
    <w:rsid w:val="00641B8D"/>
    <w:rsid w:val="00681EAA"/>
    <w:rsid w:val="006F63A9"/>
    <w:rsid w:val="006F6B1A"/>
    <w:rsid w:val="00717FDC"/>
    <w:rsid w:val="007422BA"/>
    <w:rsid w:val="0076255B"/>
    <w:rsid w:val="00785E64"/>
    <w:rsid w:val="00832345"/>
    <w:rsid w:val="008436E2"/>
    <w:rsid w:val="008522DD"/>
    <w:rsid w:val="008935C3"/>
    <w:rsid w:val="009622F0"/>
    <w:rsid w:val="009631A0"/>
    <w:rsid w:val="00A02C0D"/>
    <w:rsid w:val="00A66DF4"/>
    <w:rsid w:val="00B01986"/>
    <w:rsid w:val="00B23741"/>
    <w:rsid w:val="00B23D3E"/>
    <w:rsid w:val="00B660F2"/>
    <w:rsid w:val="00B81B02"/>
    <w:rsid w:val="00BC3BEA"/>
    <w:rsid w:val="00BD06DB"/>
    <w:rsid w:val="00C3163C"/>
    <w:rsid w:val="00C407CA"/>
    <w:rsid w:val="00CC175C"/>
    <w:rsid w:val="00CC30DC"/>
    <w:rsid w:val="00CE3387"/>
    <w:rsid w:val="00CF0D38"/>
    <w:rsid w:val="00D238CB"/>
    <w:rsid w:val="00D40D90"/>
    <w:rsid w:val="00DA1547"/>
    <w:rsid w:val="00DC68E4"/>
    <w:rsid w:val="00E366D1"/>
    <w:rsid w:val="00E437BB"/>
    <w:rsid w:val="00E578A8"/>
    <w:rsid w:val="00E613E8"/>
    <w:rsid w:val="00E83D4D"/>
    <w:rsid w:val="00EA4A8D"/>
    <w:rsid w:val="00F04BEC"/>
    <w:rsid w:val="00F17AA5"/>
    <w:rsid w:val="00F231C4"/>
    <w:rsid w:val="00F34F69"/>
    <w:rsid w:val="00F73E9A"/>
    <w:rsid w:val="00FE7B8B"/>
    <w:rsid w:val="1DB01386"/>
    <w:rsid w:val="22032E04"/>
    <w:rsid w:val="247D50F0"/>
    <w:rsid w:val="2E115C27"/>
    <w:rsid w:val="45611A6C"/>
    <w:rsid w:val="50EC2916"/>
    <w:rsid w:val="55E95892"/>
    <w:rsid w:val="69BF12E6"/>
    <w:rsid w:val="F7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4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link w:val="13"/>
    <w:qFormat/>
    <w:uiPriority w:val="0"/>
    <w:pPr>
      <w:ind w:firstLine="420" w:firstLineChars="200"/>
    </w:pPr>
  </w:style>
  <w:style w:type="character" w:customStyle="1" w:styleId="12">
    <w:name w:val="正文文本缩进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13">
    <w:name w:val="正文首行缩进 2 Char"/>
    <w:basedOn w:val="12"/>
    <w:link w:val="9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7">
    <w:name w:val="正文文本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团结湖街道</Company>
  <Pages>7</Pages>
  <Words>518</Words>
  <Characters>2959</Characters>
  <Lines>24</Lines>
  <Paragraphs>6</Paragraphs>
  <TotalTime>703</TotalTime>
  <ScaleCrop>false</ScaleCrop>
  <LinksUpToDate>false</LinksUpToDate>
  <CharactersWithSpaces>3471</CharactersWithSpaces>
  <Application>WPS Office WWO_wpscloud_20241127135947-7b6df83df5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2023-01-11T17:12:00Z</dcterms:created>
  <dc:creator>Administrator</dc:creator>
  <cp:lastModifiedBy>chenjiao</cp:lastModifiedBy>
  <cp:lastPrinted>2024-03-26T10:48:00Z</cp:lastPrinted>
  <dcterms:modified xsi:type="dcterms:W3CDTF">2025-02-08T09:07:11Z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7CCC3641977A57A33FAEA6679DA77788_43</vt:lpwstr>
  </property>
</Properties>
</file>