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jc w:val="left"/>
        <w:rPr>
          <w:rFonts w:ascii="仿宋_GB2312" w:eastAsia="仿宋_GB2312"/>
          <w:color w:val="000000"/>
          <w:sz w:val="32"/>
          <w:szCs w:val="32"/>
        </w:rPr>
      </w:pPr>
      <w:r>
        <w:rPr>
          <w:rFonts w:hint="eastAsia" w:ascii="仿宋_GB2312" w:eastAsia="仿宋_GB2312"/>
          <w:color w:val="000000"/>
          <w:sz w:val="32"/>
          <w:szCs w:val="32"/>
        </w:rPr>
        <w:t>附件：</w:t>
      </w:r>
    </w:p>
    <w:p>
      <w:pPr>
        <w:spacing w:line="560" w:lineRule="exact"/>
        <w:ind w:firstLine="880" w:firstLineChars="20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朝阳区办理北京市工作居住证指标分配</w:t>
      </w:r>
    </w:p>
    <w:p>
      <w:pPr>
        <w:spacing w:line="560" w:lineRule="exact"/>
        <w:ind w:firstLine="880" w:firstLineChars="20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实施办法</w:t>
      </w:r>
    </w:p>
    <w:p>
      <w:pPr>
        <w:ind w:firstLine="640" w:firstLineChars="200"/>
        <w:jc w:val="left"/>
        <w:rPr>
          <w:rFonts w:ascii="仿宋_GB2312" w:eastAsia="仿宋_GB2312"/>
          <w:color w:val="000000"/>
          <w:sz w:val="32"/>
          <w:szCs w:val="32"/>
        </w:rPr>
      </w:pPr>
    </w:p>
    <w:p>
      <w:pPr>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第一章 总则</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第一条</w:t>
      </w:r>
      <w:r>
        <w:rPr>
          <w:rFonts w:hint="eastAsia" w:ascii="仿宋_GB2312" w:eastAsia="仿宋_GB2312"/>
          <w:color w:val="000000"/>
          <w:sz w:val="32"/>
          <w:szCs w:val="32"/>
        </w:rPr>
        <w:t xml:space="preserve">  为顺应朝阳区产业结构良性发展，持续优化营商环境，为辖区各类优秀人才提供更科学、更规范、更有序的服务保障，根据《关于进一步做好&lt;北京市工作居住证&gt;办理工作的通知》（京组通〔2019〕9号）和《关于印发&lt;朝阳区办理北京市工作居住证实施细则（试行）&gt;的通知》(朝人社发〔2019〕12号)（以下简称“实施细则”）的文件精神，结合本区实际，制定本办法。</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 xml:space="preserve">第二条 </w:t>
      </w:r>
      <w:r>
        <w:rPr>
          <w:rFonts w:hint="eastAsia" w:ascii="仿宋_GB2312" w:eastAsia="仿宋_GB2312"/>
          <w:color w:val="000000"/>
          <w:sz w:val="32"/>
          <w:szCs w:val="32"/>
        </w:rPr>
        <w:t xml:space="preserve"> 朝阳区办理北京市工作居住证按照条件准入、总量控制、服务重点、动态管理为基本原则，对辖区各单位申请北京市工作居住证办理数量进行指标分配。</w:t>
      </w:r>
    </w:p>
    <w:p>
      <w:pPr>
        <w:ind w:firstLine="640" w:firstLineChars="200"/>
        <w:jc w:val="left"/>
        <w:rPr>
          <w:rFonts w:hint="eastAsia" w:ascii="仿宋_GB2312" w:eastAsia="仿宋_GB2312"/>
          <w:color w:val="000000"/>
          <w:sz w:val="32"/>
          <w:szCs w:val="32"/>
        </w:rPr>
      </w:pPr>
      <w:r>
        <w:rPr>
          <w:rFonts w:hint="eastAsia" w:ascii="黑体" w:hAnsi="黑体" w:eastAsia="黑体"/>
          <w:color w:val="000000"/>
          <w:sz w:val="32"/>
          <w:szCs w:val="32"/>
        </w:rPr>
        <w:t xml:space="preserve">第三条 </w:t>
      </w:r>
      <w:r>
        <w:rPr>
          <w:rFonts w:hint="eastAsia" w:ascii="仿宋_GB2312" w:eastAsia="仿宋_GB2312"/>
          <w:color w:val="000000"/>
          <w:sz w:val="32"/>
          <w:szCs w:val="32"/>
        </w:rPr>
        <w:t xml:space="preserve"> 朝阳区年办理量根据市局办理总量的限制，结合我区实际经济发展、人才引进，以及窗口承载量等因素确定每年办理总量。 </w:t>
      </w:r>
    </w:p>
    <w:p>
      <w:pPr>
        <w:jc w:val="center"/>
        <w:rPr>
          <w:rFonts w:ascii="仿宋_GB2312" w:eastAsia="仿宋_GB2312"/>
          <w:color w:val="000000"/>
          <w:sz w:val="32"/>
          <w:szCs w:val="32"/>
        </w:rPr>
      </w:pPr>
      <w:r>
        <w:rPr>
          <w:rFonts w:hint="eastAsia" w:ascii="黑体" w:hAnsi="黑体" w:eastAsia="黑体"/>
          <w:color w:val="000000"/>
          <w:sz w:val="32"/>
          <w:szCs w:val="32"/>
        </w:rPr>
        <w:t>第二章  部门职责</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建立用人单位、区人力资源公共服务中心业务受理部门（以下简称“业务受理部门”）和区人力社保局业务管理部</w:t>
      </w:r>
      <w:bookmarkStart w:id="0" w:name="_GoBack"/>
      <w:bookmarkEnd w:id="0"/>
      <w:r>
        <w:rPr>
          <w:rFonts w:hint="eastAsia" w:ascii="仿宋_GB2312" w:eastAsia="仿宋_GB2312"/>
          <w:color w:val="000000"/>
          <w:sz w:val="32"/>
          <w:szCs w:val="32"/>
        </w:rPr>
        <w:t>门（以下简称“业务管理部门”）组成的三级工作体系。各部门尽职履责，协调联动，共同做好指标分配工作。</w:t>
      </w:r>
    </w:p>
    <w:p>
      <w:pPr>
        <w:ind w:firstLine="640" w:firstLineChars="200"/>
        <w:jc w:val="left"/>
        <w:rPr>
          <w:rFonts w:hint="eastAsia" w:ascii="仿宋_GB2312" w:eastAsia="仿宋_GB2312"/>
          <w:color w:val="000000"/>
          <w:sz w:val="32"/>
          <w:szCs w:val="32"/>
        </w:rPr>
      </w:pPr>
      <w:r>
        <w:rPr>
          <w:rFonts w:hint="eastAsia" w:ascii="黑体" w:hAnsi="黑体" w:eastAsia="黑体"/>
          <w:color w:val="000000"/>
          <w:sz w:val="32"/>
          <w:szCs w:val="32"/>
        </w:rPr>
        <w:t>第五条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用人单位结合人员在职在岗情况，做好本单位的指标需求申报工作。业务管理部门负责指标需求申报的受理、指标分配与下达工作。业务受理部门按照指标分配结果落实工作居住证的受理。</w:t>
      </w:r>
    </w:p>
    <w:p>
      <w:pPr>
        <w:ind w:firstLine="640" w:firstLineChars="200"/>
        <w:jc w:val="center"/>
        <w:rPr>
          <w:rFonts w:ascii="仿宋_GB2312" w:eastAsia="仿宋_GB2312"/>
          <w:color w:val="000000"/>
          <w:sz w:val="32"/>
          <w:szCs w:val="32"/>
        </w:rPr>
      </w:pPr>
      <w:r>
        <w:rPr>
          <w:rFonts w:hint="eastAsia" w:ascii="黑体" w:hAnsi="黑体" w:eastAsia="黑体"/>
          <w:color w:val="000000"/>
          <w:sz w:val="32"/>
          <w:szCs w:val="32"/>
        </w:rPr>
        <w:t>第三章  分配条件</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eastAsia="仿宋_GB2312"/>
          <w:color w:val="000000"/>
          <w:sz w:val="32"/>
          <w:szCs w:val="32"/>
        </w:rPr>
        <w:t xml:space="preserve">  符合首都城市功能定位和首都经济发展方向及产业规划要求的具有法人资格的企事业单位、民办非企业单位、社会团体，外国（地区）、外埠在京设立的非法人分支机构等合法注册备案的机构。</w:t>
      </w:r>
    </w:p>
    <w:p>
      <w:pPr>
        <w:ind w:firstLine="640" w:firstLineChars="200"/>
        <w:jc w:val="left"/>
        <w:rPr>
          <w:rFonts w:hint="eastAsia" w:ascii="仿宋_GB2312" w:eastAsia="仿宋_GB2312"/>
          <w:color w:val="000000"/>
          <w:sz w:val="32"/>
          <w:szCs w:val="32"/>
        </w:rPr>
      </w:pPr>
      <w:r>
        <w:rPr>
          <w:rFonts w:hint="eastAsia" w:ascii="黑体" w:hAnsi="黑体" w:eastAsia="黑体"/>
          <w:color w:val="000000"/>
          <w:sz w:val="32"/>
          <w:szCs w:val="32"/>
        </w:rPr>
        <w:t>第七条</w:t>
      </w:r>
      <w:r>
        <w:rPr>
          <w:rFonts w:hint="eastAsia" w:ascii="仿宋_GB2312" w:eastAsia="仿宋_GB2312"/>
          <w:color w:val="000000"/>
          <w:sz w:val="32"/>
          <w:szCs w:val="32"/>
        </w:rPr>
        <w:t xml:space="preserve">  盈利单位原则上应在朝阳区注册、税务登记并缴纳税费满</w:t>
      </w:r>
      <w:r>
        <w:rPr>
          <w:rFonts w:ascii="仿宋_GB2312" w:eastAsia="仿宋_GB2312"/>
          <w:color w:val="000000"/>
          <w:sz w:val="32"/>
          <w:szCs w:val="32"/>
        </w:rPr>
        <w:t>1</w:t>
      </w:r>
      <w:r>
        <w:rPr>
          <w:rFonts w:hint="eastAsia" w:ascii="仿宋_GB2312" w:eastAsia="仿宋_GB2312"/>
          <w:color w:val="000000"/>
          <w:sz w:val="32"/>
          <w:szCs w:val="32"/>
        </w:rPr>
        <w:t>年，年纳税额原则上不低于2</w:t>
      </w:r>
      <w:r>
        <w:rPr>
          <w:rFonts w:ascii="仿宋_GB2312" w:eastAsia="仿宋_GB2312"/>
          <w:color w:val="000000"/>
          <w:sz w:val="32"/>
          <w:szCs w:val="32"/>
        </w:rPr>
        <w:t>0</w:t>
      </w:r>
      <w:r>
        <w:rPr>
          <w:rFonts w:hint="eastAsia" w:ascii="仿宋_GB2312" w:eastAsia="仿宋_GB2312"/>
          <w:color w:val="000000"/>
          <w:sz w:val="32"/>
          <w:szCs w:val="32"/>
        </w:rPr>
        <w:t>万或近三年累计纳税不低于60万元；非盈利单位原则上应在朝阳区注册登记满</w:t>
      </w:r>
      <w:r>
        <w:rPr>
          <w:rFonts w:ascii="仿宋_GB2312" w:eastAsia="仿宋_GB2312"/>
          <w:color w:val="000000"/>
          <w:sz w:val="32"/>
          <w:szCs w:val="32"/>
        </w:rPr>
        <w:t>1</w:t>
      </w:r>
      <w:r>
        <w:rPr>
          <w:rFonts w:hint="eastAsia" w:ascii="仿宋_GB2312" w:eastAsia="仿宋_GB2312"/>
          <w:color w:val="000000"/>
          <w:sz w:val="32"/>
          <w:szCs w:val="32"/>
        </w:rPr>
        <w:t>年，员工人数不少于10人。</w:t>
      </w:r>
    </w:p>
    <w:p>
      <w:pPr>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第四章  分配原则及办法</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盈利单位以辖区经济贡献、就业人员规模两项指标作为分配原则，适用于年纳税额不低于2</w:t>
      </w:r>
      <w:r>
        <w:rPr>
          <w:rFonts w:ascii="仿宋_GB2312" w:eastAsia="仿宋_GB2312"/>
          <w:color w:val="000000"/>
          <w:sz w:val="32"/>
          <w:szCs w:val="32"/>
        </w:rPr>
        <w:t>0</w:t>
      </w:r>
      <w:r>
        <w:rPr>
          <w:rFonts w:hint="eastAsia" w:ascii="仿宋_GB2312" w:eastAsia="仿宋_GB2312"/>
          <w:color w:val="000000"/>
          <w:sz w:val="32"/>
          <w:szCs w:val="32"/>
        </w:rPr>
        <w:t>万或近三年累计纳税不低于60万元的单位，并根据申请单位上年度纳税额度和单位人数进行打分测评，确定当年分配工作居住证办理的名额数量。</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非盈利单位以就业人员规模作为分配原则，适用于员工人数不少于10人的单位，并根据申请单位上年度单位人数确定当年分配工作居住证办理的名额数量。</w:t>
      </w:r>
    </w:p>
    <w:p>
      <w:pPr>
        <w:ind w:firstLine="640" w:firstLineChars="200"/>
        <w:rPr>
          <w:rFonts w:ascii="仿宋_GB2312"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color w:val="000000"/>
          <w:sz w:val="32"/>
          <w:szCs w:val="32"/>
        </w:rPr>
        <w:t xml:space="preserve">  指标分配测评标准视我区当年社会经济发展需要即时调整。同时，对符合《实施细则》第六条要求的、与我区签署战略协议的、人力资源机构分类分级评定B级及以上的、社会经济贡献有发展潜力的、行业主管部门推荐的单位和对适龄儿童入学有刚性办理需求的申请人可适当增加指标名额。</w:t>
      </w:r>
    </w:p>
    <w:p>
      <w:pPr>
        <w:ind w:firstLine="640" w:firstLineChars="200"/>
        <w:rPr>
          <w:rFonts w:ascii="仿宋_GB2312" w:eastAsia="仿宋_GB2312"/>
          <w:color w:val="000000"/>
          <w:sz w:val="32"/>
          <w:szCs w:val="32"/>
        </w:rPr>
      </w:pPr>
      <w:r>
        <w:rPr>
          <w:rFonts w:hint="eastAsia" w:ascii="黑体" w:hAnsi="黑体" w:eastAsia="黑体"/>
          <w:color w:val="000000"/>
          <w:sz w:val="32"/>
          <w:szCs w:val="32"/>
        </w:rPr>
        <w:t>第十一条</w:t>
      </w:r>
      <w:r>
        <w:rPr>
          <w:rFonts w:hint="eastAsia" w:ascii="仿宋_GB2312" w:eastAsia="仿宋_GB2312"/>
          <w:color w:val="000000"/>
          <w:sz w:val="32"/>
          <w:szCs w:val="32"/>
        </w:rPr>
        <w:t xml:space="preserve">  分配指标单位未全部使用的应主动申请退回指标，逾期未主动申请退回的将自动收回指标。连续两年未全部使用或未主动申请退回的单位次年将压减指标名额。退回的指标按照分配原则进行再次分配。</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第十二条</w:t>
      </w:r>
      <w:r>
        <w:rPr>
          <w:rFonts w:hint="eastAsia" w:ascii="仿宋_GB2312" w:eastAsia="仿宋_GB2312"/>
          <w:color w:val="000000"/>
          <w:sz w:val="32"/>
          <w:szCs w:val="32"/>
        </w:rPr>
        <w:t xml:space="preserve">  《实施细则》第六条所涉及的重点企业在我区新近设立子公司、分公司，可不受在朝阳区注册、税务登记并缴纳税费满</w:t>
      </w:r>
      <w:r>
        <w:rPr>
          <w:rFonts w:ascii="仿宋_GB2312" w:eastAsia="仿宋_GB2312"/>
          <w:color w:val="000000"/>
          <w:sz w:val="32"/>
          <w:szCs w:val="32"/>
        </w:rPr>
        <w:t>1</w:t>
      </w:r>
      <w:r>
        <w:rPr>
          <w:rFonts w:hint="eastAsia" w:ascii="仿宋_GB2312" w:eastAsia="仿宋_GB2312"/>
          <w:color w:val="000000"/>
          <w:sz w:val="32"/>
          <w:szCs w:val="32"/>
        </w:rPr>
        <w:t>年的条件进行开户，但注册满一年后单位纳税不能低于20万。</w:t>
      </w:r>
      <w:r>
        <w:rPr>
          <w:rFonts w:ascii="仿宋_GB2312" w:eastAsia="仿宋_GB2312"/>
          <w:color w:val="000000"/>
          <w:sz w:val="32"/>
          <w:szCs w:val="32"/>
        </w:rPr>
        <w:t xml:space="preserve"> 符合分配条件的未开户单位，可随时提交申报指标需求</w:t>
      </w:r>
      <w:r>
        <w:rPr>
          <w:rFonts w:hint="eastAsia" w:ascii="仿宋_GB2312" w:eastAsia="仿宋_GB2312"/>
          <w:color w:val="000000"/>
          <w:sz w:val="32"/>
          <w:szCs w:val="32"/>
        </w:rPr>
        <w:t>。</w:t>
      </w:r>
    </w:p>
    <w:p>
      <w:pPr>
        <w:ind w:firstLine="640" w:firstLineChars="200"/>
        <w:jc w:val="left"/>
        <w:rPr>
          <w:rFonts w:hint="eastAsia" w:ascii="仿宋_GB2312" w:eastAsia="仿宋_GB2312"/>
          <w:color w:val="000000"/>
          <w:sz w:val="32"/>
          <w:szCs w:val="32"/>
        </w:rPr>
      </w:pPr>
      <w:r>
        <w:rPr>
          <w:rFonts w:hint="eastAsia" w:ascii="黑体" w:hAnsi="黑体" w:eastAsia="黑体"/>
          <w:color w:val="000000"/>
          <w:sz w:val="32"/>
          <w:szCs w:val="32"/>
        </w:rPr>
        <w:t>第十三条</w:t>
      </w:r>
      <w:r>
        <w:rPr>
          <w:rFonts w:hint="eastAsia" w:ascii="仿宋_GB2312" w:eastAsia="仿宋_GB2312"/>
          <w:color w:val="000000"/>
          <w:sz w:val="32"/>
          <w:szCs w:val="32"/>
        </w:rPr>
        <w:t xml:space="preserve">  对已在工作居住证系统中开户，在单位账户中有人员存量，此办法实施后不能满足第七条要求的,不能为员工办理新办及聘用单位变更手续，其他业务可正常办理。</w:t>
      </w:r>
    </w:p>
    <w:p>
      <w:pPr>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第五章  申报流程</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第十四条</w:t>
      </w:r>
      <w:r>
        <w:rPr>
          <w:rFonts w:hint="eastAsia" w:ascii="仿宋_GB2312" w:eastAsia="仿宋_GB2312"/>
          <w:color w:val="000000"/>
          <w:sz w:val="32"/>
          <w:szCs w:val="32"/>
        </w:rPr>
        <w:t xml:space="preserve">  上年年末，各用人单位申报指标需求及单位数据（附件）报送区人力社保局。区人力社保局根据当年指标总量，以及各单位税收、人员规模，确定各单位指标。并在当年年初，向各用人单位下达分配指标数量。</w:t>
      </w:r>
    </w:p>
    <w:p>
      <w:pPr>
        <w:ind w:firstLine="640" w:firstLineChars="200"/>
        <w:rPr>
          <w:rFonts w:ascii="仿宋_GB2312" w:eastAsia="仿宋_GB2312"/>
          <w:color w:val="000000"/>
          <w:sz w:val="32"/>
          <w:szCs w:val="32"/>
        </w:rPr>
      </w:pPr>
      <w:r>
        <w:rPr>
          <w:rFonts w:hint="eastAsia" w:ascii="黑体" w:hAnsi="黑体" w:eastAsia="黑体"/>
          <w:color w:val="000000"/>
          <w:sz w:val="32"/>
          <w:szCs w:val="32"/>
        </w:rPr>
        <w:t>第十五条</w:t>
      </w:r>
      <w:r>
        <w:rPr>
          <w:rFonts w:hint="eastAsia" w:ascii="仿宋_GB2312" w:eastAsia="仿宋_GB2312"/>
          <w:color w:val="000000"/>
          <w:sz w:val="32"/>
          <w:szCs w:val="32"/>
        </w:rPr>
        <w:t xml:space="preserve">  业务管理部门将指标分配给用人单位，业务受理部门将分配数据纳入预约系统，按照指标分配结果进行预约办理。</w:t>
      </w:r>
    </w:p>
    <w:p>
      <w:pPr>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第六章</w:t>
      </w:r>
      <w:r>
        <w:rPr>
          <w:rFonts w:ascii="黑体" w:hAnsi="黑体" w:eastAsia="黑体"/>
          <w:color w:val="000000"/>
          <w:sz w:val="32"/>
          <w:szCs w:val="32"/>
        </w:rPr>
        <w:t xml:space="preserve">  </w:t>
      </w:r>
      <w:r>
        <w:rPr>
          <w:rFonts w:hint="eastAsia" w:ascii="黑体" w:hAnsi="黑体" w:eastAsia="黑体"/>
          <w:color w:val="000000"/>
          <w:sz w:val="32"/>
          <w:szCs w:val="32"/>
        </w:rPr>
        <w:t>监督管理</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第十六条</w:t>
      </w:r>
      <w:r>
        <w:rPr>
          <w:rFonts w:hint="eastAsia" w:ascii="仿宋_GB2312" w:eastAsia="仿宋_GB2312"/>
          <w:color w:val="000000"/>
          <w:sz w:val="32"/>
          <w:szCs w:val="32"/>
        </w:rPr>
        <w:t xml:space="preserve">  各用人单位应对所提交的单位数据真实性承担法律责任，区人力社保局将对提交的数据进行抽查。区人力社保局和用人单位应通过内部审查、第三方审查等方式开展经常性的抽查、检查和自查工作。</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第十七条</w:t>
      </w:r>
      <w:r>
        <w:rPr>
          <w:rFonts w:hint="eastAsia" w:ascii="仿宋_GB2312" w:eastAsia="仿宋_GB2312"/>
          <w:color w:val="000000"/>
          <w:sz w:val="32"/>
          <w:szCs w:val="32"/>
        </w:rPr>
        <w:t xml:space="preserve">  区人力社保局、用人单位和申请人等，存在以下情形的，给予相应处罚：</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（一）为超出管理范围的人员申请办理北京市工作居住证的；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（二）用人单位管理制度不健全，不配合检查或未按要求进行整改的；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（三）提供或协助申请人提供虚假材料的；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（四）不严格核实申报材料，推诿、拖延办事，造成申请人利益受到严重损害的；</w:t>
      </w:r>
    </w:p>
    <w:p>
      <w:pPr>
        <w:ind w:firstLine="640" w:firstLineChars="200"/>
        <w:jc w:val="left"/>
        <w:rPr>
          <w:rFonts w:ascii="仿宋_GB2312" w:eastAsia="仿宋_GB2312"/>
          <w:color w:val="000000"/>
          <w:sz w:val="32"/>
          <w:szCs w:val="32"/>
        </w:rPr>
      </w:pPr>
      <w:r>
        <w:rPr>
          <w:rFonts w:hint="eastAsia" w:ascii="仿宋_GB2312" w:eastAsia="仿宋_GB2312"/>
          <w:bCs/>
          <w:color w:val="000000"/>
          <w:sz w:val="32"/>
          <w:szCs w:val="32"/>
        </w:rPr>
        <w:t>（五）</w:t>
      </w:r>
      <w:r>
        <w:rPr>
          <w:rFonts w:hint="eastAsia" w:ascii="仿宋_GB2312" w:eastAsia="仿宋_GB2312"/>
          <w:color w:val="000000"/>
          <w:sz w:val="32"/>
          <w:szCs w:val="32"/>
        </w:rPr>
        <w:t>以办理北京市工作居住证事项为由，收取申请人代理费、服务费等费用的；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（六）存在索贿、受贿或者行贿行为的；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（七）存在其他违反法律法规或规章制度行为的。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其中，用人单位视情给予压减办理数量、列入黑名单、取消申报资格等处理；申请人等相关人员视情给予列入黑名单、注销工作居住证等处理，涉嫌违纪违法的，移交纪检监察或司法机关处理。</w:t>
      </w:r>
    </w:p>
    <w:p>
      <w:pPr>
        <w:ind w:firstLine="640" w:firstLineChars="200"/>
        <w:jc w:val="left"/>
        <w:rPr>
          <w:rFonts w:hint="eastAsia" w:ascii="仿宋_GB2312" w:eastAsia="仿宋_GB2312"/>
          <w:color w:val="000000"/>
          <w:sz w:val="32"/>
          <w:szCs w:val="32"/>
        </w:rPr>
      </w:pPr>
      <w:r>
        <w:rPr>
          <w:rFonts w:hint="eastAsia" w:ascii="黑体" w:hAnsi="黑体" w:eastAsia="黑体"/>
          <w:color w:val="000000"/>
          <w:sz w:val="32"/>
          <w:szCs w:val="32"/>
        </w:rPr>
        <w:t>第十八条</w:t>
      </w:r>
      <w:r>
        <w:rPr>
          <w:rFonts w:hint="eastAsia" w:ascii="仿宋_GB2312" w:eastAsia="仿宋_GB2312"/>
          <w:color w:val="000000"/>
          <w:sz w:val="32"/>
          <w:szCs w:val="32"/>
        </w:rPr>
        <w:t xml:space="preserve">  按照目前市、区两级政策办理要求,可逐步优化日常审核工作居住证的必要条件，并结合实际情况进行实时调整。</w:t>
      </w:r>
    </w:p>
    <w:p>
      <w:pPr>
        <w:ind w:firstLine="640" w:firstLineChars="200"/>
        <w:jc w:val="center"/>
        <w:rPr>
          <w:rFonts w:ascii="黑体" w:hAnsi="黑体" w:eastAsia="黑体"/>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七</w:t>
      </w:r>
      <w:r>
        <w:rPr>
          <w:rFonts w:ascii="黑体" w:hAnsi="黑体" w:eastAsia="黑体"/>
          <w:color w:val="000000"/>
          <w:sz w:val="32"/>
          <w:szCs w:val="32"/>
        </w:rPr>
        <w:t>章</w:t>
      </w:r>
      <w:r>
        <w:rPr>
          <w:rFonts w:hint="eastAsia" w:ascii="黑体" w:hAnsi="黑体" w:eastAsia="黑体"/>
          <w:color w:val="000000"/>
          <w:sz w:val="32"/>
          <w:szCs w:val="32"/>
        </w:rPr>
        <w:t xml:space="preserve">  附则</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第十九条</w:t>
      </w:r>
      <w:r>
        <w:rPr>
          <w:rFonts w:hint="eastAsia" w:ascii="仿宋_GB2312" w:eastAsia="仿宋_GB2312"/>
          <w:color w:val="000000"/>
          <w:sz w:val="32"/>
          <w:szCs w:val="32"/>
        </w:rPr>
        <w:t xml:space="preserve">  本办法由区人力社保局负责解释，并根据区域经济社会发展情况适时对指标分配办法进行调整。</w:t>
      </w:r>
    </w:p>
    <w:p>
      <w:pPr>
        <w:ind w:firstLine="640" w:firstLineChars="200"/>
        <w:jc w:val="left"/>
        <w:rPr>
          <w:rFonts w:ascii="仿宋_GB2312" w:eastAsia="仿宋_GB2312"/>
          <w:color w:val="000000"/>
          <w:sz w:val="32"/>
          <w:szCs w:val="32"/>
        </w:rPr>
      </w:pPr>
      <w:r>
        <w:rPr>
          <w:rFonts w:hint="eastAsia" w:ascii="黑体" w:hAnsi="黑体" w:eastAsia="黑体"/>
          <w:color w:val="000000"/>
          <w:sz w:val="32"/>
          <w:szCs w:val="32"/>
        </w:rPr>
        <w:t>第二十条</w:t>
      </w:r>
      <w:r>
        <w:rPr>
          <w:rFonts w:hint="eastAsia" w:ascii="仿宋_GB2312" w:eastAsia="仿宋_GB2312"/>
          <w:color w:val="000000"/>
          <w:sz w:val="32"/>
          <w:szCs w:val="32"/>
        </w:rPr>
        <w:t xml:space="preserve">  本办法自发布之日起实施。</w:t>
      </w:r>
    </w:p>
    <w:p>
      <w:pPr>
        <w:ind w:firstLine="640" w:firstLineChars="200"/>
        <w:jc w:val="left"/>
        <w:rPr>
          <w:rFonts w:ascii="仿宋_GB2312" w:eastAsia="仿宋_GB2312"/>
          <w:color w:val="000000"/>
          <w:sz w:val="32"/>
          <w:szCs w:val="32"/>
        </w:rPr>
      </w:pP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 xml:space="preserve"> </w:t>
      </w:r>
      <w:r>
        <w:rPr>
          <w:rFonts w:hint="eastAsia" w:ascii="仿宋_GB2312" w:eastAsia="仿宋_GB2312"/>
          <w:color w:val="000000"/>
          <w:sz w:val="32"/>
          <w:szCs w:val="32"/>
        </w:rPr>
        <w:t>XX单位指标需求申报表</w:t>
      </w: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jc w:val="left"/>
        <w:rPr>
          <w:rFonts w:ascii="仿宋_GB2312" w:eastAsia="仿宋_GB2312"/>
          <w:color w:val="000000"/>
          <w:sz w:val="32"/>
          <w:szCs w:val="32"/>
        </w:rPr>
        <w:sectPr>
          <w:headerReference r:id="rId3" w:type="default"/>
          <w:footerReference r:id="rId4" w:type="default"/>
          <w:footerReference r:id="rId5" w:type="even"/>
          <w:pgSz w:w="11906" w:h="16838"/>
          <w:pgMar w:top="851" w:right="1474" w:bottom="1135" w:left="1588" w:header="851" w:footer="992" w:gutter="0"/>
          <w:cols w:space="720" w:num="1"/>
          <w:docGrid w:type="lines" w:linePitch="312" w:charSpace="0"/>
        </w:sectPr>
      </w:pPr>
    </w:p>
    <w:p>
      <w:pPr>
        <w:jc w:val="left"/>
        <w:rPr>
          <w:rFonts w:ascii="仿宋_GB2312" w:eastAsia="仿宋_GB2312"/>
          <w:b/>
          <w:color w:val="000000"/>
          <w:sz w:val="32"/>
          <w:szCs w:val="32"/>
        </w:rPr>
      </w:pPr>
      <w:r>
        <w:rPr>
          <w:rFonts w:ascii="仿宋_GB2312" w:eastAsia="仿宋_GB2312"/>
          <w:color w:val="000000"/>
          <w:sz w:val="32"/>
          <w:szCs w:val="32"/>
        </w:rPr>
        <w:t>附件</w:t>
      </w:r>
      <w:r>
        <w:rPr>
          <w:rFonts w:hint="eastAsia" w:ascii="仿宋_GB2312" w:eastAsia="仿宋_GB2312"/>
          <w:color w:val="000000"/>
          <w:sz w:val="32"/>
          <w:szCs w:val="32"/>
        </w:rPr>
        <w:t>：</w:t>
      </w:r>
    </w:p>
    <w:p>
      <w:pPr>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2020年朝阳区办理北京市工作居住证指标需求申报表（表样）</w:t>
      </w:r>
    </w:p>
    <w:p>
      <w:pPr>
        <w:jc w:val="left"/>
        <w:rPr>
          <w:rFonts w:ascii="仿宋_GB2312" w:eastAsia="仿宋_GB2312"/>
          <w:color w:val="000000"/>
          <w:sz w:val="32"/>
          <w:szCs w:val="32"/>
        </w:rPr>
      </w:pPr>
    </w:p>
    <w:p>
      <w:pPr>
        <w:ind w:firstLine="360" w:firstLineChars="150"/>
        <w:jc w:val="left"/>
        <w:rPr>
          <w:rFonts w:ascii="宋体" w:hAnsi="宋体"/>
          <w:color w:val="000000"/>
          <w:sz w:val="24"/>
        </w:rPr>
      </w:pPr>
      <w:r>
        <w:rPr>
          <w:rFonts w:hint="eastAsia" w:ascii="宋体" w:hAnsi="宋体"/>
          <w:color w:val="000000"/>
          <w:sz w:val="24"/>
        </w:rPr>
        <w:t xml:space="preserve">单位名称（公章）：                  </w:t>
      </w:r>
      <w:r>
        <w:rPr>
          <w:rFonts w:ascii="宋体" w:hAnsi="宋体"/>
          <w:color w:val="000000"/>
          <w:sz w:val="24"/>
        </w:rPr>
        <w:t>填表人</w:t>
      </w:r>
      <w:r>
        <w:rPr>
          <w:rFonts w:hint="eastAsia" w:ascii="宋体" w:hAnsi="宋体"/>
          <w:color w:val="000000"/>
          <w:sz w:val="24"/>
        </w:rPr>
        <w:t>：                     联系方式（北京手机号）：</w:t>
      </w:r>
    </w:p>
    <w:tbl>
      <w:tblPr>
        <w:tblStyle w:val="10"/>
        <w:tblW w:w="13040" w:type="dxa"/>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118"/>
        <w:gridCol w:w="1701"/>
        <w:gridCol w:w="1559"/>
        <w:gridCol w:w="1560"/>
        <w:gridCol w:w="1984"/>
        <w:gridCol w:w="2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5" w:hRule="atLeast"/>
        </w:trPr>
        <w:tc>
          <w:tcPr>
            <w:tcW w:w="1101" w:type="dxa"/>
            <w:vAlign w:val="center"/>
          </w:tcPr>
          <w:p>
            <w:pPr>
              <w:jc w:val="center"/>
              <w:rPr>
                <w:rFonts w:ascii="宋体" w:hAnsi="宋体"/>
                <w:color w:val="000000"/>
                <w:sz w:val="24"/>
              </w:rPr>
            </w:pPr>
            <w:r>
              <w:rPr>
                <w:rFonts w:hint="eastAsia" w:ascii="宋体" w:hAnsi="宋体"/>
                <w:color w:val="000000"/>
                <w:sz w:val="24"/>
              </w:rPr>
              <w:t>序号</w:t>
            </w:r>
          </w:p>
        </w:tc>
        <w:tc>
          <w:tcPr>
            <w:tcW w:w="3118" w:type="dxa"/>
            <w:vAlign w:val="center"/>
          </w:tcPr>
          <w:p>
            <w:pPr>
              <w:jc w:val="center"/>
              <w:rPr>
                <w:rFonts w:ascii="宋体" w:hAnsi="宋体"/>
                <w:color w:val="000000"/>
                <w:sz w:val="24"/>
              </w:rPr>
            </w:pPr>
            <w:r>
              <w:rPr>
                <w:rFonts w:hint="eastAsia" w:ascii="宋体" w:hAnsi="宋体"/>
                <w:color w:val="000000"/>
                <w:sz w:val="24"/>
              </w:rPr>
              <w:t>单位名称</w:t>
            </w:r>
          </w:p>
        </w:tc>
        <w:tc>
          <w:tcPr>
            <w:tcW w:w="1701" w:type="dxa"/>
            <w:vAlign w:val="center"/>
          </w:tcPr>
          <w:p>
            <w:pPr>
              <w:jc w:val="center"/>
              <w:rPr>
                <w:rFonts w:ascii="宋体" w:hAnsi="宋体"/>
                <w:color w:val="000000"/>
                <w:sz w:val="24"/>
              </w:rPr>
            </w:pPr>
            <w:r>
              <w:rPr>
                <w:rFonts w:hint="eastAsia" w:ascii="宋体" w:hAnsi="宋体"/>
                <w:color w:val="000000"/>
                <w:sz w:val="24"/>
              </w:rPr>
              <w:t>单位性质（盈利或非盈利单位）</w:t>
            </w:r>
          </w:p>
        </w:tc>
        <w:tc>
          <w:tcPr>
            <w:tcW w:w="1559" w:type="dxa"/>
            <w:vAlign w:val="center"/>
          </w:tcPr>
          <w:p>
            <w:pPr>
              <w:jc w:val="center"/>
              <w:rPr>
                <w:rFonts w:ascii="宋体" w:hAnsi="宋体"/>
                <w:color w:val="000000"/>
                <w:sz w:val="24"/>
              </w:rPr>
            </w:pPr>
            <w:r>
              <w:rPr>
                <w:rFonts w:hint="eastAsia" w:ascii="宋体" w:hAnsi="宋体"/>
                <w:color w:val="000000"/>
                <w:sz w:val="24"/>
              </w:rPr>
              <w:t>年度纳税（单位：万元）</w:t>
            </w:r>
          </w:p>
        </w:tc>
        <w:tc>
          <w:tcPr>
            <w:tcW w:w="1560" w:type="dxa"/>
            <w:vAlign w:val="center"/>
          </w:tcPr>
          <w:p>
            <w:pPr>
              <w:jc w:val="center"/>
              <w:rPr>
                <w:rFonts w:ascii="宋体" w:hAnsi="宋体"/>
                <w:color w:val="000000"/>
                <w:sz w:val="24"/>
              </w:rPr>
            </w:pPr>
            <w:r>
              <w:rPr>
                <w:rFonts w:hint="eastAsia" w:ascii="宋体" w:hAnsi="宋体"/>
                <w:color w:val="000000"/>
                <w:sz w:val="24"/>
              </w:rPr>
              <w:t>员工人数（单位：人）</w:t>
            </w:r>
          </w:p>
        </w:tc>
        <w:tc>
          <w:tcPr>
            <w:tcW w:w="1984" w:type="dxa"/>
            <w:vAlign w:val="center"/>
          </w:tcPr>
          <w:p>
            <w:pPr>
              <w:jc w:val="center"/>
              <w:rPr>
                <w:rFonts w:ascii="宋体" w:hAnsi="宋体"/>
                <w:color w:val="000000"/>
                <w:sz w:val="24"/>
              </w:rPr>
            </w:pPr>
            <w:r>
              <w:rPr>
                <w:rFonts w:hint="eastAsia" w:ascii="宋体" w:hAnsi="宋体"/>
                <w:color w:val="000000"/>
                <w:sz w:val="24"/>
              </w:rPr>
              <w:t>指标需求（单位：个）</w:t>
            </w:r>
          </w:p>
        </w:tc>
        <w:tc>
          <w:tcPr>
            <w:tcW w:w="2017" w:type="dxa"/>
            <w:vAlign w:val="center"/>
          </w:tcPr>
          <w:p>
            <w:pPr>
              <w:jc w:val="center"/>
              <w:rPr>
                <w:rFonts w:ascii="宋体" w:hAnsi="宋体"/>
                <w:color w:val="000000"/>
                <w:sz w:val="24"/>
              </w:rPr>
            </w:pPr>
            <w:r>
              <w:rPr>
                <w:rFonts w:hint="eastAsia" w:ascii="宋体" w:hAnsi="宋体"/>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trPr>
        <w:tc>
          <w:tcPr>
            <w:tcW w:w="1101" w:type="dxa"/>
            <w:vAlign w:val="center"/>
          </w:tcPr>
          <w:p>
            <w:pPr>
              <w:jc w:val="left"/>
              <w:rPr>
                <w:rFonts w:ascii="仿宋_GB2312" w:eastAsia="仿宋_GB2312"/>
                <w:color w:val="000000"/>
                <w:sz w:val="32"/>
                <w:szCs w:val="32"/>
              </w:rPr>
            </w:pPr>
          </w:p>
        </w:tc>
        <w:tc>
          <w:tcPr>
            <w:tcW w:w="3118" w:type="dxa"/>
            <w:vAlign w:val="center"/>
          </w:tcPr>
          <w:p>
            <w:pPr>
              <w:jc w:val="left"/>
              <w:rPr>
                <w:rFonts w:ascii="仿宋_GB2312" w:eastAsia="仿宋_GB2312"/>
                <w:color w:val="000000"/>
                <w:sz w:val="32"/>
                <w:szCs w:val="32"/>
              </w:rPr>
            </w:pPr>
          </w:p>
        </w:tc>
        <w:tc>
          <w:tcPr>
            <w:tcW w:w="1701" w:type="dxa"/>
            <w:vAlign w:val="center"/>
          </w:tcPr>
          <w:p>
            <w:pPr>
              <w:jc w:val="left"/>
              <w:rPr>
                <w:rFonts w:ascii="仿宋_GB2312" w:eastAsia="仿宋_GB2312"/>
                <w:color w:val="000000"/>
                <w:sz w:val="32"/>
                <w:szCs w:val="32"/>
              </w:rPr>
            </w:pPr>
          </w:p>
        </w:tc>
        <w:tc>
          <w:tcPr>
            <w:tcW w:w="1559" w:type="dxa"/>
            <w:vAlign w:val="center"/>
          </w:tcPr>
          <w:p>
            <w:pPr>
              <w:jc w:val="left"/>
              <w:rPr>
                <w:rFonts w:ascii="仿宋_GB2312" w:eastAsia="仿宋_GB2312"/>
                <w:color w:val="000000"/>
                <w:sz w:val="32"/>
                <w:szCs w:val="32"/>
              </w:rPr>
            </w:pPr>
          </w:p>
        </w:tc>
        <w:tc>
          <w:tcPr>
            <w:tcW w:w="1560" w:type="dxa"/>
            <w:vAlign w:val="center"/>
          </w:tcPr>
          <w:p>
            <w:pPr>
              <w:jc w:val="left"/>
              <w:rPr>
                <w:rFonts w:ascii="仿宋_GB2312" w:eastAsia="仿宋_GB2312"/>
                <w:color w:val="000000"/>
                <w:sz w:val="32"/>
                <w:szCs w:val="32"/>
              </w:rPr>
            </w:pPr>
          </w:p>
        </w:tc>
        <w:tc>
          <w:tcPr>
            <w:tcW w:w="1984" w:type="dxa"/>
            <w:vAlign w:val="center"/>
          </w:tcPr>
          <w:p>
            <w:pPr>
              <w:jc w:val="left"/>
              <w:rPr>
                <w:rFonts w:ascii="仿宋_GB2312" w:eastAsia="仿宋_GB2312"/>
                <w:color w:val="000000"/>
                <w:sz w:val="32"/>
                <w:szCs w:val="32"/>
              </w:rPr>
            </w:pPr>
          </w:p>
        </w:tc>
        <w:tc>
          <w:tcPr>
            <w:tcW w:w="2017" w:type="dxa"/>
            <w:vAlign w:val="center"/>
          </w:tcPr>
          <w:p>
            <w:pPr>
              <w:jc w:val="left"/>
              <w:rPr>
                <w:rFonts w:ascii="仿宋_GB2312" w:eastAsia="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101" w:type="dxa"/>
            <w:vAlign w:val="center"/>
          </w:tcPr>
          <w:p>
            <w:pPr>
              <w:jc w:val="left"/>
              <w:rPr>
                <w:rFonts w:ascii="仿宋_GB2312" w:eastAsia="仿宋_GB2312"/>
                <w:color w:val="000000"/>
                <w:sz w:val="32"/>
                <w:szCs w:val="32"/>
              </w:rPr>
            </w:pPr>
          </w:p>
        </w:tc>
        <w:tc>
          <w:tcPr>
            <w:tcW w:w="3118" w:type="dxa"/>
            <w:vAlign w:val="center"/>
          </w:tcPr>
          <w:p>
            <w:pPr>
              <w:jc w:val="left"/>
              <w:rPr>
                <w:rFonts w:ascii="仿宋_GB2312" w:eastAsia="仿宋_GB2312"/>
                <w:color w:val="000000"/>
                <w:sz w:val="32"/>
                <w:szCs w:val="32"/>
              </w:rPr>
            </w:pPr>
          </w:p>
        </w:tc>
        <w:tc>
          <w:tcPr>
            <w:tcW w:w="1701" w:type="dxa"/>
            <w:vAlign w:val="center"/>
          </w:tcPr>
          <w:p>
            <w:pPr>
              <w:jc w:val="left"/>
              <w:rPr>
                <w:rFonts w:ascii="仿宋_GB2312" w:eastAsia="仿宋_GB2312"/>
                <w:color w:val="000000"/>
                <w:sz w:val="32"/>
                <w:szCs w:val="32"/>
              </w:rPr>
            </w:pPr>
          </w:p>
        </w:tc>
        <w:tc>
          <w:tcPr>
            <w:tcW w:w="1559" w:type="dxa"/>
            <w:vAlign w:val="center"/>
          </w:tcPr>
          <w:p>
            <w:pPr>
              <w:jc w:val="left"/>
              <w:rPr>
                <w:rFonts w:ascii="仿宋_GB2312" w:eastAsia="仿宋_GB2312"/>
                <w:color w:val="000000"/>
                <w:sz w:val="32"/>
                <w:szCs w:val="32"/>
              </w:rPr>
            </w:pPr>
          </w:p>
        </w:tc>
        <w:tc>
          <w:tcPr>
            <w:tcW w:w="1560" w:type="dxa"/>
            <w:vAlign w:val="center"/>
          </w:tcPr>
          <w:p>
            <w:pPr>
              <w:jc w:val="left"/>
              <w:rPr>
                <w:rFonts w:ascii="仿宋_GB2312" w:eastAsia="仿宋_GB2312"/>
                <w:color w:val="000000"/>
                <w:sz w:val="32"/>
                <w:szCs w:val="32"/>
              </w:rPr>
            </w:pPr>
          </w:p>
        </w:tc>
        <w:tc>
          <w:tcPr>
            <w:tcW w:w="1984" w:type="dxa"/>
            <w:vAlign w:val="center"/>
          </w:tcPr>
          <w:p>
            <w:pPr>
              <w:jc w:val="left"/>
              <w:rPr>
                <w:rFonts w:ascii="仿宋_GB2312" w:eastAsia="仿宋_GB2312"/>
                <w:color w:val="000000"/>
                <w:sz w:val="32"/>
                <w:szCs w:val="32"/>
              </w:rPr>
            </w:pPr>
          </w:p>
        </w:tc>
        <w:tc>
          <w:tcPr>
            <w:tcW w:w="2017" w:type="dxa"/>
            <w:vAlign w:val="center"/>
          </w:tcPr>
          <w:p>
            <w:pPr>
              <w:jc w:val="left"/>
              <w:rPr>
                <w:rFonts w:ascii="仿宋_GB2312" w:eastAsia="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1" w:hRule="atLeast"/>
        </w:trPr>
        <w:tc>
          <w:tcPr>
            <w:tcW w:w="13040" w:type="dxa"/>
            <w:gridSpan w:val="7"/>
            <w:vAlign w:val="center"/>
          </w:tcPr>
          <w:p>
            <w:pPr>
              <w:ind w:firstLine="480" w:firstLineChars="200"/>
              <w:jc w:val="left"/>
              <w:rPr>
                <w:rFonts w:ascii="宋体" w:hAnsi="宋体"/>
                <w:color w:val="000000"/>
                <w:sz w:val="24"/>
              </w:rPr>
            </w:pPr>
            <w:r>
              <w:rPr>
                <w:rFonts w:hint="eastAsia" w:ascii="宋体" w:hAnsi="宋体"/>
                <w:color w:val="000000"/>
                <w:sz w:val="24"/>
              </w:rPr>
              <w:t>本单位对《2020年朝阳区办理北京市工作居住证指标需求申报表》中所填报的数据进行了认真审核，保证所填写数据真实有效，无任何虚假申报情况。若因本单位未履行审查职责造成申报材料虚假的，本单位愿意接受行政处理，并承担由此带来的法律后果。</w:t>
            </w:r>
          </w:p>
          <w:p>
            <w:pPr>
              <w:ind w:firstLine="2160" w:firstLineChars="900"/>
              <w:jc w:val="left"/>
              <w:rPr>
                <w:rFonts w:hint="eastAsia" w:ascii="宋体" w:hAnsi="宋体"/>
                <w:color w:val="000000"/>
                <w:sz w:val="24"/>
              </w:rPr>
            </w:pPr>
          </w:p>
          <w:p>
            <w:pPr>
              <w:ind w:firstLine="2880" w:firstLineChars="1200"/>
              <w:jc w:val="left"/>
              <w:rPr>
                <w:rFonts w:ascii="宋体" w:hAnsi="宋体"/>
                <w:color w:val="000000"/>
                <w:sz w:val="24"/>
              </w:rPr>
            </w:pPr>
            <w:r>
              <w:rPr>
                <w:rFonts w:hint="eastAsia" w:ascii="宋体" w:hAnsi="宋体"/>
                <w:color w:val="000000"/>
                <w:sz w:val="24"/>
              </w:rPr>
              <w:t>单位负责人(签字)：</w:t>
            </w:r>
          </w:p>
        </w:tc>
      </w:tr>
    </w:tbl>
    <w:p>
      <w:pPr>
        <w:ind w:firstLine="315" w:firstLineChars="150"/>
        <w:jc w:val="left"/>
        <w:rPr>
          <w:rFonts w:ascii="宋体" w:hAnsi="宋体"/>
          <w:color w:val="000000"/>
          <w:szCs w:val="21"/>
        </w:rPr>
      </w:pPr>
      <w:r>
        <w:rPr>
          <w:rFonts w:hint="eastAsia" w:ascii="宋体" w:hAnsi="宋体"/>
          <w:color w:val="000000"/>
          <w:szCs w:val="21"/>
        </w:rPr>
        <w:t>注:单位性质请填写“盈利”或“非盈利”单位,如为非盈利单位年度纳税一栏填写“无”。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1" w:usb1="080E0000" w:usb2="00000010" w:usb3="00000000" w:csb0="00040000"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8</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56"/>
    <w:rsid w:val="00450118"/>
    <w:rsid w:val="0070290B"/>
    <w:rsid w:val="007346F1"/>
    <w:rsid w:val="007A5456"/>
    <w:rsid w:val="008B7FAA"/>
    <w:rsid w:val="008F0F32"/>
    <w:rsid w:val="00D25E7B"/>
    <w:rsid w:val="00DF00EC"/>
    <w:rsid w:val="00E97F12"/>
    <w:rsid w:val="00F750AA"/>
    <w:rsid w:val="02F26041"/>
    <w:rsid w:val="7F9D7EDE"/>
    <w:rsid w:val="BFBD99D1"/>
    <w:rsid w:val="CF9FA8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标题 2 Char"/>
    <w:basedOn w:val="7"/>
    <w:link w:val="3"/>
    <w:uiPriority w:val="9"/>
    <w:rPr>
      <w:rFonts w:ascii="宋体" w:hAnsi="宋体" w:eastAsia="宋体" w:cs="宋体"/>
      <w:b/>
      <w:bCs/>
      <w:kern w:val="0"/>
      <w:sz w:val="36"/>
      <w:szCs w:val="36"/>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470</Words>
  <Characters>2679</Characters>
  <Lines>22</Lines>
  <Paragraphs>6</Paragraphs>
  <ScaleCrop>false</ScaleCrop>
  <LinksUpToDate>false</LinksUpToDate>
  <CharactersWithSpaces>3143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2021-05-13T10:23:00Z</dcterms:created>
  <dc:creator>Windows 用户</dc:creator>
  <cp:lastModifiedBy>Administrator</cp:lastModifiedBy>
  <dcterms:modified xsi:type="dcterms:W3CDTF">2021-05-18T03:03:39Z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