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0"/>
          <w:szCs w:val="48"/>
        </w:rPr>
      </w:pPr>
    </w:p>
    <w:p>
      <w:pPr>
        <w:jc w:val="center"/>
        <w:rPr>
          <w:b/>
          <w:bCs/>
          <w:sz w:val="40"/>
          <w:szCs w:val="48"/>
        </w:rPr>
      </w:pPr>
    </w:p>
    <w:p>
      <w:pPr>
        <w:jc w:val="center"/>
      </w:pPr>
      <w:r>
        <w:rPr>
          <w:rFonts w:hint="eastAsia"/>
          <w:b/>
          <w:bCs/>
          <w:sz w:val="40"/>
          <w:szCs w:val="48"/>
        </w:rPr>
        <w:t>常营2020年</w:t>
      </w:r>
    </w:p>
    <w:p/>
    <w:p/>
    <w:p/>
    <w:p/>
    <w:p>
      <w:pPr>
        <w:jc w:val="center"/>
      </w:pPr>
      <w:r>
        <w:rPr>
          <w:rFonts w:hint="eastAsia"/>
          <w:b/>
          <w:bCs/>
          <w:sz w:val="40"/>
          <w:szCs w:val="48"/>
        </w:rPr>
        <w:t>预算</w:t>
      </w:r>
    </w:p>
    <w:p/>
    <w:p/>
    <w:p/>
    <w:p>
      <w:pPr>
        <w:jc w:val="left"/>
        <w:rPr>
          <w:b/>
          <w:bCs/>
          <w:sz w:val="28"/>
          <w:szCs w:val="36"/>
        </w:rPr>
      </w:pPr>
      <w:r>
        <w:rPr>
          <w:rFonts w:hint="eastAsia"/>
          <w:b/>
          <w:bCs/>
          <w:sz w:val="28"/>
          <w:szCs w:val="36"/>
        </w:rPr>
        <w:t>单位公章:北京市朝阳区常营回族乡人民政府</w:t>
      </w:r>
    </w:p>
    <w:p>
      <w:pPr>
        <w:rPr>
          <w:sz w:val="28"/>
          <w:szCs w:val="36"/>
        </w:rPr>
      </w:pPr>
    </w:p>
    <w:p>
      <w:pPr>
        <w:rPr>
          <w:sz w:val="28"/>
          <w:szCs w:val="36"/>
        </w:rPr>
      </w:pPr>
    </w:p>
    <w:p>
      <w:pPr>
        <w:rPr>
          <w:sz w:val="28"/>
          <w:szCs w:val="36"/>
        </w:rPr>
      </w:pPr>
    </w:p>
    <w:p>
      <w:pPr>
        <w:jc w:val="center"/>
        <w:rPr>
          <w:sz w:val="28"/>
          <w:szCs w:val="36"/>
        </w:rPr>
      </w:pPr>
      <w:r>
        <w:rPr>
          <w:rFonts w:hint="eastAsia"/>
          <w:sz w:val="28"/>
          <w:szCs w:val="36"/>
        </w:rPr>
        <w:t>二零二零年二月十四日</w:t>
      </w:r>
    </w:p>
    <w:p>
      <w:pPr>
        <w:jc w:val="left"/>
        <w:rPr>
          <w:sz w:val="28"/>
          <w:szCs w:val="36"/>
        </w:rPr>
      </w:pPr>
    </w:p>
    <w:p>
      <w:pPr>
        <w:jc w:val="left"/>
        <w:rPr>
          <w:sz w:val="28"/>
          <w:szCs w:val="36"/>
        </w:rPr>
      </w:pPr>
    </w:p>
    <w:p>
      <w:pPr>
        <w:jc w:val="left"/>
        <w:rPr>
          <w:sz w:val="28"/>
          <w:szCs w:val="36"/>
        </w:rPr>
      </w:pPr>
    </w:p>
    <w:p>
      <w:pPr>
        <w:jc w:val="left"/>
        <w:rPr>
          <w:sz w:val="28"/>
          <w:szCs w:val="36"/>
        </w:rPr>
      </w:pPr>
    </w:p>
    <w:p>
      <w:pPr>
        <w:jc w:val="left"/>
        <w:rPr>
          <w:sz w:val="28"/>
          <w:szCs w:val="36"/>
        </w:rPr>
      </w:pPr>
      <w:r>
        <w:rPr>
          <w:rFonts w:hint="eastAsia"/>
          <w:sz w:val="28"/>
          <w:szCs w:val="36"/>
        </w:rPr>
        <w:t xml:space="preserve"> </w:t>
      </w:r>
    </w:p>
    <w:p>
      <w:pPr>
        <w:jc w:val="left"/>
      </w:pPr>
      <w:r>
        <w:rPr>
          <w:rFonts w:hint="eastAsia"/>
          <w:sz w:val="28"/>
          <w:szCs w:val="36"/>
        </w:rPr>
        <w:t xml:space="preserve"> </w:t>
      </w:r>
    </w:p>
    <w:p/>
    <w:p/>
    <w:p/>
    <w:p/>
    <w:p/>
    <w:p/>
    <w:p/>
    <w:p>
      <w:pPr>
        <w:jc w:val="center"/>
      </w:pPr>
      <w:r>
        <w:rPr>
          <w:rFonts w:hint="eastAsia" w:asciiTheme="majorEastAsia" w:hAnsiTheme="majorEastAsia" w:eastAsiaTheme="majorEastAsia" w:cstheme="majorEastAsia"/>
          <w:sz w:val="40"/>
          <w:szCs w:val="48"/>
        </w:rPr>
        <w:t>常营乡2020年部门预算公开目录</w:t>
      </w:r>
    </w:p>
    <w:p>
      <w:pPr>
        <w:spacing w:line="360" w:lineRule="auto"/>
        <w:rPr>
          <w:rFonts w:ascii="仿宋" w:hAnsi="仿宋" w:eastAsia="仿宋" w:cs="仿宋"/>
          <w:sz w:val="24"/>
          <w:szCs w:val="32"/>
        </w:rPr>
      </w:pPr>
      <w:r>
        <w:rPr>
          <w:rFonts w:hint="eastAsia"/>
        </w:rPr>
        <w:t xml:space="preserve"> </w:t>
      </w:r>
      <w:r>
        <w:rPr>
          <w:rFonts w:hint="eastAsia" w:ascii="仿宋" w:hAnsi="仿宋" w:eastAsia="仿宋" w:cs="仿宋"/>
          <w:sz w:val="24"/>
          <w:szCs w:val="32"/>
        </w:rPr>
        <w:t xml:space="preserve">一、2020年部门预算情况说明 </w:t>
      </w:r>
    </w:p>
    <w:p>
      <w:pPr>
        <w:spacing w:line="360" w:lineRule="auto"/>
        <w:rPr>
          <w:rFonts w:ascii="仿宋" w:hAnsi="仿宋" w:eastAsia="仿宋" w:cs="仿宋"/>
          <w:sz w:val="24"/>
          <w:szCs w:val="32"/>
        </w:rPr>
      </w:pPr>
      <w:r>
        <w:rPr>
          <w:rFonts w:hint="eastAsia" w:ascii="仿宋" w:hAnsi="仿宋" w:eastAsia="仿宋" w:cs="仿宋"/>
          <w:sz w:val="24"/>
          <w:szCs w:val="32"/>
        </w:rPr>
        <w:t xml:space="preserve">（一）部门情况 </w:t>
      </w:r>
    </w:p>
    <w:p>
      <w:pPr>
        <w:spacing w:line="360" w:lineRule="auto"/>
        <w:rPr>
          <w:rFonts w:ascii="仿宋" w:hAnsi="仿宋" w:eastAsia="仿宋" w:cs="仿宋"/>
          <w:sz w:val="24"/>
          <w:szCs w:val="32"/>
        </w:rPr>
      </w:pPr>
      <w:r>
        <w:rPr>
          <w:rFonts w:hint="eastAsia" w:ascii="仿宋" w:hAnsi="仿宋" w:eastAsia="仿宋" w:cs="仿宋"/>
          <w:sz w:val="24"/>
          <w:szCs w:val="32"/>
        </w:rPr>
        <w:t xml:space="preserve">（二）收入预算说明 </w:t>
      </w:r>
    </w:p>
    <w:p>
      <w:pPr>
        <w:spacing w:line="360" w:lineRule="auto"/>
        <w:rPr>
          <w:rFonts w:ascii="仿宋" w:hAnsi="仿宋" w:eastAsia="仿宋" w:cs="仿宋"/>
          <w:sz w:val="24"/>
          <w:szCs w:val="32"/>
        </w:rPr>
      </w:pPr>
      <w:r>
        <w:rPr>
          <w:rFonts w:hint="eastAsia" w:ascii="仿宋" w:hAnsi="仿宋" w:eastAsia="仿宋" w:cs="仿宋"/>
          <w:sz w:val="24"/>
          <w:szCs w:val="32"/>
        </w:rPr>
        <w:t xml:space="preserve">（三）支出预算说明 </w:t>
      </w:r>
    </w:p>
    <w:p>
      <w:pPr>
        <w:spacing w:line="360" w:lineRule="auto"/>
        <w:rPr>
          <w:rFonts w:ascii="仿宋" w:hAnsi="仿宋" w:eastAsia="仿宋" w:cs="仿宋"/>
          <w:sz w:val="24"/>
          <w:szCs w:val="32"/>
        </w:rPr>
      </w:pPr>
      <w:r>
        <w:rPr>
          <w:rFonts w:hint="eastAsia" w:ascii="仿宋" w:hAnsi="仿宋" w:eastAsia="仿宋" w:cs="仿宋"/>
          <w:sz w:val="24"/>
          <w:szCs w:val="32"/>
        </w:rPr>
        <w:t xml:space="preserve">（四）部门“三公”经费财政拨款预算说明 </w:t>
      </w:r>
    </w:p>
    <w:p>
      <w:pPr>
        <w:spacing w:line="360" w:lineRule="auto"/>
        <w:rPr>
          <w:rFonts w:ascii="仿宋" w:hAnsi="仿宋" w:eastAsia="仿宋" w:cs="仿宋"/>
          <w:sz w:val="24"/>
          <w:szCs w:val="32"/>
        </w:rPr>
      </w:pPr>
      <w:r>
        <w:rPr>
          <w:rFonts w:hint="eastAsia" w:ascii="仿宋" w:hAnsi="仿宋" w:eastAsia="仿宋" w:cs="仿宋"/>
          <w:sz w:val="24"/>
          <w:szCs w:val="32"/>
        </w:rPr>
        <w:t xml:space="preserve">（五）部门政府采购预算说明 </w:t>
      </w:r>
    </w:p>
    <w:p>
      <w:pPr>
        <w:spacing w:line="360" w:lineRule="auto"/>
        <w:rPr>
          <w:rFonts w:ascii="仿宋" w:hAnsi="仿宋" w:eastAsia="仿宋" w:cs="仿宋"/>
          <w:sz w:val="24"/>
          <w:szCs w:val="32"/>
        </w:rPr>
      </w:pPr>
      <w:r>
        <w:rPr>
          <w:rFonts w:hint="eastAsia" w:ascii="仿宋" w:hAnsi="仿宋" w:eastAsia="仿宋" w:cs="仿宋"/>
          <w:sz w:val="24"/>
          <w:szCs w:val="32"/>
        </w:rPr>
        <w:t xml:space="preserve">（六）机关运行经费情况说明 </w:t>
      </w:r>
    </w:p>
    <w:p>
      <w:pPr>
        <w:spacing w:line="360" w:lineRule="auto"/>
        <w:rPr>
          <w:rFonts w:ascii="仿宋" w:hAnsi="仿宋" w:eastAsia="仿宋" w:cs="仿宋"/>
          <w:sz w:val="24"/>
          <w:szCs w:val="32"/>
        </w:rPr>
      </w:pPr>
      <w:r>
        <w:rPr>
          <w:rFonts w:hint="eastAsia" w:ascii="仿宋" w:hAnsi="仿宋" w:eastAsia="仿宋" w:cs="仿宋"/>
          <w:sz w:val="24"/>
          <w:szCs w:val="32"/>
        </w:rPr>
        <w:t xml:space="preserve">（七）政府性基金预算财政拨款情况说明 </w:t>
      </w:r>
    </w:p>
    <w:p>
      <w:pPr>
        <w:spacing w:line="360" w:lineRule="auto"/>
        <w:rPr>
          <w:rFonts w:ascii="仿宋" w:hAnsi="仿宋" w:eastAsia="仿宋" w:cs="仿宋"/>
          <w:sz w:val="24"/>
          <w:szCs w:val="32"/>
        </w:rPr>
      </w:pPr>
      <w:r>
        <w:rPr>
          <w:rFonts w:hint="eastAsia" w:ascii="仿宋" w:hAnsi="仿宋" w:eastAsia="仿宋" w:cs="仿宋"/>
          <w:sz w:val="24"/>
          <w:szCs w:val="32"/>
        </w:rPr>
        <w:t xml:space="preserve">（八）国有资本经营预算财政拨款情况说明 </w:t>
      </w:r>
    </w:p>
    <w:p>
      <w:pPr>
        <w:spacing w:line="360" w:lineRule="auto"/>
        <w:rPr>
          <w:rFonts w:ascii="仿宋" w:hAnsi="仿宋" w:eastAsia="仿宋" w:cs="仿宋"/>
          <w:sz w:val="24"/>
          <w:szCs w:val="32"/>
        </w:rPr>
      </w:pPr>
      <w:r>
        <w:rPr>
          <w:rFonts w:hint="eastAsia" w:ascii="仿宋" w:hAnsi="仿宋" w:eastAsia="仿宋" w:cs="仿宋"/>
          <w:sz w:val="24"/>
          <w:szCs w:val="32"/>
        </w:rPr>
        <w:t xml:space="preserve">（九）国有资产占用情况说明 </w:t>
      </w:r>
    </w:p>
    <w:p>
      <w:pPr>
        <w:spacing w:line="360" w:lineRule="auto"/>
        <w:rPr>
          <w:rFonts w:ascii="仿宋" w:hAnsi="仿宋" w:eastAsia="仿宋" w:cs="仿宋"/>
          <w:sz w:val="24"/>
          <w:szCs w:val="32"/>
        </w:rPr>
      </w:pPr>
      <w:r>
        <w:rPr>
          <w:rFonts w:hint="eastAsia" w:ascii="仿宋" w:hAnsi="仿宋" w:eastAsia="仿宋" w:cs="仿宋"/>
          <w:sz w:val="24"/>
          <w:szCs w:val="32"/>
        </w:rPr>
        <w:t xml:space="preserve">（十）项目绩效目标情况说明 </w:t>
      </w:r>
    </w:p>
    <w:p>
      <w:pPr>
        <w:spacing w:line="360" w:lineRule="auto"/>
        <w:rPr>
          <w:rFonts w:ascii="仿宋" w:hAnsi="仿宋" w:eastAsia="仿宋" w:cs="仿宋"/>
          <w:sz w:val="24"/>
          <w:szCs w:val="32"/>
        </w:rPr>
      </w:pPr>
      <w:r>
        <w:rPr>
          <w:rFonts w:hint="eastAsia" w:ascii="仿宋" w:hAnsi="仿宋" w:eastAsia="仿宋" w:cs="仿宋"/>
          <w:sz w:val="24"/>
          <w:szCs w:val="32"/>
        </w:rPr>
        <w:t xml:space="preserve">（十一）绩效评价情况说明 </w:t>
      </w:r>
    </w:p>
    <w:p>
      <w:pPr>
        <w:spacing w:line="360" w:lineRule="auto"/>
        <w:rPr>
          <w:rFonts w:ascii="仿宋" w:hAnsi="仿宋" w:eastAsia="仿宋" w:cs="仿宋"/>
          <w:sz w:val="24"/>
          <w:szCs w:val="32"/>
        </w:rPr>
      </w:pPr>
      <w:r>
        <w:rPr>
          <w:rFonts w:hint="eastAsia" w:ascii="仿宋" w:hAnsi="仿宋" w:eastAsia="仿宋" w:cs="仿宋"/>
          <w:sz w:val="24"/>
          <w:szCs w:val="32"/>
        </w:rPr>
        <w:t xml:space="preserve">（十二）名词解释 </w:t>
      </w:r>
    </w:p>
    <w:p>
      <w:pPr>
        <w:spacing w:line="360" w:lineRule="auto"/>
        <w:rPr>
          <w:rFonts w:ascii="仿宋" w:hAnsi="仿宋" w:eastAsia="仿宋" w:cs="仿宋"/>
          <w:sz w:val="24"/>
          <w:szCs w:val="32"/>
        </w:rPr>
      </w:pPr>
      <w:r>
        <w:rPr>
          <w:rFonts w:hint="eastAsia" w:ascii="仿宋" w:hAnsi="仿宋" w:eastAsia="仿宋" w:cs="仿宋"/>
          <w:sz w:val="24"/>
          <w:szCs w:val="32"/>
        </w:rPr>
        <w:t xml:space="preserve">二、2020年部门预算表     </w:t>
      </w:r>
    </w:p>
    <w:p>
      <w:pPr>
        <w:spacing w:line="360" w:lineRule="auto"/>
        <w:rPr>
          <w:rFonts w:ascii="仿宋" w:hAnsi="仿宋" w:eastAsia="仿宋" w:cs="仿宋"/>
          <w:sz w:val="24"/>
          <w:szCs w:val="32"/>
        </w:rPr>
      </w:pPr>
      <w:r>
        <w:rPr>
          <w:rFonts w:hint="eastAsia" w:ascii="仿宋" w:hAnsi="仿宋" w:eastAsia="仿宋" w:cs="仿宋"/>
          <w:sz w:val="24"/>
          <w:szCs w:val="32"/>
        </w:rPr>
        <w:t>表一 收支预算总表（预算01表）</w:t>
      </w:r>
    </w:p>
    <w:p>
      <w:pPr>
        <w:spacing w:line="360" w:lineRule="auto"/>
        <w:rPr>
          <w:rFonts w:ascii="仿宋" w:hAnsi="仿宋" w:eastAsia="仿宋" w:cs="仿宋"/>
          <w:sz w:val="24"/>
          <w:szCs w:val="32"/>
        </w:rPr>
      </w:pPr>
      <w:r>
        <w:rPr>
          <w:rFonts w:hint="eastAsia" w:ascii="仿宋" w:hAnsi="仿宋" w:eastAsia="仿宋" w:cs="仿宋"/>
          <w:sz w:val="24"/>
          <w:szCs w:val="32"/>
        </w:rPr>
        <w:t>表二 部门收入总表（预算02表）</w:t>
      </w:r>
    </w:p>
    <w:p>
      <w:pPr>
        <w:spacing w:line="360" w:lineRule="auto"/>
        <w:rPr>
          <w:rFonts w:ascii="仿宋" w:hAnsi="仿宋" w:eastAsia="仿宋" w:cs="仿宋"/>
          <w:sz w:val="24"/>
          <w:szCs w:val="32"/>
        </w:rPr>
      </w:pPr>
      <w:r>
        <w:rPr>
          <w:rFonts w:hint="eastAsia" w:ascii="仿宋" w:hAnsi="仿宋" w:eastAsia="仿宋" w:cs="仿宋"/>
          <w:sz w:val="24"/>
          <w:szCs w:val="32"/>
        </w:rPr>
        <w:t>表三 部门支出总表（预算03表）</w:t>
      </w:r>
    </w:p>
    <w:p>
      <w:pPr>
        <w:spacing w:line="360" w:lineRule="auto"/>
        <w:rPr>
          <w:rFonts w:ascii="仿宋" w:hAnsi="仿宋" w:eastAsia="仿宋" w:cs="仿宋"/>
          <w:sz w:val="24"/>
          <w:szCs w:val="32"/>
        </w:rPr>
      </w:pPr>
      <w:r>
        <w:rPr>
          <w:rFonts w:hint="eastAsia" w:ascii="仿宋" w:hAnsi="仿宋" w:eastAsia="仿宋" w:cs="仿宋"/>
          <w:sz w:val="24"/>
          <w:szCs w:val="32"/>
        </w:rPr>
        <w:t>表四 财政拨款收支总表（预算04表）</w:t>
      </w:r>
    </w:p>
    <w:p>
      <w:pPr>
        <w:spacing w:line="360" w:lineRule="auto"/>
        <w:rPr>
          <w:rFonts w:ascii="仿宋" w:hAnsi="仿宋" w:eastAsia="仿宋" w:cs="仿宋"/>
          <w:sz w:val="24"/>
          <w:szCs w:val="32"/>
        </w:rPr>
      </w:pPr>
      <w:r>
        <w:rPr>
          <w:rFonts w:hint="eastAsia" w:ascii="仿宋" w:hAnsi="仿宋" w:eastAsia="仿宋" w:cs="仿宋"/>
          <w:sz w:val="24"/>
          <w:szCs w:val="32"/>
        </w:rPr>
        <w:t>表五 一般公共预算财政拨款支出表（预算05表）</w:t>
      </w:r>
    </w:p>
    <w:p>
      <w:pPr>
        <w:spacing w:line="360" w:lineRule="auto"/>
        <w:rPr>
          <w:rFonts w:ascii="仿宋" w:hAnsi="仿宋" w:eastAsia="仿宋" w:cs="仿宋"/>
          <w:sz w:val="24"/>
          <w:szCs w:val="32"/>
        </w:rPr>
      </w:pPr>
      <w:r>
        <w:rPr>
          <w:rFonts w:hint="eastAsia" w:ascii="仿宋" w:hAnsi="仿宋" w:eastAsia="仿宋" w:cs="仿宋"/>
          <w:sz w:val="24"/>
          <w:szCs w:val="32"/>
        </w:rPr>
        <w:t>表六 一般公共预算财政拨款基本支出经济分类预算表（预算06表）</w:t>
      </w:r>
    </w:p>
    <w:p>
      <w:pPr>
        <w:spacing w:line="360" w:lineRule="auto"/>
        <w:rPr>
          <w:rFonts w:ascii="仿宋" w:hAnsi="仿宋" w:eastAsia="仿宋" w:cs="仿宋"/>
          <w:sz w:val="24"/>
          <w:szCs w:val="32"/>
        </w:rPr>
      </w:pPr>
      <w:r>
        <w:rPr>
          <w:rFonts w:hint="eastAsia" w:ascii="仿宋" w:hAnsi="仿宋" w:eastAsia="仿宋" w:cs="仿宋"/>
          <w:sz w:val="24"/>
          <w:szCs w:val="32"/>
        </w:rPr>
        <w:t>表七 一般公共预算“三公”经费支出表（预算07表）</w:t>
      </w:r>
    </w:p>
    <w:p>
      <w:pPr>
        <w:spacing w:line="360" w:lineRule="auto"/>
        <w:rPr>
          <w:rFonts w:ascii="仿宋" w:hAnsi="仿宋" w:eastAsia="仿宋" w:cs="仿宋"/>
          <w:sz w:val="24"/>
          <w:szCs w:val="32"/>
        </w:rPr>
      </w:pPr>
      <w:r>
        <w:rPr>
          <w:rFonts w:hint="eastAsia" w:ascii="仿宋" w:hAnsi="仿宋" w:eastAsia="仿宋" w:cs="仿宋"/>
          <w:sz w:val="24"/>
          <w:szCs w:val="32"/>
        </w:rPr>
        <w:t>表八 政府性基金预算支出表（预算08表）</w:t>
      </w:r>
    </w:p>
    <w:p>
      <w:pPr>
        <w:spacing w:line="360" w:lineRule="auto"/>
        <w:rPr>
          <w:rFonts w:ascii="仿宋" w:hAnsi="仿宋" w:eastAsia="仿宋" w:cs="仿宋"/>
          <w:sz w:val="24"/>
          <w:szCs w:val="32"/>
        </w:rPr>
      </w:pPr>
      <w:r>
        <w:rPr>
          <w:rFonts w:hint="eastAsia" w:ascii="仿宋" w:hAnsi="仿宋" w:eastAsia="仿宋" w:cs="仿宋"/>
          <w:sz w:val="24"/>
          <w:szCs w:val="32"/>
        </w:rPr>
        <w:t>表九 项目支出预算表（预算09表）</w:t>
      </w:r>
    </w:p>
    <w:p>
      <w:pPr>
        <w:spacing w:line="360" w:lineRule="auto"/>
        <w:rPr>
          <w:rFonts w:ascii="仿宋" w:hAnsi="仿宋" w:eastAsia="仿宋" w:cs="仿宋"/>
          <w:sz w:val="24"/>
          <w:szCs w:val="32"/>
        </w:rPr>
      </w:pPr>
      <w:r>
        <w:rPr>
          <w:rFonts w:hint="eastAsia" w:ascii="仿宋" w:hAnsi="仿宋" w:eastAsia="仿宋" w:cs="仿宋"/>
          <w:sz w:val="24"/>
          <w:szCs w:val="32"/>
        </w:rPr>
        <w:t>表十 部门整体目标申报表</w:t>
      </w:r>
    </w:p>
    <w:p>
      <w:pPr>
        <w:spacing w:line="360" w:lineRule="auto"/>
        <w:rPr>
          <w:rFonts w:ascii="仿宋" w:hAnsi="仿宋" w:eastAsia="仿宋" w:cs="仿宋"/>
        </w:rPr>
      </w:pPr>
      <w:r>
        <w:rPr>
          <w:rFonts w:hint="eastAsia" w:ascii="仿宋" w:hAnsi="仿宋" w:eastAsia="仿宋" w:cs="仿宋"/>
          <w:sz w:val="24"/>
          <w:szCs w:val="32"/>
        </w:rPr>
        <w:t>表十一 重点项目绩效目标申报表</w:t>
      </w:r>
    </w:p>
    <w:p/>
    <w:p/>
    <w:p/>
    <w:p/>
    <w:p/>
    <w:p>
      <w:pPr>
        <w:jc w:val="center"/>
      </w:pPr>
      <w:r>
        <w:rPr>
          <w:rFonts w:hint="eastAsia"/>
          <w:b/>
          <w:bCs/>
          <w:sz w:val="32"/>
          <w:szCs w:val="40"/>
        </w:rPr>
        <w:t>常营2020年预算情况说明</w:t>
      </w:r>
    </w:p>
    <w:p>
      <w:pPr>
        <w:spacing w:line="360" w:lineRule="auto"/>
        <w:rPr>
          <w:szCs w:val="21"/>
        </w:rPr>
      </w:pPr>
      <w:r>
        <w:rPr>
          <w:rFonts w:hint="eastAsia"/>
          <w:szCs w:val="21"/>
        </w:rPr>
        <w:t>一、部门情况</w:t>
      </w:r>
    </w:p>
    <w:p>
      <w:pPr>
        <w:spacing w:line="360" w:lineRule="auto"/>
        <w:ind w:firstLine="420" w:firstLineChars="200"/>
        <w:rPr>
          <w:szCs w:val="21"/>
        </w:rPr>
      </w:pPr>
      <w:r>
        <w:rPr>
          <w:rFonts w:hint="eastAsia"/>
          <w:szCs w:val="21"/>
        </w:rPr>
        <w:t>（一）部门机构设置、职责</w:t>
      </w:r>
    </w:p>
    <w:p>
      <w:pPr>
        <w:spacing w:line="360" w:lineRule="auto"/>
        <w:ind w:firstLine="420" w:firstLineChars="200"/>
        <w:rPr>
          <w:szCs w:val="21"/>
        </w:rPr>
      </w:pPr>
      <w:r>
        <w:rPr>
          <w:rFonts w:hint="eastAsia"/>
          <w:szCs w:val="21"/>
        </w:rPr>
        <w:t>常营乡内设办公室、党建办公室、宣传科、财政科、社会治安综合管理办公室、社会事务管理科、科教文体办公室、规划建设与环境保护办公室、经济发展办公室、社区建设与管理办公室、安全管理科、人民武装部、总工会、共青团、妇联、司法所。</w:t>
      </w:r>
    </w:p>
    <w:p>
      <w:pPr>
        <w:spacing w:line="360" w:lineRule="auto"/>
        <w:ind w:firstLine="420" w:firstLineChars="200"/>
        <w:rPr>
          <w:szCs w:val="21"/>
        </w:rPr>
      </w:pPr>
      <w:r>
        <w:rPr>
          <w:rFonts w:hint="eastAsia"/>
          <w:szCs w:val="21"/>
        </w:rPr>
        <w:t>主要职责</w:t>
      </w:r>
    </w:p>
    <w:p>
      <w:pPr>
        <w:spacing w:line="360" w:lineRule="auto"/>
        <w:ind w:firstLine="420" w:firstLineChars="200"/>
        <w:rPr>
          <w:szCs w:val="21"/>
        </w:rPr>
      </w:pPr>
      <w:r>
        <w:rPr>
          <w:rFonts w:hint="eastAsia"/>
          <w:szCs w:val="21"/>
        </w:rPr>
        <w:t>乡党委(地区工委)主要职责</w:t>
      </w:r>
    </w:p>
    <w:p>
      <w:pPr>
        <w:spacing w:line="360" w:lineRule="auto"/>
        <w:rPr>
          <w:szCs w:val="21"/>
        </w:rPr>
      </w:pPr>
      <w:r>
        <w:rPr>
          <w:rFonts w:hint="eastAsia"/>
          <w:szCs w:val="21"/>
        </w:rPr>
        <w:t xml:space="preserve">    乡党委是党在农村的一级基层组织，地区工委是区委的派出机构，是乡(地区)各种组织和各项工作的领导核心，对乡(地区)工作实行全面政治领导，并支持和保证行政组织、经济组织、人民团体充分行使职权。其主要职责是：</w:t>
      </w:r>
    </w:p>
    <w:p>
      <w:pPr>
        <w:spacing w:line="360" w:lineRule="auto"/>
        <w:rPr>
          <w:szCs w:val="21"/>
        </w:rPr>
      </w:pPr>
      <w:r>
        <w:rPr>
          <w:rFonts w:hint="eastAsia"/>
          <w:szCs w:val="21"/>
        </w:rPr>
        <w:t xml:space="preserve">    1、宣传和贯彻执行党的路线方针政策，落实上级党组织的决议、决定。</w:t>
      </w:r>
    </w:p>
    <w:p>
      <w:pPr>
        <w:spacing w:line="360" w:lineRule="auto"/>
        <w:rPr>
          <w:szCs w:val="21"/>
        </w:rPr>
      </w:pPr>
      <w:r>
        <w:rPr>
          <w:rFonts w:hint="eastAsia"/>
          <w:szCs w:val="21"/>
        </w:rPr>
        <w:t xml:space="preserve">    2、研究决定本乡(地区)政治、经济、社会建设发展和城市管理等方面的重大问题。</w:t>
      </w:r>
    </w:p>
    <w:p>
      <w:pPr>
        <w:spacing w:line="360" w:lineRule="auto"/>
        <w:rPr>
          <w:szCs w:val="21"/>
        </w:rPr>
      </w:pPr>
      <w:r>
        <w:rPr>
          <w:rFonts w:hint="eastAsia"/>
          <w:szCs w:val="21"/>
        </w:rPr>
        <w:t xml:space="preserve">    3、负责本乡(地区)党的思想建设、组织建设、作风建设，以及党员队伍建设工作。</w:t>
      </w:r>
    </w:p>
    <w:p>
      <w:pPr>
        <w:spacing w:line="360" w:lineRule="auto"/>
        <w:rPr>
          <w:szCs w:val="21"/>
        </w:rPr>
      </w:pPr>
      <w:r>
        <w:rPr>
          <w:rFonts w:hint="eastAsia"/>
          <w:szCs w:val="21"/>
        </w:rPr>
        <w:t xml:space="preserve">    4、加强领导班子的自身建设，提高领导班子政治素质。</w:t>
      </w:r>
    </w:p>
    <w:p>
      <w:pPr>
        <w:spacing w:line="360" w:lineRule="auto"/>
        <w:rPr>
          <w:szCs w:val="21"/>
        </w:rPr>
      </w:pPr>
      <w:r>
        <w:rPr>
          <w:rFonts w:hint="eastAsia"/>
          <w:szCs w:val="21"/>
        </w:rPr>
        <w:t xml:space="preserve">    5、按照干部管理权限，负责干部的教育、培养、选拔、任免和考核工作。</w:t>
      </w:r>
    </w:p>
    <w:p>
      <w:pPr>
        <w:spacing w:line="360" w:lineRule="auto"/>
        <w:rPr>
          <w:szCs w:val="21"/>
        </w:rPr>
      </w:pPr>
      <w:r>
        <w:rPr>
          <w:rFonts w:hint="eastAsia"/>
          <w:szCs w:val="21"/>
        </w:rPr>
        <w:t xml:space="preserve">    6、负责党员、干部、群众的思想政治工作，加强精神文明建设和公民道德建设，维护社会稳定。</w:t>
      </w:r>
    </w:p>
    <w:p>
      <w:pPr>
        <w:spacing w:line="360" w:lineRule="auto"/>
        <w:rPr>
          <w:szCs w:val="21"/>
        </w:rPr>
      </w:pPr>
      <w:r>
        <w:rPr>
          <w:rFonts w:hint="eastAsia"/>
          <w:szCs w:val="21"/>
        </w:rPr>
        <w:t xml:space="preserve">    7、领导本乡(地区)纪检监察工作，加强党性、党风、党纪教育，促进廉政勤政建设。</w:t>
      </w:r>
    </w:p>
    <w:p>
      <w:pPr>
        <w:spacing w:line="360" w:lineRule="auto"/>
        <w:rPr>
          <w:szCs w:val="21"/>
        </w:rPr>
      </w:pPr>
      <w:r>
        <w:rPr>
          <w:rFonts w:hint="eastAsia"/>
          <w:szCs w:val="21"/>
        </w:rPr>
        <w:t xml:space="preserve">    8、领导统一战线和人民武装工作。</w:t>
      </w:r>
    </w:p>
    <w:p>
      <w:pPr>
        <w:spacing w:line="360" w:lineRule="auto"/>
        <w:rPr>
          <w:szCs w:val="21"/>
        </w:rPr>
      </w:pPr>
      <w:r>
        <w:rPr>
          <w:rFonts w:hint="eastAsia"/>
          <w:szCs w:val="21"/>
        </w:rPr>
        <w:t xml:space="preserve">    9、领导工会、共青团、妇联等人民团体，支持其按照相关法律、法规和各自章程独立开展工作。</w:t>
      </w:r>
    </w:p>
    <w:p>
      <w:pPr>
        <w:spacing w:line="360" w:lineRule="auto"/>
        <w:rPr>
          <w:szCs w:val="21"/>
        </w:rPr>
      </w:pPr>
      <w:r>
        <w:rPr>
          <w:rFonts w:hint="eastAsia"/>
          <w:szCs w:val="21"/>
        </w:rPr>
        <w:t xml:space="preserve">    10、承办区委交办的其他工作。</w:t>
      </w:r>
    </w:p>
    <w:p>
      <w:pPr>
        <w:spacing w:line="360" w:lineRule="auto"/>
        <w:rPr>
          <w:szCs w:val="21"/>
        </w:rPr>
      </w:pPr>
      <w:r>
        <w:rPr>
          <w:rFonts w:hint="eastAsia"/>
          <w:szCs w:val="21"/>
        </w:rPr>
        <w:t xml:space="preserve">    乡人民政府(地区办事处)主要职责</w:t>
      </w:r>
    </w:p>
    <w:p>
      <w:pPr>
        <w:spacing w:line="360" w:lineRule="auto"/>
        <w:rPr>
          <w:szCs w:val="21"/>
        </w:rPr>
      </w:pPr>
      <w:r>
        <w:rPr>
          <w:rFonts w:hint="eastAsia"/>
          <w:szCs w:val="21"/>
        </w:rPr>
        <w:t xml:space="preserve">    乡人民政府是国家在农村的基层政权组织，地区办事处是区政府的派出机构，负责本行政区域内有关行政管理工作。其主要职责是：</w:t>
      </w:r>
    </w:p>
    <w:p>
      <w:pPr>
        <w:spacing w:line="360" w:lineRule="auto"/>
        <w:rPr>
          <w:szCs w:val="21"/>
        </w:rPr>
      </w:pPr>
      <w:r>
        <w:rPr>
          <w:rFonts w:hint="eastAsia"/>
          <w:szCs w:val="21"/>
        </w:rPr>
        <w:t xml:space="preserve">    1、贯彻落实国家法律法规，执行本级人民代表大会的决议和上级行政机关的决定和命令。</w:t>
      </w:r>
    </w:p>
    <w:p>
      <w:pPr>
        <w:spacing w:line="360" w:lineRule="auto"/>
        <w:rPr>
          <w:szCs w:val="21"/>
        </w:rPr>
      </w:pPr>
      <w:r>
        <w:rPr>
          <w:rFonts w:hint="eastAsia"/>
          <w:szCs w:val="21"/>
        </w:rPr>
        <w:t xml:space="preserve">    2、推进乡民主政治建设，实行政务公开，指导村民委员会的工作，扩大和健全农村基层民主，加强基层政权组织建设。</w:t>
      </w:r>
    </w:p>
    <w:p>
      <w:pPr>
        <w:spacing w:line="360" w:lineRule="auto"/>
        <w:rPr>
          <w:szCs w:val="21"/>
        </w:rPr>
      </w:pPr>
      <w:r>
        <w:rPr>
          <w:rFonts w:hint="eastAsia"/>
          <w:szCs w:val="21"/>
        </w:rPr>
        <w:t xml:space="preserve">    3、负责制定本乡(地区)经济和社会发展规划、计划，组织指导产业结构调整，优化经济社会发展环境;管理本乡(地区)经济工作、财政预算和收支。</w:t>
      </w:r>
    </w:p>
    <w:p>
      <w:pPr>
        <w:spacing w:line="360" w:lineRule="auto"/>
        <w:rPr>
          <w:szCs w:val="21"/>
        </w:rPr>
      </w:pPr>
      <w:r>
        <w:rPr>
          <w:rFonts w:hint="eastAsia"/>
          <w:szCs w:val="21"/>
        </w:rPr>
        <w:t xml:space="preserve">    4、负责农村经济体制改革工作，组织指导农业和农村经济结构调整，实施农村集体经济产权制度改革，规范农村集体经济管理。</w:t>
      </w:r>
    </w:p>
    <w:p>
      <w:pPr>
        <w:spacing w:line="360" w:lineRule="auto"/>
        <w:rPr>
          <w:szCs w:val="21"/>
        </w:rPr>
      </w:pPr>
      <w:r>
        <w:rPr>
          <w:rFonts w:hint="eastAsia"/>
          <w:szCs w:val="21"/>
        </w:rPr>
        <w:t xml:space="preserve">    5、负责乡村规划建设和农村土地开发建设管理工作，落实农村基础设施建设，改善农村公共生活设施，加快农村城市化建设。</w:t>
      </w:r>
    </w:p>
    <w:p>
      <w:pPr>
        <w:spacing w:line="360" w:lineRule="auto"/>
        <w:rPr>
          <w:szCs w:val="21"/>
        </w:rPr>
      </w:pPr>
      <w:r>
        <w:rPr>
          <w:rFonts w:hint="eastAsia"/>
          <w:szCs w:val="21"/>
        </w:rPr>
        <w:t xml:space="preserve">    6、负责协同有关部门开展房屋安全管理、拆迁现场管理、施工单位依法施工监督、小区物业管理指导检查以及住宅小区公共配套设施落实情况的检查督促工作。</w:t>
      </w:r>
    </w:p>
    <w:p>
      <w:pPr>
        <w:spacing w:line="360" w:lineRule="auto"/>
        <w:rPr>
          <w:szCs w:val="21"/>
        </w:rPr>
      </w:pPr>
      <w:r>
        <w:rPr>
          <w:rFonts w:hint="eastAsia"/>
          <w:szCs w:val="21"/>
        </w:rPr>
        <w:t xml:space="preserve">    7、负责环境综合整治工作，组织监督对违法建筑、违法占用道路、无照经营行为的查处工作;负责本地区内市容市貌、环境卫生、绿化美化、节水用水、环保和防空减灾等工作。</w:t>
      </w:r>
    </w:p>
    <w:p>
      <w:pPr>
        <w:spacing w:line="360" w:lineRule="auto"/>
        <w:rPr>
          <w:szCs w:val="21"/>
        </w:rPr>
      </w:pPr>
      <w:r>
        <w:rPr>
          <w:rFonts w:hint="eastAsia"/>
          <w:szCs w:val="21"/>
        </w:rPr>
        <w:t xml:space="preserve">    8、负责本地区社会治安综合治理以及安全生产监督、流动人口和出租房屋管理工作，协助开展交通安全、消防安全监管，维护社会秩序。</w:t>
      </w:r>
    </w:p>
    <w:p>
      <w:pPr>
        <w:spacing w:line="360" w:lineRule="auto"/>
        <w:rPr>
          <w:szCs w:val="21"/>
        </w:rPr>
      </w:pPr>
      <w:r>
        <w:rPr>
          <w:rFonts w:hint="eastAsia"/>
          <w:szCs w:val="21"/>
        </w:rPr>
        <w:t xml:space="preserve">    9、负责组织开展法制宣传和法律援助工作，接待群众来信来访，调解民事纠纷，化解社会矛盾，处理群体突发事件。</w:t>
      </w:r>
    </w:p>
    <w:p>
      <w:pPr>
        <w:spacing w:line="360" w:lineRule="auto"/>
        <w:rPr>
          <w:szCs w:val="21"/>
        </w:rPr>
      </w:pPr>
      <w:r>
        <w:rPr>
          <w:rFonts w:hint="eastAsia"/>
          <w:szCs w:val="21"/>
        </w:rPr>
        <w:t xml:space="preserve">    10、负责推进基层政权和农村社区建设，指导村委会和居委会工作，促进村委会和居委会的组织建设，提高其自治能力。</w:t>
      </w:r>
    </w:p>
    <w:p>
      <w:pPr>
        <w:spacing w:line="360" w:lineRule="auto"/>
        <w:rPr>
          <w:szCs w:val="21"/>
        </w:rPr>
      </w:pPr>
      <w:r>
        <w:rPr>
          <w:rFonts w:hint="eastAsia"/>
          <w:szCs w:val="21"/>
        </w:rPr>
        <w:t xml:space="preserve">    11、保障少数民族、妇女、未成年人、老年人和残疾人的合法权益。</w:t>
      </w:r>
    </w:p>
    <w:p>
      <w:pPr>
        <w:spacing w:line="360" w:lineRule="auto"/>
        <w:rPr>
          <w:szCs w:val="21"/>
        </w:rPr>
      </w:pPr>
      <w:r>
        <w:rPr>
          <w:rFonts w:hint="eastAsia"/>
          <w:szCs w:val="21"/>
        </w:rPr>
        <w:t xml:space="preserve">    12、负责制定社区服务发展规划，建设社区服务设施，合理配置社区服务资源。</w:t>
      </w:r>
    </w:p>
    <w:p>
      <w:pPr>
        <w:spacing w:line="360" w:lineRule="auto"/>
        <w:rPr>
          <w:szCs w:val="21"/>
        </w:rPr>
      </w:pPr>
      <w:r>
        <w:rPr>
          <w:rFonts w:hint="eastAsia"/>
          <w:szCs w:val="21"/>
        </w:rPr>
        <w:t xml:space="preserve">    13、负责本地区社会保障和劳动就业工作，组织引导农村劳动力转移安置，增加农民收入，提高农民生活水平。</w:t>
      </w:r>
    </w:p>
    <w:p>
      <w:pPr>
        <w:spacing w:line="360" w:lineRule="auto"/>
        <w:rPr>
          <w:szCs w:val="21"/>
        </w:rPr>
      </w:pPr>
      <w:r>
        <w:rPr>
          <w:rFonts w:hint="eastAsia"/>
          <w:szCs w:val="21"/>
        </w:rPr>
        <w:t xml:space="preserve">    14、负责公共卫生、计划生育、教育和社会救济等管理工作，组织开展群众文化、体育、科普活动。</w:t>
      </w:r>
    </w:p>
    <w:p>
      <w:pPr>
        <w:spacing w:line="360" w:lineRule="auto"/>
        <w:rPr>
          <w:szCs w:val="21"/>
        </w:rPr>
      </w:pPr>
      <w:r>
        <w:rPr>
          <w:rFonts w:hint="eastAsia"/>
          <w:szCs w:val="21"/>
        </w:rPr>
        <w:t xml:space="preserve">    15、承办区政府交办的其他事项。</w:t>
      </w:r>
    </w:p>
    <w:p>
      <w:pPr>
        <w:spacing w:line="360" w:lineRule="auto"/>
        <w:ind w:firstLine="420" w:firstLineChars="200"/>
      </w:pPr>
      <w:r>
        <w:rPr>
          <w:rFonts w:hint="eastAsia"/>
        </w:rPr>
        <w:t>（二）人员构成情况</w:t>
      </w:r>
    </w:p>
    <w:p>
      <w:pPr>
        <w:spacing w:line="360" w:lineRule="auto"/>
        <w:ind w:firstLine="420" w:firstLineChars="200"/>
      </w:pPr>
      <w:r>
        <w:rPr>
          <w:rFonts w:hint="eastAsia"/>
        </w:rPr>
        <w:t>常营部门行政编制108人，实际101人；事业编制41人，实际26人；聘用人员（公安系统文职人员、公安系统辅警人员、公安系统交通协管员、其他聘用人员--临时工）287人。</w:t>
      </w:r>
    </w:p>
    <w:p>
      <w:pPr>
        <w:spacing w:line="360" w:lineRule="auto"/>
        <w:ind w:firstLine="420" w:firstLineChars="200"/>
      </w:pPr>
      <w:r>
        <w:rPr>
          <w:rFonts w:hint="eastAsia"/>
        </w:rPr>
        <w:t>离退休人员40人，其中：离休0人，退休40人。</w:t>
      </w:r>
    </w:p>
    <w:p>
      <w:pPr>
        <w:numPr>
          <w:ilvl w:val="0"/>
          <w:numId w:val="1"/>
        </w:numPr>
        <w:spacing w:line="360" w:lineRule="auto"/>
        <w:ind w:left="420"/>
      </w:pPr>
      <w:r>
        <w:rPr>
          <w:rFonts w:hint="eastAsia"/>
        </w:rPr>
        <w:t>本预算年度的主要工作任务</w:t>
      </w:r>
    </w:p>
    <w:p>
      <w:pPr>
        <w:spacing w:line="360" w:lineRule="auto"/>
        <w:ind w:firstLine="420"/>
      </w:pPr>
      <w:r>
        <w:rPr>
          <w:rFonts w:hint="eastAsia"/>
        </w:rPr>
        <w:t>一、抓好城市精细化管理。坚持精治、共治、法治，推进民族风情街二期工程，重点改造常营中街、常营南路等道路，方便居民出行。实施“雪亮工程”，安装高清探头225个，做到公共区域全覆盖。加快推进自备井置换和入户换表，让广大居民尽快喝上市政自来水。深入推进垃圾分类。积极落实河长制。做好国家级创卫技术评估迎检准备，高水平创建国家卫生区。扎实做好第七次全国人口普查工作。推进平安常营建设，确保生产安全、消防安全、城市运行安全、社区治安安全、食品药品安全。完善社会治安防控体系，全力服务保障全国“两会”、抗日战争暨世界反法西斯战争胜利75周年庆祝活动。</w:t>
      </w:r>
    </w:p>
    <w:p>
      <w:pPr>
        <w:spacing w:line="360" w:lineRule="auto"/>
        <w:ind w:firstLine="420"/>
      </w:pPr>
      <w:r>
        <w:rPr>
          <w:rFonts w:hint="eastAsia"/>
        </w:rPr>
        <w:t>二、抓好社会治理。推进“吹哨报到”改革深化提升基层建设。健全市民服务热线诉求办理机制，促进接诉即办、未诉先办、一办到底。深化党建引领物业服务企业参与社区治理，用好党政群共商共治平台，推进居民议事厅纵向延伸。把服务群众作为社区主责，切实为社区减负。配合做好航研所东路开工建设。完成假装电梯二期工程，推进三期加装267部。进行恒春养老院、朝花幼儿园、民族学校屋顶绿化建设，创建花园式单位。</w:t>
      </w:r>
    </w:p>
    <w:p>
      <w:pPr>
        <w:spacing w:line="360" w:lineRule="auto"/>
        <w:ind w:firstLine="420"/>
        <w:rPr>
          <w:rFonts w:asciiTheme="minorEastAsia" w:hAnsiTheme="minorEastAsia" w:cstheme="minorEastAsia"/>
        </w:rPr>
      </w:pPr>
      <w:r>
        <w:rPr>
          <w:rFonts w:hint="eastAsia"/>
        </w:rPr>
        <w:t>三、建设优美城市环境。精雕细琢城市微景观，扩大绿色生态空间。完成五里桥公园二期项目，建成常营地区体育生态闭环。实施东南部环境综合提升，做好半马赛道周边景观提升及配套设施工程，启动第二届北京</w:t>
      </w:r>
      <w:r>
        <w:rPr>
          <w:rFonts w:hint="eastAsia" w:ascii="宋体" w:hAnsi="宋体" w:eastAsia="宋体" w:cs="宋体"/>
        </w:rPr>
        <w:t>·</w:t>
      </w:r>
      <w:r>
        <w:rPr>
          <w:rFonts w:hint="eastAsia" w:asciiTheme="minorEastAsia" w:hAnsiTheme="minorEastAsia" w:cstheme="minorEastAsia"/>
        </w:rPr>
        <w:t>常营国际半程马拉松比赛筹备工作，持续扩大半马比赛辐射范围和影响力。聚焦社区微环境，开展民族家园、连心园、荟康苑小区环境综合整治，形成一批有温度、有深度、有故事的社区微景观。</w:t>
      </w:r>
    </w:p>
    <w:p>
      <w:pPr>
        <w:spacing w:line="360" w:lineRule="auto"/>
        <w:ind w:firstLine="420"/>
        <w:rPr>
          <w:rFonts w:asciiTheme="minorEastAsia" w:hAnsiTheme="minorEastAsia" w:cstheme="minorEastAsia"/>
        </w:rPr>
      </w:pPr>
      <w:r>
        <w:rPr>
          <w:rFonts w:hint="eastAsia" w:asciiTheme="minorEastAsia" w:hAnsiTheme="minorEastAsia" w:cstheme="minorEastAsia"/>
        </w:rPr>
        <w:t>四、提高公共服务水平。加强普惠性、基础性、兜底性民生建设，发挥社区社会组织联合会、党政群共商共治大会作用，统筹好区域公共资源。推进“一门办理”和“一窗通办”工作，加快便民服务标准化体系建设，健全就业服务机制，做好低保、高龄老人、困难残疾人等弱势群体工作。完善高龄老人“一键呼”养老服务，实现高龄老人紧急呼叫全覆盖。做好新一轮全国文明城区复查迎检工作。</w:t>
      </w:r>
    </w:p>
    <w:p>
      <w:pPr>
        <w:spacing w:line="360" w:lineRule="auto"/>
        <w:ind w:firstLine="630" w:firstLineChars="300"/>
      </w:pPr>
      <w:r>
        <w:rPr>
          <w:rFonts w:hint="eastAsia"/>
        </w:rPr>
        <w:t>二、收入预算说明</w:t>
      </w:r>
    </w:p>
    <w:p>
      <w:pPr>
        <w:spacing w:line="360" w:lineRule="auto"/>
        <w:ind w:firstLine="630" w:firstLineChars="300"/>
      </w:pPr>
      <w:r>
        <w:rPr>
          <w:rFonts w:hint="eastAsia"/>
        </w:rPr>
        <w:t>2020年收入预算13230.7301万元，比2019年17770.1495万元减少4539.4194万元，下降25.55%其中：财政拨款13230.7301万元，比2019年17770.1495万元减少4539.4194万元；统筹使用结余资金安排预算0万元，与2019年持平；其他资金0万元，与2019年持平。</w:t>
      </w:r>
    </w:p>
    <w:p>
      <w:pPr>
        <w:spacing w:line="360" w:lineRule="auto"/>
        <w:ind w:firstLine="630" w:firstLineChars="300"/>
      </w:pPr>
      <w:r>
        <w:rPr>
          <w:rFonts w:hint="eastAsia"/>
        </w:rPr>
        <w:t>三、支出预算说明</w:t>
      </w:r>
    </w:p>
    <w:p>
      <w:pPr>
        <w:spacing w:line="360" w:lineRule="auto"/>
        <w:ind w:firstLine="420" w:firstLineChars="200"/>
      </w:pPr>
      <w:r>
        <w:rPr>
          <w:rFonts w:hint="eastAsia"/>
        </w:rPr>
        <w:t>（一）基本支出预算3730.93万元，占总支出预算28.2%，比2019年3464.97万元增加265.96万元，增长7.68%。</w:t>
      </w:r>
    </w:p>
    <w:p>
      <w:pPr>
        <w:spacing w:line="360" w:lineRule="auto"/>
        <w:ind w:firstLine="420" w:firstLineChars="200"/>
      </w:pPr>
      <w:r>
        <w:rPr>
          <w:rFonts w:hint="eastAsia"/>
        </w:rPr>
        <w:t>（二）项目支出预算9499.8001万元，占总支出预算71.8%，比2019年14305.1795万元减少4805.3794万元，下降33.59%。</w:t>
      </w:r>
    </w:p>
    <w:p>
      <w:pPr>
        <w:spacing w:line="360" w:lineRule="auto"/>
        <w:ind w:firstLine="420" w:firstLineChars="200"/>
      </w:pPr>
      <w:r>
        <w:rPr>
          <w:rFonts w:hint="eastAsia"/>
        </w:rPr>
        <w:t>四、部门“三公”经费财政拨款预算说明</w:t>
      </w:r>
    </w:p>
    <w:p>
      <w:pPr>
        <w:spacing w:line="360" w:lineRule="auto"/>
        <w:ind w:firstLine="420" w:firstLineChars="200"/>
      </w:pPr>
      <w:r>
        <w:rPr>
          <w:rFonts w:hint="eastAsia"/>
        </w:rPr>
        <w:t>（一）“三公经费”的单位范围</w:t>
      </w:r>
    </w:p>
    <w:p>
      <w:pPr>
        <w:spacing w:line="360" w:lineRule="auto"/>
        <w:ind w:firstLine="420" w:firstLineChars="200"/>
      </w:pPr>
      <w:r>
        <w:rPr>
          <w:rFonts w:hint="eastAsia"/>
        </w:rPr>
        <w:t>常营部门因公出国（境）费用、公务接待费、公务用车购置和运行维护费开支。单位包括6个所属单位。</w:t>
      </w:r>
    </w:p>
    <w:p>
      <w:pPr>
        <w:spacing w:line="360" w:lineRule="auto"/>
        <w:ind w:firstLine="420" w:firstLineChars="200"/>
      </w:pPr>
      <w:r>
        <w:rPr>
          <w:rFonts w:hint="eastAsia"/>
        </w:rPr>
        <w:t>（二）“三公经费”财政拨款情况说明</w:t>
      </w:r>
    </w:p>
    <w:p>
      <w:pPr>
        <w:spacing w:line="360" w:lineRule="auto"/>
        <w:ind w:firstLine="420" w:firstLineChars="200"/>
      </w:pPr>
      <w:r>
        <w:rPr>
          <w:rFonts w:hint="eastAsia"/>
        </w:rPr>
        <w:t>2020年“三公经费”财政拨款预算14.42万元，比2019年“三公经费”财政拨款预算减少2.27万元。其中：</w:t>
      </w:r>
    </w:p>
    <w:p>
      <w:pPr>
        <w:spacing w:line="360" w:lineRule="auto"/>
        <w:ind w:firstLine="420" w:firstLineChars="200"/>
      </w:pPr>
      <w:r>
        <w:rPr>
          <w:rFonts w:hint="eastAsia"/>
        </w:rPr>
        <w:t>1、因公出国（境）费用。2020年预算数0万元，与2019年预算数持平。</w:t>
      </w:r>
    </w:p>
    <w:p>
      <w:pPr>
        <w:spacing w:line="360" w:lineRule="auto"/>
        <w:ind w:firstLine="420" w:firstLineChars="200"/>
      </w:pPr>
      <w:r>
        <w:rPr>
          <w:rFonts w:hint="eastAsia"/>
        </w:rPr>
        <w:t>2、公务接待费。2020年预算数1.78万元，比2019年预算数减少1.61万元。主要原因：依据“</w:t>
      </w:r>
      <w:r>
        <w:rPr>
          <w:rFonts w:hint="eastAsia"/>
          <w:lang w:eastAsia="zh-CN"/>
        </w:rPr>
        <w:t>中央</w:t>
      </w:r>
      <w:r>
        <w:rPr>
          <w:rFonts w:hint="eastAsia"/>
        </w:rPr>
        <w:t>八项规定”和厉行节约的原则，从严控制公务接待，减少不必要接待，压缩接待开支。</w:t>
      </w:r>
      <w:bookmarkStart w:id="0" w:name="_GoBack"/>
      <w:bookmarkEnd w:id="0"/>
    </w:p>
    <w:p>
      <w:pPr>
        <w:spacing w:line="360" w:lineRule="auto"/>
        <w:ind w:firstLine="420" w:firstLineChars="200"/>
      </w:pPr>
      <w:r>
        <w:rPr>
          <w:rFonts w:hint="eastAsia"/>
        </w:rPr>
        <w:t>3、公务用车购置和运行维护费。其中，公务用车购置费2020年预算数0万元，与2019年预算持平；公务用车运行维护费2020年预算数12.64万元，比2019年预算数减少0.66万元。主要原因：</w:t>
      </w:r>
      <w:r>
        <w:rPr>
          <w:rFonts w:hint="eastAsia"/>
          <w:szCs w:val="21"/>
        </w:rPr>
        <w:t>落实八项规定，减少公务用车</w:t>
      </w:r>
      <w:r>
        <w:rPr>
          <w:rFonts w:hint="eastAsia"/>
        </w:rPr>
        <w:t>。</w:t>
      </w:r>
    </w:p>
    <w:p>
      <w:pPr>
        <w:spacing w:line="360" w:lineRule="auto"/>
        <w:ind w:firstLine="420" w:firstLineChars="200"/>
      </w:pPr>
      <w:r>
        <w:rPr>
          <w:rFonts w:hint="eastAsia"/>
        </w:rPr>
        <w:t>五、部门政府采购预算说明</w:t>
      </w:r>
    </w:p>
    <w:p>
      <w:pPr>
        <w:spacing w:line="360" w:lineRule="auto"/>
        <w:ind w:firstLine="420" w:firstLineChars="200"/>
      </w:pPr>
      <w:r>
        <w:rPr>
          <w:rFonts w:hint="eastAsia"/>
        </w:rPr>
        <w:t>2020年常营部门政府采购预算总额2520.3626万元，其中：政府采购货物预算0.0万元，政府采购工程预算33.705万元，政府采购服务预算2486.6576万元。</w:t>
      </w:r>
    </w:p>
    <w:p>
      <w:pPr>
        <w:spacing w:line="360" w:lineRule="auto"/>
        <w:ind w:firstLine="420" w:firstLineChars="200"/>
      </w:pPr>
      <w:r>
        <w:rPr>
          <w:rFonts w:hint="eastAsia"/>
        </w:rPr>
        <w:t>六、机关运行经费情况说明</w:t>
      </w:r>
    </w:p>
    <w:p>
      <w:pPr>
        <w:spacing w:line="360" w:lineRule="auto"/>
      </w:pPr>
      <w:r>
        <w:rPr>
          <w:rFonts w:hint="eastAsia"/>
        </w:rPr>
        <w:t>   2020年常营乡政府等1家行政单位以及1家参公管理事业单位、4家事业单位的机关运行经费财政拨款预算387.46万元。</w:t>
      </w:r>
    </w:p>
    <w:p>
      <w:pPr>
        <w:spacing w:line="360" w:lineRule="auto"/>
        <w:ind w:firstLine="420" w:firstLineChars="200"/>
      </w:pPr>
      <w:r>
        <w:rPr>
          <w:rFonts w:hint="eastAsia"/>
        </w:rPr>
        <w:t>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360" w:lineRule="auto"/>
        <w:ind w:firstLine="420" w:firstLineChars="200"/>
      </w:pPr>
      <w:r>
        <w:rPr>
          <w:rFonts w:hint="eastAsia"/>
        </w:rPr>
        <w:t>七、政府性基金预算财政拨款情况说明</w:t>
      </w:r>
    </w:p>
    <w:p>
      <w:pPr>
        <w:spacing w:line="360" w:lineRule="auto"/>
        <w:ind w:firstLine="420" w:firstLineChars="200"/>
      </w:pPr>
      <w:r>
        <w:rPr>
          <w:rFonts w:hint="eastAsia"/>
        </w:rPr>
        <w:t>本部门2020年无政府性基金预算财政拨款安排的预算。</w:t>
      </w:r>
    </w:p>
    <w:p>
      <w:pPr>
        <w:spacing w:line="360" w:lineRule="auto"/>
        <w:ind w:firstLine="420" w:firstLineChars="200"/>
      </w:pPr>
      <w:r>
        <w:rPr>
          <w:rFonts w:hint="eastAsia"/>
        </w:rPr>
        <w:t>八、国有资本经营预算财政拨款情况说明</w:t>
      </w:r>
    </w:p>
    <w:p>
      <w:pPr>
        <w:spacing w:line="360" w:lineRule="auto"/>
        <w:ind w:firstLine="420" w:firstLineChars="200"/>
      </w:pPr>
      <w:r>
        <w:rPr>
          <w:rFonts w:hint="eastAsia"/>
        </w:rPr>
        <w:t>本部门2020年无国有资本经营预算财政拨款安排的预算。</w:t>
      </w:r>
    </w:p>
    <w:p>
      <w:pPr>
        <w:spacing w:line="360" w:lineRule="auto"/>
        <w:ind w:firstLine="420" w:firstLineChars="200"/>
      </w:pPr>
      <w:r>
        <w:rPr>
          <w:rFonts w:hint="eastAsia"/>
        </w:rPr>
        <w:t>九、国有资产占用情况说明</w:t>
      </w:r>
    </w:p>
    <w:p>
      <w:pPr>
        <w:spacing w:line="360" w:lineRule="auto"/>
        <w:ind w:firstLine="420" w:firstLineChars="200"/>
      </w:pPr>
      <w:r>
        <w:rPr>
          <w:rFonts w:hint="eastAsia"/>
        </w:rPr>
        <w:t>2020年，本部门汽车4辆，73.54万元；单价在50万元以上的通用设备2台（套）；单价100万元以上的专用设备0台（套）。</w:t>
      </w:r>
    </w:p>
    <w:p>
      <w:pPr>
        <w:spacing w:line="360" w:lineRule="auto"/>
        <w:ind w:firstLine="420" w:firstLineChars="200"/>
      </w:pPr>
      <w:r>
        <w:rPr>
          <w:rFonts w:hint="eastAsia"/>
        </w:rPr>
        <w:t>十、项目绩效目标情况说明</w:t>
      </w:r>
    </w:p>
    <w:p>
      <w:pPr>
        <w:spacing w:line="360" w:lineRule="auto"/>
        <w:ind w:firstLine="420" w:firstLineChars="200"/>
      </w:pPr>
      <w:r>
        <w:rPr>
          <w:rFonts w:hint="eastAsia"/>
        </w:rPr>
        <w:t>2020年本部门已填报部门整体绩效目标，详见附件10。北京像素治理中心服务管理经费、公共服务经费、基本事业经费、民生家园建设资金项目已填报重点绩效目标申报表，详见附件11。</w:t>
      </w:r>
    </w:p>
    <w:p>
      <w:pPr>
        <w:spacing w:line="360" w:lineRule="auto"/>
        <w:ind w:firstLine="420" w:firstLineChars="200"/>
      </w:pPr>
      <w:r>
        <w:rPr>
          <w:rFonts w:hint="eastAsia"/>
        </w:rPr>
        <w:t>十一、绩效评价情况说明</w:t>
      </w:r>
    </w:p>
    <w:p>
      <w:pPr>
        <w:spacing w:line="360" w:lineRule="auto"/>
        <w:ind w:firstLine="420" w:firstLineChars="200"/>
      </w:pPr>
      <w:r>
        <w:rPr>
          <w:rFonts w:hint="eastAsia"/>
        </w:rPr>
        <w:t>2019年，区财政局对我单位“常营乡环境标杆乡2017年度环境建设项目项目”开展了事后绩效评价。此次绩效评价得分为79.13分，绩效级别为“良好”。</w:t>
      </w:r>
    </w:p>
    <w:p>
      <w:pPr>
        <w:numPr>
          <w:ilvl w:val="0"/>
          <w:numId w:val="2"/>
        </w:numPr>
        <w:spacing w:line="360" w:lineRule="auto"/>
        <w:ind w:left="420"/>
      </w:pPr>
      <w:r>
        <w:rPr>
          <w:rFonts w:hint="eastAsia"/>
        </w:rPr>
        <w:t>名词解释</w:t>
      </w:r>
    </w:p>
    <w:p>
      <w:pPr>
        <w:spacing w:line="360" w:lineRule="auto"/>
        <w:ind w:firstLine="420" w:firstLineChars="200"/>
      </w:pPr>
      <w:r>
        <w:rPr>
          <w:rFonts w:hint="eastAsia" w:ascii="宋体" w:hAnsi="宋体" w:eastAsia="宋体" w:cs="宋体"/>
          <w:color w:val="000000"/>
          <w:szCs w:val="21"/>
          <w:shd w:val="clear" w:color="auto" w:fill="FFFFFF"/>
        </w:rPr>
        <w:t>本部门无专业性较强的名词</w:t>
      </w:r>
    </w:p>
    <w:p/>
    <w:p/>
    <w:p/>
    <w:p/>
    <w:p/>
    <w:p/>
    <w:p/>
    <w:p>
      <w:pPr>
        <w:rPr>
          <w:rFonts w:asciiTheme="minorEastAsia" w:hAnsiTheme="minorEastAsia" w:cstheme="minorEastAsia"/>
        </w:rPr>
      </w:pPr>
    </w:p>
    <w:p>
      <w:pPr>
        <w:rPr>
          <w:rFonts w:asciiTheme="minorEastAsia" w:hAnsiTheme="minorEastAsia" w:cstheme="minorEastAsia"/>
        </w:rPr>
      </w:pPr>
    </w:p>
    <w:p>
      <w:pPr>
        <w:rPr>
          <w:rFonts w:asciiTheme="minorEastAsia" w:hAnsiTheme="minorEastAsia" w:cstheme="minorEastAsia"/>
        </w:rPr>
      </w:pPr>
    </w:p>
    <w:p>
      <w:pPr>
        <w:rPr>
          <w:rFonts w:asciiTheme="minorEastAsia" w:hAnsiTheme="minorEastAsia" w:cstheme="minorEastAsia"/>
        </w:rPr>
      </w:pPr>
    </w:p>
    <w:p>
      <w:pPr>
        <w:rPr>
          <w:rFonts w:asciiTheme="minorEastAsia" w:hAnsiTheme="minorEastAsia" w:cstheme="minorEastAsia"/>
        </w:rPr>
      </w:pPr>
    </w:p>
    <w:p>
      <w:pPr>
        <w:rPr>
          <w:rFonts w:asciiTheme="minorEastAsia" w:hAnsiTheme="minorEastAsia" w:cstheme="minorEastAsia"/>
        </w:rPr>
      </w:pPr>
    </w:p>
    <w:p>
      <w:pPr>
        <w:rPr>
          <w:rFonts w:asciiTheme="minorEastAsia" w:hAnsiTheme="minorEastAsia" w:cstheme="minorEastAsia"/>
        </w:rPr>
      </w:pPr>
    </w:p>
    <w:p>
      <w:pPr>
        <w:rPr>
          <w:rFonts w:asciiTheme="minorEastAsia" w:hAnsiTheme="minorEastAsia" w:cstheme="minorEastAsia"/>
        </w:rPr>
      </w:pPr>
    </w:p>
    <w:p>
      <w:pPr>
        <w:rPr>
          <w:rFonts w:asciiTheme="minorEastAsia" w:hAnsiTheme="minorEastAsia" w:cstheme="minorEastAsia"/>
        </w:rPr>
      </w:pPr>
    </w:p>
    <w:p>
      <w:pPr>
        <w:rPr>
          <w:rFonts w:asciiTheme="minorEastAsia" w:hAnsiTheme="minorEastAsia" w:cstheme="minorEastAsia"/>
        </w:rPr>
      </w:pPr>
      <w:r>
        <w:rPr>
          <w:rFonts w:hint="eastAsia" w:asciiTheme="minorEastAsia" w:hAnsiTheme="minorEastAsia" w:cstheme="minorEastAsia"/>
        </w:rPr>
        <w:t>附件：</w:t>
      </w:r>
    </w:p>
    <w:p>
      <w:pPr>
        <w:rPr>
          <w:rFonts w:asciiTheme="minorEastAsia" w:hAnsiTheme="minorEastAsia" w:cstheme="minorEastAsia"/>
        </w:rPr>
      </w:pPr>
      <w:r>
        <w:rPr>
          <w:rFonts w:hint="eastAsia" w:asciiTheme="minorEastAsia" w:hAnsiTheme="minorEastAsia" w:cstheme="minorEastAsia"/>
        </w:rPr>
        <w:t>1．收支预算总表（预算01表）</w:t>
      </w:r>
    </w:p>
    <w:p>
      <w:pPr>
        <w:rPr>
          <w:rFonts w:asciiTheme="minorEastAsia" w:hAnsiTheme="minorEastAsia" w:cstheme="minorEastAsia"/>
        </w:rPr>
      </w:pPr>
      <w:r>
        <w:rPr>
          <w:rFonts w:hint="eastAsia" w:asciiTheme="minorEastAsia" w:hAnsiTheme="minorEastAsia" w:cstheme="minorEastAsia"/>
        </w:rPr>
        <w:t>2. 部门收入总表（预算02表）</w:t>
      </w:r>
    </w:p>
    <w:p>
      <w:pPr>
        <w:rPr>
          <w:rFonts w:asciiTheme="minorEastAsia" w:hAnsiTheme="minorEastAsia" w:cstheme="minorEastAsia"/>
        </w:rPr>
      </w:pPr>
      <w:r>
        <w:rPr>
          <w:rFonts w:hint="eastAsia" w:asciiTheme="minorEastAsia" w:hAnsiTheme="minorEastAsia" w:cstheme="minorEastAsia"/>
        </w:rPr>
        <w:t>3. 部门支出总表（预算03表）</w:t>
      </w:r>
    </w:p>
    <w:p>
      <w:pPr>
        <w:rPr>
          <w:rFonts w:asciiTheme="minorEastAsia" w:hAnsiTheme="minorEastAsia" w:cstheme="minorEastAsia"/>
        </w:rPr>
      </w:pPr>
      <w:r>
        <w:rPr>
          <w:rFonts w:hint="eastAsia" w:asciiTheme="minorEastAsia" w:hAnsiTheme="minorEastAsia" w:cstheme="minorEastAsia"/>
        </w:rPr>
        <w:t>4. 财政拨款收支总表（预算04表）</w:t>
      </w:r>
    </w:p>
    <w:p>
      <w:pPr>
        <w:rPr>
          <w:rFonts w:asciiTheme="minorEastAsia" w:hAnsiTheme="minorEastAsia" w:cstheme="minorEastAsia"/>
        </w:rPr>
      </w:pPr>
      <w:r>
        <w:rPr>
          <w:rFonts w:hint="eastAsia" w:asciiTheme="minorEastAsia" w:hAnsiTheme="minorEastAsia" w:cstheme="minorEastAsia"/>
        </w:rPr>
        <w:t>5. 一般公共预算财政拨款支出表（预算05表）</w:t>
      </w:r>
    </w:p>
    <w:p>
      <w:pPr>
        <w:rPr>
          <w:rFonts w:asciiTheme="minorEastAsia" w:hAnsiTheme="minorEastAsia" w:cstheme="minorEastAsia"/>
        </w:rPr>
      </w:pPr>
      <w:r>
        <w:rPr>
          <w:rFonts w:hint="eastAsia" w:asciiTheme="minorEastAsia" w:hAnsiTheme="minorEastAsia" w:cstheme="minorEastAsia"/>
        </w:rPr>
        <w:t>6. 一般公共预算财政拨款基本支出经济分类预算表（预算06表）</w:t>
      </w:r>
    </w:p>
    <w:p>
      <w:pPr>
        <w:rPr>
          <w:rFonts w:asciiTheme="minorEastAsia" w:hAnsiTheme="minorEastAsia" w:cstheme="minorEastAsia"/>
        </w:rPr>
      </w:pPr>
      <w:r>
        <w:rPr>
          <w:rFonts w:hint="eastAsia" w:asciiTheme="minorEastAsia" w:hAnsiTheme="minorEastAsia" w:cstheme="minorEastAsia"/>
        </w:rPr>
        <w:t>7. 一般公共预算“三公”经费支出表（预算07表）</w:t>
      </w:r>
    </w:p>
    <w:p>
      <w:pPr>
        <w:rPr>
          <w:rFonts w:asciiTheme="minorEastAsia" w:hAnsiTheme="minorEastAsia" w:cstheme="minorEastAsia"/>
        </w:rPr>
      </w:pPr>
      <w:r>
        <w:rPr>
          <w:rFonts w:hint="eastAsia" w:asciiTheme="minorEastAsia" w:hAnsiTheme="minorEastAsia" w:cstheme="minorEastAsia"/>
        </w:rPr>
        <w:t>8. 政府性基金预算支出表（预算08表）</w:t>
      </w:r>
    </w:p>
    <w:p>
      <w:pPr>
        <w:rPr>
          <w:rFonts w:asciiTheme="minorEastAsia" w:hAnsiTheme="minorEastAsia" w:cstheme="minorEastAsia"/>
        </w:rPr>
      </w:pPr>
      <w:r>
        <w:rPr>
          <w:rFonts w:hint="eastAsia" w:asciiTheme="minorEastAsia" w:hAnsiTheme="minorEastAsia" w:cstheme="minorEastAsia"/>
        </w:rPr>
        <w:t>9．项目支出预算表（预算09表）</w:t>
      </w:r>
    </w:p>
    <w:p>
      <w:pPr>
        <w:rPr>
          <w:rFonts w:asciiTheme="minorEastAsia" w:hAnsiTheme="minorEastAsia" w:cstheme="minorEastAsia"/>
        </w:rPr>
      </w:pPr>
      <w:r>
        <w:rPr>
          <w:rFonts w:hint="eastAsia" w:asciiTheme="minorEastAsia" w:hAnsiTheme="minorEastAsia" w:cstheme="minorEastAsia"/>
        </w:rPr>
        <w:t>10.部门整体绩效目标申报表</w:t>
      </w:r>
    </w:p>
    <w:p>
      <w:pPr>
        <w:rPr>
          <w:rFonts w:hint="eastAsia"/>
        </w:rPr>
      </w:pPr>
      <w:r>
        <w:rPr>
          <w:rFonts w:hint="eastAsia" w:asciiTheme="minorEastAsia" w:hAnsiTheme="minorEastAsia" w:cstheme="minorEastAsia"/>
        </w:rPr>
        <w:t>11. 重点项目绩效目标申报表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655832"/>
    <w:multiLevelType w:val="singleLevel"/>
    <w:tmpl w:val="8F655832"/>
    <w:lvl w:ilvl="0" w:tentative="0">
      <w:start w:val="3"/>
      <w:numFmt w:val="chineseCounting"/>
      <w:suff w:val="nothing"/>
      <w:lvlText w:val="（%1）"/>
      <w:lvlJc w:val="left"/>
      <w:rPr>
        <w:rFonts w:hint="eastAsia"/>
      </w:rPr>
    </w:lvl>
  </w:abstractNum>
  <w:abstractNum w:abstractNumId="1">
    <w:nsid w:val="09F550AA"/>
    <w:multiLevelType w:val="singleLevel"/>
    <w:tmpl w:val="09F550AA"/>
    <w:lvl w:ilvl="0" w:tentative="0">
      <w:start w:val="1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B3219D"/>
    <w:rsid w:val="000F4F8A"/>
    <w:rsid w:val="00141115"/>
    <w:rsid w:val="003E141C"/>
    <w:rsid w:val="006C3E41"/>
    <w:rsid w:val="049C43AE"/>
    <w:rsid w:val="04A11776"/>
    <w:rsid w:val="12546697"/>
    <w:rsid w:val="196C44B9"/>
    <w:rsid w:val="24627154"/>
    <w:rsid w:val="2D2719F0"/>
    <w:rsid w:val="32B3219D"/>
    <w:rsid w:val="388C65B4"/>
    <w:rsid w:val="393A6BB9"/>
    <w:rsid w:val="3A3718E8"/>
    <w:rsid w:val="3DC52138"/>
    <w:rsid w:val="423D009B"/>
    <w:rsid w:val="48E36EB1"/>
    <w:rsid w:val="4F117BAC"/>
    <w:rsid w:val="632A38B2"/>
    <w:rsid w:val="6C5F3165"/>
    <w:rsid w:val="6D937204"/>
    <w:rsid w:val="71DA3127"/>
    <w:rsid w:val="7D743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qFormat/>
    <w:uiPriority w:val="0"/>
    <w:pPr>
      <w:jc w:val="left"/>
    </w:pPr>
    <w:rPr>
      <w:rFonts w:cs="Times New Roman"/>
      <w:kern w:val="0"/>
      <w:sz w:val="24"/>
    </w:rPr>
  </w:style>
  <w:style w:type="character" w:styleId="5">
    <w:name w:val="FollowedHyperlink"/>
    <w:basedOn w:val="4"/>
    <w:qFormat/>
    <w:uiPriority w:val="0"/>
    <w:rPr>
      <w:color w:val="000000"/>
      <w:u w:val="none"/>
    </w:rPr>
  </w:style>
  <w:style w:type="character" w:styleId="6">
    <w:name w:val="Hyperlink"/>
    <w:basedOn w:val="4"/>
    <w:qFormat/>
    <w:uiPriority w:val="0"/>
    <w:rPr>
      <w:color w:val="CC0000"/>
      <w:u w:val="single"/>
    </w:rPr>
  </w:style>
  <w:style w:type="character" w:customStyle="1" w:styleId="7">
    <w:name w:val="wid200"/>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Company>
  <Pages>1</Pages>
  <Words>697</Words>
  <Characters>3978</Characters>
  <Lines>33</Lines>
  <Paragraphs>9</Paragraphs>
  <TotalTime>5</TotalTime>
  <ScaleCrop>false</ScaleCrop>
  <LinksUpToDate>false</LinksUpToDate>
  <CharactersWithSpaces>4666</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2020-01-31T00:30:00Z</dcterms:created>
  <dc:creator>圳爸宁爸</dc:creator>
  <cp:lastModifiedBy>Administrator</cp:lastModifiedBy>
  <dcterms:modified xsi:type="dcterms:W3CDTF">2023-07-13T09:00:01Z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