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酒仙桥街道办事处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北京市朝阳区人民政府酒仙桥街道办事处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年度行政执法情况报告如下：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一、执法主体名称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执法主体名称：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北京市朝阳区人民政府酒仙桥街道办事处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二、执法岗位设置及执法人员在岗情况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按照科室职责分工设置了A岗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三、执法力量投入情况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酒仙桥街道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四、政务服务事项的办理情况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政务大厅受理事项8304件，人工评价7661件，系统评价643件，事项办理无“差评”记录，好评率达到100%。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五、执法检查计划执行情况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2024年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综合行政执法队全年累计执法检查10395件，其中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非现场检查占比41.26%，燃气安全执法检查947起。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六、行政处罚案件的办理情况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行政处罚555件，罚款金额42.15万元。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案件的办理情况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仿宋_GB2312" w:hAnsi="黑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本年度内无行政强制案件。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、投诉、举报案件的受理和分类办理情况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仿宋_GB2312" w:hAnsi="黑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2024年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综合行政执法队全年共受理12345案件3103件，总体解决率87.12%。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  <w:t>九、行政执法机关认为需要公示的其他情况。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仿宋_GB2312" w:hAnsi="黑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北京市朝阳区人民政府酒仙桥街道办事处</w:t>
      </w:r>
    </w:p>
    <w:p>
      <w:pPr>
        <w:widowControl/>
        <w:shd w:val="clear" w:color="auto" w:fill="FFFFFF"/>
        <w:wordWrap w:val="0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2025年1月9日     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/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E4E19"/>
    <w:rsid w:val="0F7E4E19"/>
    <w:rsid w:val="146B0E78"/>
    <w:rsid w:val="14892BC6"/>
    <w:rsid w:val="1E115A0D"/>
    <w:rsid w:val="260B3691"/>
    <w:rsid w:val="3C5571D0"/>
    <w:rsid w:val="69A11BBF"/>
    <w:rsid w:val="75941BBB"/>
    <w:rsid w:val="7C08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2025-01-03T02:03:00Z</dcterms:created>
  <dc:creator>sf</dc:creator>
  <cp:lastModifiedBy>sf</cp:lastModifiedBy>
  <cp:lastPrinted>2025-01-09T06:26:27Z</cp:lastPrinted>
  <dcterms:modified xsi:type="dcterms:W3CDTF">2025-01-09T06:38:38Z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