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cs="宋体"/>
          <w:b/>
          <w:bCs/>
          <w:spacing w:val="15"/>
          <w:sz w:val="44"/>
          <w:szCs w:val="44"/>
        </w:rPr>
      </w:pPr>
      <w:r>
        <w:rPr>
          <w:rFonts w:hint="eastAsia" w:ascii="宋体" w:hAnsi="宋体" w:cs="宋体"/>
          <w:b/>
          <w:bCs/>
          <w:spacing w:val="15"/>
          <w:sz w:val="44"/>
          <w:szCs w:val="44"/>
        </w:rPr>
        <w:t>2024年1-</w:t>
      </w:r>
      <w:r>
        <w:rPr>
          <w:rFonts w:hint="eastAsia" w:ascii="宋体" w:hAnsi="宋体" w:cs="宋体"/>
          <w:b/>
          <w:bCs/>
          <w:spacing w:val="15"/>
          <w:sz w:val="44"/>
          <w:szCs w:val="44"/>
          <w:lang w:val="en-US" w:eastAsia="zh-CN"/>
        </w:rPr>
        <w:t>12</w:t>
      </w:r>
      <w:r>
        <w:rPr>
          <w:rFonts w:hint="eastAsia" w:ascii="宋体" w:hAnsi="宋体" w:cs="宋体"/>
          <w:b/>
          <w:bCs/>
          <w:spacing w:val="15"/>
          <w:sz w:val="44"/>
          <w:szCs w:val="44"/>
        </w:rPr>
        <w:t>月朝阳区固定资产投资</w:t>
      </w:r>
    </w:p>
    <w:p>
      <w:pPr>
        <w:widowControl/>
        <w:spacing w:line="480" w:lineRule="auto"/>
        <w:jc w:val="center"/>
        <w:rPr>
          <w:rFonts w:hint="eastAsia" w:ascii="宋体" w:hAnsi="宋体" w:cs="宋体"/>
          <w:b/>
          <w:bCs/>
          <w:spacing w:val="15"/>
          <w:sz w:val="44"/>
          <w:szCs w:val="44"/>
        </w:rPr>
      </w:pPr>
      <w:r>
        <w:rPr>
          <w:rFonts w:hint="eastAsia" w:ascii="宋体" w:hAnsi="宋体" w:cs="宋体"/>
          <w:b/>
          <w:bCs/>
          <w:spacing w:val="15"/>
          <w:sz w:val="44"/>
          <w:szCs w:val="44"/>
        </w:rPr>
        <w:t>（不含农户）同比增</w:t>
      </w:r>
      <w:r>
        <w:rPr>
          <w:rFonts w:hint="eastAsia" w:ascii="宋体" w:hAnsi="宋体" w:cs="宋体"/>
          <w:b/>
          <w:bCs/>
          <w:color w:val="auto"/>
          <w:spacing w:val="15"/>
          <w:sz w:val="44"/>
          <w:szCs w:val="44"/>
        </w:rPr>
        <w:t>长</w:t>
      </w:r>
      <w:r>
        <w:rPr>
          <w:rFonts w:hint="eastAsia" w:ascii="宋体" w:hAnsi="宋体" w:cs="宋体"/>
          <w:b/>
          <w:bCs/>
          <w:color w:val="auto"/>
          <w:spacing w:val="15"/>
          <w:sz w:val="44"/>
          <w:szCs w:val="44"/>
          <w:lang w:val="en-US" w:eastAsia="zh-CN"/>
        </w:rPr>
        <w:t>7.0</w:t>
      </w:r>
      <w:r>
        <w:rPr>
          <w:rFonts w:hint="eastAsia" w:ascii="宋体" w:hAnsi="宋体" w:cs="宋体"/>
          <w:b/>
          <w:bCs/>
          <w:color w:val="auto"/>
          <w:spacing w:val="15"/>
          <w:sz w:val="44"/>
          <w:szCs w:val="44"/>
        </w:rPr>
        <w:t>%</w:t>
      </w:r>
    </w:p>
    <w:p>
      <w:pPr>
        <w:widowControl/>
        <w:spacing w:line="480" w:lineRule="auto"/>
        <w:ind w:firstLine="620" w:firstLineChars="200"/>
        <w:rPr>
          <w:rFonts w:ascii="Times New Roman" w:hAnsi="Times New Roman"/>
          <w:bCs/>
          <w:spacing w:val="15"/>
          <w:sz w:val="28"/>
          <w:szCs w:val="28"/>
        </w:rPr>
      </w:pP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2024年1-</w:t>
      </w:r>
      <w:r>
        <w:rPr>
          <w:rFonts w:hint="eastAsia" w:ascii="宋体" w:hAnsi="宋体" w:cs="宋体"/>
          <w:kern w:val="0"/>
          <w:sz w:val="28"/>
          <w:szCs w:val="28"/>
          <w:lang w:val="en-US" w:eastAsia="zh-CN"/>
        </w:rPr>
        <w:t>12</w:t>
      </w:r>
      <w:r>
        <w:rPr>
          <w:rFonts w:hint="eastAsia" w:ascii="宋体" w:hAnsi="宋体" w:cs="宋体"/>
          <w:kern w:val="0"/>
          <w:sz w:val="28"/>
          <w:szCs w:val="28"/>
        </w:rPr>
        <w:t>月，朝阳区固定资产投资（不含农户）同比增长</w:t>
      </w:r>
      <w:r>
        <w:rPr>
          <w:rFonts w:hint="eastAsia" w:ascii="宋体" w:hAnsi="宋体" w:cs="宋体"/>
          <w:kern w:val="0"/>
          <w:sz w:val="28"/>
          <w:szCs w:val="28"/>
          <w:lang w:val="en-US" w:eastAsia="zh-CN"/>
        </w:rPr>
        <w:t>7.0</w:t>
      </w:r>
      <w:r>
        <w:rPr>
          <w:rFonts w:hint="eastAsia" w:ascii="宋体" w:hAnsi="宋体" w:cs="宋体"/>
          <w:kern w:val="0"/>
          <w:sz w:val="28"/>
          <w:szCs w:val="28"/>
        </w:rPr>
        <w:t>%,其中</w:t>
      </w:r>
      <w:r>
        <w:rPr>
          <w:rFonts w:hint="eastAsia" w:ascii="宋体" w:hAnsi="宋体" w:cs="宋体"/>
          <w:color w:val="auto"/>
          <w:kern w:val="0"/>
          <w:sz w:val="28"/>
          <w:szCs w:val="28"/>
        </w:rPr>
        <w:t>，</w:t>
      </w:r>
      <w:r>
        <w:rPr>
          <w:rFonts w:hint="eastAsia" w:ascii="宋体" w:hAnsi="宋体" w:cs="宋体"/>
          <w:kern w:val="0"/>
          <w:sz w:val="28"/>
          <w:szCs w:val="28"/>
        </w:rPr>
        <w:t>房地产开发投资同比</w:t>
      </w:r>
      <w:r>
        <w:rPr>
          <w:rFonts w:hint="eastAsia" w:ascii="宋体" w:hAnsi="宋体" w:cs="宋体"/>
          <w:kern w:val="0"/>
          <w:sz w:val="28"/>
          <w:szCs w:val="28"/>
          <w:lang w:eastAsia="zh-CN"/>
        </w:rPr>
        <w:t>下降</w:t>
      </w:r>
      <w:r>
        <w:rPr>
          <w:rFonts w:hint="eastAsia" w:ascii="宋体" w:hAnsi="宋体" w:cs="宋体"/>
          <w:kern w:val="0"/>
          <w:sz w:val="28"/>
          <w:szCs w:val="28"/>
          <w:lang w:val="en-US" w:eastAsia="zh-CN"/>
        </w:rPr>
        <w:t>2.8</w:t>
      </w:r>
      <w:r>
        <w:rPr>
          <w:rFonts w:hint="eastAsia" w:ascii="宋体" w:hAnsi="宋体" w:cs="宋体"/>
          <w:kern w:val="0"/>
          <w:sz w:val="28"/>
          <w:szCs w:val="28"/>
        </w:rPr>
        <w:t>%。</w:t>
      </w: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12</w:t>
      </w:r>
      <w:r>
        <w:rPr>
          <w:rFonts w:hint="eastAsia" w:ascii="宋体" w:hAnsi="宋体" w:cs="宋体"/>
          <w:kern w:val="0"/>
          <w:sz w:val="28"/>
          <w:szCs w:val="28"/>
        </w:rPr>
        <w:t>月</w:t>
      </w:r>
      <w:r>
        <w:rPr>
          <w:rFonts w:hint="eastAsia" w:ascii="宋体" w:hAnsi="宋体" w:cs="宋体"/>
          <w:kern w:val="0"/>
          <w:sz w:val="28"/>
          <w:szCs w:val="28"/>
          <w:lang w:eastAsia="zh-CN"/>
        </w:rPr>
        <w:t>，</w:t>
      </w:r>
      <w:r>
        <w:rPr>
          <w:rFonts w:hint="eastAsia" w:ascii="宋体" w:hAnsi="宋体" w:cs="宋体"/>
          <w:kern w:val="0"/>
          <w:sz w:val="28"/>
          <w:szCs w:val="28"/>
        </w:rPr>
        <w:t>朝阳区建安投资同比下降</w:t>
      </w:r>
      <w:r>
        <w:rPr>
          <w:rFonts w:hint="eastAsia" w:ascii="宋体" w:hAnsi="宋体" w:cs="宋体"/>
          <w:kern w:val="0"/>
          <w:sz w:val="28"/>
          <w:szCs w:val="28"/>
          <w:lang w:val="en-US" w:eastAsia="zh-CN"/>
        </w:rPr>
        <w:t>11.0</w:t>
      </w:r>
      <w:r>
        <w:rPr>
          <w:rFonts w:hint="eastAsia" w:ascii="宋体" w:hAnsi="宋体" w:cs="宋体"/>
          <w:kern w:val="0"/>
          <w:sz w:val="28"/>
          <w:szCs w:val="28"/>
        </w:rPr>
        <w:t>%，</w:t>
      </w:r>
      <w:r>
        <w:rPr>
          <w:rFonts w:hint="eastAsia" w:ascii="宋体" w:hAnsi="宋体" w:cs="宋体"/>
          <w:kern w:val="0"/>
          <w:sz w:val="28"/>
          <w:szCs w:val="28"/>
          <w:lang w:eastAsia="zh-CN"/>
        </w:rPr>
        <w:t>降幅</w:t>
      </w:r>
      <w:r>
        <w:rPr>
          <w:rFonts w:hint="eastAsia" w:ascii="宋体" w:hAnsi="宋体" w:cs="宋体"/>
          <w:kern w:val="0"/>
          <w:sz w:val="28"/>
          <w:szCs w:val="28"/>
        </w:rPr>
        <w:t>较1-</w:t>
      </w:r>
      <w:r>
        <w:rPr>
          <w:rFonts w:hint="eastAsia" w:ascii="宋体" w:hAnsi="宋体" w:cs="宋体"/>
          <w:kern w:val="0"/>
          <w:sz w:val="28"/>
          <w:szCs w:val="28"/>
          <w:lang w:val="en-US" w:eastAsia="zh-CN"/>
        </w:rPr>
        <w:t>11</w:t>
      </w:r>
      <w:r>
        <w:rPr>
          <w:rFonts w:hint="eastAsia" w:ascii="宋体" w:hAnsi="宋体" w:cs="宋体"/>
          <w:kern w:val="0"/>
          <w:sz w:val="28"/>
          <w:szCs w:val="28"/>
        </w:rPr>
        <w:t>月</w:t>
      </w:r>
      <w:r>
        <w:rPr>
          <w:rFonts w:hint="eastAsia" w:ascii="宋体" w:hAnsi="宋体" w:cs="宋体"/>
          <w:kern w:val="0"/>
          <w:sz w:val="28"/>
          <w:szCs w:val="28"/>
          <w:lang w:eastAsia="zh-CN"/>
        </w:rPr>
        <w:t>收窄</w:t>
      </w:r>
      <w:r>
        <w:rPr>
          <w:rFonts w:hint="eastAsia" w:ascii="宋体" w:hAnsi="宋体" w:cs="宋体"/>
          <w:kern w:val="0"/>
          <w:sz w:val="28"/>
          <w:szCs w:val="28"/>
          <w:lang w:val="en-US" w:eastAsia="zh-CN"/>
        </w:rPr>
        <w:t>3.7</w:t>
      </w:r>
      <w:r>
        <w:rPr>
          <w:rFonts w:hint="eastAsia" w:ascii="宋体" w:hAnsi="宋体" w:cs="宋体"/>
          <w:kern w:val="0"/>
          <w:sz w:val="28"/>
          <w:szCs w:val="28"/>
        </w:rPr>
        <w:t>个百分点。</w:t>
      </w:r>
    </w:p>
    <w:p>
      <w:pPr>
        <w:widowControl/>
        <w:spacing w:line="48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w:t>
      </w:r>
      <w:r>
        <w:rPr>
          <w:rFonts w:hint="eastAsia" w:ascii="宋体" w:hAnsi="宋体" w:cs="宋体"/>
          <w:color w:val="auto"/>
          <w:kern w:val="0"/>
          <w:sz w:val="28"/>
          <w:szCs w:val="28"/>
          <w:lang w:val="en-US" w:eastAsia="zh-CN"/>
        </w:rPr>
        <w:t>12</w:t>
      </w:r>
      <w:r>
        <w:rPr>
          <w:rFonts w:hint="eastAsia" w:ascii="宋体" w:hAnsi="宋体" w:cs="宋体"/>
          <w:color w:val="auto"/>
          <w:kern w:val="0"/>
          <w:sz w:val="28"/>
          <w:szCs w:val="28"/>
        </w:rPr>
        <w:t>月</w:t>
      </w:r>
      <w:r>
        <w:rPr>
          <w:rFonts w:hint="eastAsia" w:ascii="宋体" w:hAnsi="宋体" w:cs="宋体"/>
          <w:kern w:val="0"/>
          <w:sz w:val="28"/>
          <w:szCs w:val="28"/>
          <w:lang w:eastAsia="zh-CN"/>
        </w:rPr>
        <w:t>，</w:t>
      </w:r>
      <w:r>
        <w:rPr>
          <w:rFonts w:hint="eastAsia" w:ascii="宋体" w:hAnsi="宋体" w:cs="宋体"/>
          <w:color w:val="auto"/>
          <w:kern w:val="0"/>
          <w:sz w:val="28"/>
          <w:szCs w:val="28"/>
        </w:rPr>
        <w:t>朝阳区民间固定资产投资同比下降</w:t>
      </w:r>
      <w:r>
        <w:rPr>
          <w:rFonts w:hint="eastAsia" w:ascii="宋体" w:hAnsi="宋体" w:cs="宋体"/>
          <w:color w:val="auto"/>
          <w:kern w:val="0"/>
          <w:sz w:val="28"/>
          <w:szCs w:val="28"/>
          <w:lang w:val="en-US" w:eastAsia="zh-CN"/>
        </w:rPr>
        <w:t>21.1</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降幅</w:t>
      </w:r>
      <w:r>
        <w:rPr>
          <w:rFonts w:hint="eastAsia" w:ascii="宋体" w:hAnsi="宋体" w:cs="宋体"/>
          <w:color w:val="auto"/>
          <w:kern w:val="0"/>
          <w:sz w:val="28"/>
          <w:szCs w:val="28"/>
        </w:rPr>
        <w:t>较1-</w:t>
      </w:r>
      <w:r>
        <w:rPr>
          <w:rFonts w:hint="eastAsia" w:ascii="宋体" w:hAnsi="宋体" w:cs="宋体"/>
          <w:color w:val="auto"/>
          <w:kern w:val="0"/>
          <w:sz w:val="28"/>
          <w:szCs w:val="28"/>
          <w:lang w:val="en-US" w:eastAsia="zh-CN"/>
        </w:rPr>
        <w:t>11</w:t>
      </w:r>
      <w:r>
        <w:rPr>
          <w:rFonts w:hint="eastAsia" w:ascii="宋体" w:hAnsi="宋体" w:cs="宋体"/>
          <w:color w:val="auto"/>
          <w:kern w:val="0"/>
          <w:sz w:val="28"/>
          <w:szCs w:val="28"/>
        </w:rPr>
        <w:t>月</w:t>
      </w:r>
      <w:r>
        <w:rPr>
          <w:rFonts w:hint="eastAsia" w:ascii="宋体" w:hAnsi="宋体" w:cs="宋体"/>
          <w:color w:val="auto"/>
          <w:kern w:val="0"/>
          <w:sz w:val="28"/>
          <w:szCs w:val="28"/>
          <w:lang w:eastAsia="zh-CN"/>
        </w:rPr>
        <w:t>收窄</w:t>
      </w:r>
      <w:r>
        <w:rPr>
          <w:rFonts w:hint="eastAsia" w:ascii="宋体" w:hAnsi="宋体" w:cs="宋体"/>
          <w:color w:val="auto"/>
          <w:kern w:val="0"/>
          <w:sz w:val="28"/>
          <w:szCs w:val="28"/>
          <w:lang w:val="en-US" w:eastAsia="zh-CN"/>
        </w:rPr>
        <w:t>4.3</w:t>
      </w:r>
      <w:r>
        <w:rPr>
          <w:rFonts w:hint="eastAsia" w:ascii="宋体" w:hAnsi="宋体" w:cs="宋体"/>
          <w:color w:val="auto"/>
          <w:kern w:val="0"/>
          <w:sz w:val="28"/>
          <w:szCs w:val="28"/>
        </w:rPr>
        <w:t>个百分点。</w:t>
      </w:r>
      <w:bookmarkStart w:id="0" w:name="_GoBack"/>
      <w:bookmarkEnd w:id="0"/>
    </w:p>
    <w:p>
      <w:pPr>
        <w:widowControl/>
        <w:spacing w:line="300" w:lineRule="atLeast"/>
        <w:jc w:val="center"/>
        <w:rPr>
          <w:rFonts w:hint="eastAsia" w:ascii="宋体" w:hAnsi="宋体" w:eastAsia="宋体" w:cs="宋体"/>
          <w:b/>
          <w:bCs/>
          <w:kern w:val="0"/>
          <w:sz w:val="28"/>
          <w:szCs w:val="28"/>
        </w:rPr>
      </w:pPr>
      <w:r>
        <w:rPr>
          <w:rFonts w:hint="eastAsia" w:ascii="宋体" w:hAnsi="宋体" w:eastAsia="宋体" w:cs="宋体"/>
          <w:b/>
          <w:bCs/>
          <w:color w:val="auto"/>
          <w:kern w:val="0"/>
          <w:sz w:val="28"/>
          <w:szCs w:val="28"/>
        </w:rPr>
        <w:t>图　2023年1-2月至20</w:t>
      </w:r>
      <w:r>
        <w:rPr>
          <w:rFonts w:hint="eastAsia" w:ascii="宋体" w:hAnsi="宋体" w:eastAsia="宋体" w:cs="宋体"/>
          <w:b/>
          <w:bCs/>
          <w:kern w:val="0"/>
          <w:sz w:val="28"/>
          <w:szCs w:val="28"/>
        </w:rPr>
        <w:t>24年1-</w:t>
      </w:r>
      <w:r>
        <w:rPr>
          <w:rFonts w:hint="eastAsia" w:ascii="宋体" w:hAnsi="宋体" w:cs="宋体"/>
          <w:b/>
          <w:bCs/>
          <w:kern w:val="0"/>
          <w:sz w:val="28"/>
          <w:szCs w:val="28"/>
          <w:lang w:val="en-US" w:eastAsia="zh-CN"/>
        </w:rPr>
        <w:t>12</w:t>
      </w:r>
      <w:r>
        <w:rPr>
          <w:rFonts w:hint="eastAsia" w:ascii="宋体" w:hAnsi="宋体" w:eastAsia="宋体" w:cs="宋体"/>
          <w:b/>
          <w:bCs/>
          <w:kern w:val="0"/>
          <w:sz w:val="28"/>
          <w:szCs w:val="28"/>
        </w:rPr>
        <w:t>月朝阳区固定资产投资</w:t>
      </w:r>
    </w:p>
    <w:p>
      <w:pPr>
        <w:widowControl/>
        <w:spacing w:line="300" w:lineRule="atLeas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（不含农户）增速情况</w:t>
      </w:r>
    </w:p>
    <w:p>
      <w:pPr>
        <w:widowControl/>
        <w:spacing w:line="300" w:lineRule="atLeast"/>
        <w:jc w:val="right"/>
        <w:rPr>
          <w:rFonts w:ascii="宋体" w:hAnsi="宋体"/>
          <w:kern w:val="0"/>
          <w:szCs w:val="21"/>
        </w:rPr>
      </w:pPr>
      <w:r>
        <w:rPr>
          <w:rFonts w:ascii="宋体" w:hAnsi="宋体"/>
          <w:kern w:val="0"/>
          <w:szCs w:val="21"/>
        </w:rPr>
        <w:t>单位：</w:t>
      </w:r>
      <w:r>
        <w:rPr>
          <w:rFonts w:ascii="Times New Roman" w:hAnsi="Times New Roman"/>
          <w:kern w:val="0"/>
          <w:szCs w:val="21"/>
        </w:rPr>
        <w:t>%</w:t>
      </w:r>
    </w:p>
    <w:p>
      <w:pPr>
        <w:spacing w:line="480" w:lineRule="auto"/>
        <w:jc w:val="center"/>
      </w:pPr>
      <w:r>
        <w:drawing>
          <wp:inline distT="0" distB="0" distL="114300" distR="114300">
            <wp:extent cx="5270500" cy="208470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2084705"/>
                    </a:xfrm>
                    <a:prstGeom prst="rect">
                      <a:avLst/>
                    </a:prstGeom>
                    <a:noFill/>
                    <a:ln w="9525">
                      <a:noFill/>
                    </a:ln>
                  </pic:spPr>
                </pic:pic>
              </a:graphicData>
            </a:graphic>
          </wp:inline>
        </w:drawing>
      </w:r>
    </w:p>
    <w:p>
      <w:pPr>
        <w:spacing w:line="480" w:lineRule="auto"/>
      </w:pPr>
    </w:p>
    <w:p>
      <w:pPr>
        <w:spacing w:line="480" w:lineRule="auto"/>
      </w:pPr>
    </w:p>
    <w:p>
      <w:pPr>
        <w:spacing w:line="480" w:lineRule="auto"/>
        <w:ind w:firstLine="562" w:firstLineChars="200"/>
        <w:rPr>
          <w:rFonts w:ascii="宋体" w:hAnsi="宋体" w:cs="宋体"/>
          <w:b/>
          <w:bCs/>
          <w:kern w:val="0"/>
          <w:sz w:val="28"/>
          <w:szCs w:val="28"/>
        </w:rPr>
      </w:pPr>
    </w:p>
    <w:p>
      <w:pPr>
        <w:spacing w:line="480" w:lineRule="auto"/>
        <w:ind w:firstLine="562" w:firstLineChars="200"/>
        <w:rPr>
          <w:rFonts w:ascii="宋体" w:hAnsi="宋体" w:cs="宋体"/>
          <w:b/>
          <w:bCs/>
          <w:kern w:val="0"/>
          <w:sz w:val="28"/>
          <w:szCs w:val="28"/>
        </w:rPr>
      </w:pPr>
    </w:p>
    <w:p>
      <w:pPr>
        <w:spacing w:line="480" w:lineRule="auto"/>
        <w:ind w:firstLine="562" w:firstLineChars="200"/>
        <w:rPr>
          <w:rFonts w:ascii="宋体" w:hAnsi="宋体" w:cs="宋体"/>
          <w:b/>
          <w:bCs/>
          <w:kern w:val="0"/>
          <w:sz w:val="28"/>
          <w:szCs w:val="28"/>
        </w:rPr>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计划总投资500万元及以上固定资产投资项目的各种登记注册统计类别的单位及个体经营户、辖区内有开发经营活动的房地产开发经营业法人单位。</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93176"/>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17C7"/>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66585"/>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278"/>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0222"/>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D1E52"/>
    <w:rsid w:val="00AE2458"/>
    <w:rsid w:val="00B02AB5"/>
    <w:rsid w:val="00B1191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0B6B"/>
    <w:rsid w:val="00E93F83"/>
    <w:rsid w:val="00EA34F8"/>
    <w:rsid w:val="00EB32CE"/>
    <w:rsid w:val="00EC2EBD"/>
    <w:rsid w:val="00EC6E2F"/>
    <w:rsid w:val="00ED4871"/>
    <w:rsid w:val="00ED7D27"/>
    <w:rsid w:val="00EE3311"/>
    <w:rsid w:val="00EF340E"/>
    <w:rsid w:val="00EF4995"/>
    <w:rsid w:val="00EF7A06"/>
    <w:rsid w:val="00F027E5"/>
    <w:rsid w:val="00F1156F"/>
    <w:rsid w:val="00F17AD3"/>
    <w:rsid w:val="00F274A3"/>
    <w:rsid w:val="00F33AE9"/>
    <w:rsid w:val="00F43DB1"/>
    <w:rsid w:val="00F52705"/>
    <w:rsid w:val="00F72D05"/>
    <w:rsid w:val="00F83442"/>
    <w:rsid w:val="00F8367F"/>
    <w:rsid w:val="00F8649A"/>
    <w:rsid w:val="00F9455D"/>
    <w:rsid w:val="00F952A6"/>
    <w:rsid w:val="00FB21EA"/>
    <w:rsid w:val="00FC26BC"/>
    <w:rsid w:val="00FC403B"/>
    <w:rsid w:val="00FD0324"/>
    <w:rsid w:val="00FE6177"/>
    <w:rsid w:val="00FE6A88"/>
    <w:rsid w:val="018065D3"/>
    <w:rsid w:val="02526307"/>
    <w:rsid w:val="06E50FC7"/>
    <w:rsid w:val="06EE088C"/>
    <w:rsid w:val="076B0C07"/>
    <w:rsid w:val="090D3431"/>
    <w:rsid w:val="091E0411"/>
    <w:rsid w:val="09B856A2"/>
    <w:rsid w:val="0CCD4FB2"/>
    <w:rsid w:val="0D543AEB"/>
    <w:rsid w:val="0EA17616"/>
    <w:rsid w:val="0F371CB7"/>
    <w:rsid w:val="0FD365D4"/>
    <w:rsid w:val="10673459"/>
    <w:rsid w:val="127962C9"/>
    <w:rsid w:val="13111142"/>
    <w:rsid w:val="16B14BE3"/>
    <w:rsid w:val="17870539"/>
    <w:rsid w:val="178D2071"/>
    <w:rsid w:val="1ACF7F10"/>
    <w:rsid w:val="1B9D7538"/>
    <w:rsid w:val="1C70425F"/>
    <w:rsid w:val="1C763C9D"/>
    <w:rsid w:val="1DB46787"/>
    <w:rsid w:val="1EA71EC4"/>
    <w:rsid w:val="20874380"/>
    <w:rsid w:val="212B16CD"/>
    <w:rsid w:val="21D21BC8"/>
    <w:rsid w:val="22AC1615"/>
    <w:rsid w:val="22E37997"/>
    <w:rsid w:val="234852A8"/>
    <w:rsid w:val="26390EFC"/>
    <w:rsid w:val="26F45322"/>
    <w:rsid w:val="276D7C49"/>
    <w:rsid w:val="27A32BF1"/>
    <w:rsid w:val="27EC13A7"/>
    <w:rsid w:val="2A2B16AF"/>
    <w:rsid w:val="2B3204C7"/>
    <w:rsid w:val="2B360A92"/>
    <w:rsid w:val="2BE82DD5"/>
    <w:rsid w:val="2C77088A"/>
    <w:rsid w:val="2CE27C2F"/>
    <w:rsid w:val="2E703BCB"/>
    <w:rsid w:val="2F010E0A"/>
    <w:rsid w:val="30233D43"/>
    <w:rsid w:val="31F0151C"/>
    <w:rsid w:val="335743B8"/>
    <w:rsid w:val="34AE453A"/>
    <w:rsid w:val="37C76774"/>
    <w:rsid w:val="39A768C2"/>
    <w:rsid w:val="3C0C2124"/>
    <w:rsid w:val="3C6D3491"/>
    <w:rsid w:val="3D0633AF"/>
    <w:rsid w:val="3EA60348"/>
    <w:rsid w:val="40F20FA9"/>
    <w:rsid w:val="40FD0042"/>
    <w:rsid w:val="436978DB"/>
    <w:rsid w:val="448775FA"/>
    <w:rsid w:val="44AE0841"/>
    <w:rsid w:val="450768A0"/>
    <w:rsid w:val="457D69AE"/>
    <w:rsid w:val="45A44DB2"/>
    <w:rsid w:val="463067D1"/>
    <w:rsid w:val="471D1B55"/>
    <w:rsid w:val="47CA384E"/>
    <w:rsid w:val="492D53F7"/>
    <w:rsid w:val="494329B7"/>
    <w:rsid w:val="4A476575"/>
    <w:rsid w:val="4F2458CA"/>
    <w:rsid w:val="4F4E5681"/>
    <w:rsid w:val="4F6B2DF4"/>
    <w:rsid w:val="509B255A"/>
    <w:rsid w:val="538C3640"/>
    <w:rsid w:val="539E254A"/>
    <w:rsid w:val="55405139"/>
    <w:rsid w:val="56197D41"/>
    <w:rsid w:val="57784D4C"/>
    <w:rsid w:val="57B14369"/>
    <w:rsid w:val="59F73557"/>
    <w:rsid w:val="5AAF2A0D"/>
    <w:rsid w:val="5ADE6C53"/>
    <w:rsid w:val="5F2806A9"/>
    <w:rsid w:val="603E529D"/>
    <w:rsid w:val="611B659E"/>
    <w:rsid w:val="613127D6"/>
    <w:rsid w:val="61797581"/>
    <w:rsid w:val="61A76093"/>
    <w:rsid w:val="652D55EB"/>
    <w:rsid w:val="656B1C33"/>
    <w:rsid w:val="659A02DC"/>
    <w:rsid w:val="659D6111"/>
    <w:rsid w:val="65DF51C7"/>
    <w:rsid w:val="661B1450"/>
    <w:rsid w:val="69FB68D5"/>
    <w:rsid w:val="6B953B1C"/>
    <w:rsid w:val="6D42404B"/>
    <w:rsid w:val="6D556999"/>
    <w:rsid w:val="6DCF48A3"/>
    <w:rsid w:val="6E9A2D11"/>
    <w:rsid w:val="71AA3994"/>
    <w:rsid w:val="71B73148"/>
    <w:rsid w:val="72181971"/>
    <w:rsid w:val="72F728D4"/>
    <w:rsid w:val="72FA7A51"/>
    <w:rsid w:val="732B026E"/>
    <w:rsid w:val="738A3D86"/>
    <w:rsid w:val="74AD2A92"/>
    <w:rsid w:val="786C59A3"/>
    <w:rsid w:val="792E2702"/>
    <w:rsid w:val="7B387F52"/>
    <w:rsid w:val="7CBC2F1E"/>
    <w:rsid w:val="7CC537EC"/>
    <w:rsid w:val="7DB24BF9"/>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Char"/>
    <w:link w:val="4"/>
    <w:qFormat/>
    <w:uiPriority w:val="99"/>
    <w:rPr>
      <w:kern w:val="2"/>
      <w:sz w:val="18"/>
      <w:szCs w:val="18"/>
    </w:rPr>
  </w:style>
  <w:style w:type="character" w:customStyle="1" w:styleId="10">
    <w:name w:val="页脚 Char"/>
    <w:link w:val="3"/>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朝阳区统计局</Company>
  <Pages>2</Pages>
  <Words>591</Words>
  <Characters>644</Characters>
  <Lines>4</Lines>
  <Paragraphs>1</Paragraphs>
  <ScaleCrop>false</ScaleCrop>
  <LinksUpToDate>false</LinksUpToDate>
  <CharactersWithSpaces>645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Administrator</cp:lastModifiedBy>
  <cp:lastPrinted>2024-08-19T05:50:00Z</cp:lastPrinted>
  <dcterms:modified xsi:type="dcterms:W3CDTF">2025-01-21T08:12:39Z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