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黑体" w:hAnsi="黑体" w:eastAsia="黑体" w:cs="黑体"/>
          <w:sz w:val="32"/>
          <w:szCs w:val="32"/>
          <w:highlight w:val="none"/>
        </w:rPr>
      </w:pPr>
    </w:p>
    <w:p>
      <w:pPr>
        <w:spacing w:line="480" w:lineRule="exact"/>
        <w:rPr>
          <w:rFonts w:ascii="方正小标宋简体" w:eastAsia="方正小标宋简体"/>
          <w:sz w:val="36"/>
          <w:szCs w:val="36"/>
          <w:highlight w:val="none"/>
        </w:rPr>
      </w:pPr>
      <w:r>
        <w:rPr>
          <w:rFonts w:hint="eastAsia" w:ascii="黑体" w:hAnsi="黑体" w:eastAsia="黑体"/>
          <w:sz w:val="32"/>
          <w:szCs w:val="32"/>
          <w:highlight w:val="none"/>
        </w:rPr>
        <w:t>附件</w:t>
      </w:r>
      <w:r>
        <w:rPr>
          <w:rFonts w:hint="eastAsia" w:ascii="黑体" w:hAnsi="黑体" w:eastAsia="黑体"/>
          <w:sz w:val="32"/>
          <w:szCs w:val="32"/>
          <w:highlight w:val="none"/>
          <w:lang w:val="en-US" w:eastAsia="zh-CN"/>
        </w:rPr>
        <w:t>1</w:t>
      </w:r>
      <w:bookmarkStart w:id="0" w:name="_GoBack"/>
      <w:bookmarkEnd w:id="0"/>
    </w:p>
    <w:p>
      <w:pPr>
        <w:spacing w:line="560" w:lineRule="exact"/>
        <w:jc w:val="center"/>
        <w:rPr>
          <w:rFonts w:ascii="方正小标宋简体" w:eastAsia="方正小标宋简体"/>
          <w:sz w:val="36"/>
          <w:szCs w:val="36"/>
          <w:highlight w:val="none"/>
        </w:rPr>
      </w:pPr>
      <w:r>
        <w:rPr>
          <w:rFonts w:hint="eastAsia" w:ascii="方正小标宋简体" w:eastAsia="方正小标宋简体"/>
          <w:sz w:val="36"/>
          <w:szCs w:val="36"/>
          <w:highlight w:val="none"/>
        </w:rPr>
        <w:t>部门整体绩效评价报告</w:t>
      </w:r>
    </w:p>
    <w:p>
      <w:pPr>
        <w:jc w:val="center"/>
        <w:rPr>
          <w:rFonts w:ascii="仿宋_GB2312"/>
          <w:szCs w:val="30"/>
          <w:highlight w:val="none"/>
        </w:rPr>
      </w:pPr>
    </w:p>
    <w:p>
      <w:pPr>
        <w:spacing w:line="600" w:lineRule="exact"/>
        <w:ind w:firstLine="640" w:firstLineChars="20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一、部门概况</w:t>
      </w:r>
    </w:p>
    <w:p>
      <w:pPr>
        <w:spacing w:line="600" w:lineRule="exact"/>
        <w:ind w:firstLine="640" w:firstLineChars="200"/>
        <w:rPr>
          <w:rFonts w:ascii="楷体_GB2312" w:eastAsia="楷体_GB2312"/>
          <w:sz w:val="32"/>
          <w:szCs w:val="32"/>
          <w:highlight w:val="none"/>
        </w:rPr>
      </w:pPr>
      <w:r>
        <w:rPr>
          <w:rFonts w:hint="eastAsia" w:ascii="楷体_GB2312" w:eastAsia="楷体_GB2312"/>
          <w:sz w:val="32"/>
          <w:szCs w:val="32"/>
          <w:highlight w:val="none"/>
        </w:rPr>
        <w:t>（一）机构设置及职责工作任务情况</w:t>
      </w:r>
    </w:p>
    <w:p>
      <w:pPr>
        <w:snapToGrid w:val="0"/>
        <w:spacing w:line="52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区委社会工委主要职责是：</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(一)贯彻落实党中央关于社会建设工作的方针政策、决策部署和市委、区委有关工作要求，研究提出工作意见并组织实施。</w:t>
      </w:r>
    </w:p>
    <w:p>
      <w:pPr>
        <w:keepNext w:val="0"/>
        <w:keepLines w:val="0"/>
        <w:pageBreakBefore w:val="0"/>
        <w:widowControl w:val="0"/>
        <w:kinsoku/>
        <w:wordWrap/>
        <w:overflowPunct/>
        <w:topLinePunct w:val="0"/>
        <w:autoSpaceDE/>
        <w:autoSpaceDN/>
        <w:bidi w:val="0"/>
        <w:adjustRightInd/>
        <w:snapToGrid w:val="0"/>
        <w:spacing w:line="520" w:lineRule="exact"/>
        <w:ind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(二)研究提出本区社会建设的总体规划和方案，为区委宏观决策服务。</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(三)宏观指导、统筹协调和督促检查本区社会建设重点任务的落实。</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(四)拟订本区社会管理体制改革和社会领域社会动员体制机制建设的规划和措施办法并组织实施。</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(五)负责研究推进本区街道管理体制改革工作。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(六)协调指导本区各有关单位开展社区党建工作。协调指导社会组织开展党建工作。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(七)协调指导本区社会工作人才队伍建设工作，拟订社会工作人才队伍建设的规划和措施办法并组织实施，建立健全以培养、评价、使用、激励为主要内容的制度和机制。</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(八)负责对本区社会建设工作进行指导和督促检查。</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(九)协助做好街道系统区委管理干部的日常管理工作。负责组织开展街道系统干部教育培训和人才工作。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(十)完成区委交办的其他任务。</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区民政局主要职责是：</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(一)贯彻落实国家和北京市关于民政事业的法律法规、规章和政策。拟订本区民政事业中长期发展规划和措施办法并监督实施。</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(二)承担依法对本区社会团体、社会服务机构进行登记和监督管理责任。指导本区社会团体、社会服务机构的登记管理工作。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三)拟订本区社会福利事业发展规划和标准。拟订社会福利机构管理办法和福利彩票销售管理办法。指导福利彩票销售及彩票公益金的使用监管。组织拟订促进慈善事业发展的措施办法，组织、指导社会捐助工作。组织拟订老年人、孤儿和残疾人等特殊困难群体的社会福利措施办法，指导相关权益保护工作。负责建设征地超转人员管理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(四)负责统筹推进、督促指导、监督管理养老服务工作。拟订本区养老服务体系建设的措施办法、标准和规划并组织实施。</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(五)提出加强和改进城乡基层政权建设的建议。联系街道办事处工作。推动基层民主政治建设。</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(六)统筹推进本区城乡社区建设，拟订城乡社区建设的规划和措施办法并组织实施。拟订本区城乡基层群众自治组织建设具体办法并组织实施。</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(七)组织拟订本区城乡社会救助规划、措施办法和标准。健全城乡社会救助体系，负责城乡居民最低生活保障、临时救助、城市生活无着的流浪乞讨人员救助工作。负责特困人员供养工作。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(八)拟订本区对见义勇为人员的奖励和保护措施办法，负责组织实施见义勇为人员的奖励和保护工作。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(九)拟订本区婚姻管理、殡葬管理和儿童收养的措施办法，负责推进婚俗和殡葬改革，指导婚姻、殡葬、收养、救助服务机构管理工作。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(十)拟订本区行政区划管理办法。负责本区行政区域的设立、命名、变更和政府驻地迁移审核工作。负责本区行政区域界线的管理工作。负责本区边界争议调处工作。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(十一)负责本区社会工作人才登记管理和继续教育工作。负责本区志愿服务行政管理工作。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0" w:firstLineChars="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(十二)完成区委、区政府交办的其他任务。</w:t>
      </w:r>
    </w:p>
    <w:p>
      <w:pPr>
        <w:snapToGrid w:val="0"/>
        <w:spacing w:line="520" w:lineRule="exact"/>
        <w:ind w:firstLine="640" w:firstLineChars="200"/>
        <w:rPr>
          <w:rFonts w:hint="eastAsia" w:ascii="楷体_GB2312" w:eastAsia="楷体_GB2312"/>
          <w:sz w:val="32"/>
          <w:szCs w:val="32"/>
          <w:highlight w:val="none"/>
        </w:rPr>
      </w:pPr>
      <w:r>
        <w:rPr>
          <w:rFonts w:hint="eastAsia" w:ascii="仿宋_GB2312" w:hAnsi="仿宋" w:eastAsia="仿宋_GB2312"/>
          <w:sz w:val="32"/>
          <w:szCs w:val="32"/>
          <w:highlight w:val="none"/>
        </w:rPr>
        <w:t>(十三)有关职责分工。</w:t>
      </w:r>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楷体_GB2312" w:eastAsia="楷体_GB2312"/>
          <w:sz w:val="32"/>
          <w:szCs w:val="32"/>
          <w:highlight w:val="none"/>
        </w:rPr>
        <w:t>（二）部门整体绩效目标设立情况</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整体绩效目标设立情况为贯彻落实国家和北京市关于社会建设、民政工作的法律、法规、规章和政策，保障各项部门职能工作正常开展，推进全区社会建设工作开展，惠及全区各类民政对象，产生积极的社会影响，发挥财政资金的使用效益。绩效目标设立依据是我单位的三定方案所规定的职能，目标与职责任务匹配情况一致，目标设定合理。</w:t>
      </w:r>
    </w:p>
    <w:p>
      <w:pPr>
        <w:spacing w:line="600" w:lineRule="exact"/>
        <w:ind w:firstLine="640" w:firstLineChars="20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202</w:t>
      </w: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预算数348</w:t>
      </w:r>
      <w:r>
        <w:rPr>
          <w:rFonts w:hint="eastAsia" w:ascii="仿宋_GB2312" w:hAnsi="宋体" w:eastAsia="仿宋_GB2312" w:cs="宋体"/>
          <w:color w:val="000000"/>
          <w:kern w:val="0"/>
          <w:sz w:val="32"/>
          <w:szCs w:val="32"/>
          <w:highlight w:val="none"/>
          <w:lang w:val="en-US" w:eastAsia="zh-CN"/>
        </w:rPr>
        <w:t>327.162287</w:t>
      </w:r>
      <w:r>
        <w:rPr>
          <w:rFonts w:hint="eastAsia" w:ascii="仿宋_GB2312" w:hAnsi="宋体" w:eastAsia="仿宋_GB2312" w:cs="宋体"/>
          <w:color w:val="000000"/>
          <w:kern w:val="0"/>
          <w:sz w:val="32"/>
          <w:szCs w:val="32"/>
          <w:highlight w:val="none"/>
        </w:rPr>
        <w:t>万元，其中，基本支出预算数5662.068086万元，项目支出预算数141877.474201 万元，其他支出预算数200787.620000万元。资金总体支出226635</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677828万元，其中，基本支出6261</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646972万元，项目支出</w:t>
      </w:r>
      <w:r>
        <w:rPr>
          <w:rFonts w:hint="eastAsia" w:ascii="仿宋_GB2312" w:hAnsi="宋体" w:eastAsia="仿宋_GB2312" w:cs="宋体"/>
          <w:color w:val="000000"/>
          <w:kern w:val="0"/>
          <w:sz w:val="32"/>
          <w:szCs w:val="32"/>
          <w:highlight w:val="none"/>
          <w:lang w:val="en-US" w:eastAsia="zh-CN"/>
        </w:rPr>
        <w:t>128412.371972</w:t>
      </w:r>
      <w:r>
        <w:rPr>
          <w:rFonts w:hint="eastAsia" w:ascii="仿宋_GB2312" w:hAnsi="宋体" w:eastAsia="仿宋_GB2312" w:cs="宋体"/>
          <w:color w:val="000000"/>
          <w:kern w:val="0"/>
          <w:sz w:val="32"/>
          <w:szCs w:val="32"/>
          <w:highlight w:val="none"/>
        </w:rPr>
        <w:t>万元，其他支出91961</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658883万元。其中财政资金预算执行率为9</w:t>
      </w:r>
      <w:r>
        <w:rPr>
          <w:rFonts w:hint="eastAsia" w:ascii="仿宋_GB2312" w:hAnsi="宋体" w:eastAsia="仿宋_GB2312" w:cs="宋体"/>
          <w:color w:val="000000"/>
          <w:kern w:val="0"/>
          <w:sz w:val="32"/>
          <w:szCs w:val="32"/>
          <w:highlight w:val="none"/>
          <w:lang w:val="en-US" w:eastAsia="zh-CN"/>
        </w:rPr>
        <w:t>1.28</w:t>
      </w:r>
      <w:r>
        <w:rPr>
          <w:rFonts w:hint="eastAsia" w:ascii="仿宋_GB2312" w:hAnsi="宋体" w:eastAsia="仿宋_GB2312" w:cs="宋体"/>
          <w:color w:val="000000"/>
          <w:kern w:val="0"/>
          <w:sz w:val="32"/>
          <w:szCs w:val="32"/>
          <w:highlight w:val="none"/>
        </w:rPr>
        <w:t>%，其他资金预算执行率为</w:t>
      </w:r>
      <w:r>
        <w:rPr>
          <w:rFonts w:hint="eastAsia" w:ascii="仿宋_GB2312" w:hAnsi="宋体" w:eastAsia="仿宋_GB2312" w:cs="宋体"/>
          <w:color w:val="000000"/>
          <w:kern w:val="0"/>
          <w:sz w:val="32"/>
          <w:szCs w:val="32"/>
          <w:highlight w:val="none"/>
          <w:lang w:val="en-US" w:eastAsia="zh-CN"/>
        </w:rPr>
        <w:t>45.80</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三</w:t>
      </w:r>
      <w:r>
        <w:rPr>
          <w:rFonts w:ascii="黑体" w:hAnsi="黑体" w:eastAsia="黑体" w:cs="宋体"/>
          <w:color w:val="auto"/>
          <w:kern w:val="0"/>
          <w:sz w:val="32"/>
          <w:szCs w:val="32"/>
          <w:highlight w:val="none"/>
        </w:rPr>
        <w:t>、整体绩效目标实现情况</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（一）产出完成情况分析</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1.产出数量</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①社会组织法人离任、注销清算审计数量≥5个，实际完成8个；</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②社会组织年检抽查审计数量≥50个，实际完成54个；</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③行政许可事项报纸公告数量≥100个，实际完成313个；</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④符合条件养老机构覆盖率＝100%，实际完成；</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⑤家庭照护床位补贴数量≤300张，实际完成；</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⑥享受养老护理员岗位补贴人员≥1000人，实际完成；</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⑦一键呼安装总数≥47387人，实际完成；</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⑧城市最低生活保障（含困补）对象≥10000人，实际完成11329人；</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⑨服务覆盖人群≥2000人，实际完成2000人。</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2.产出</w:t>
      </w:r>
      <w:r>
        <w:rPr>
          <w:rFonts w:ascii="仿宋_GB2312" w:hAnsi="宋体" w:eastAsia="仿宋_GB2312" w:cs="宋体"/>
          <w:color w:val="auto"/>
          <w:kern w:val="0"/>
          <w:sz w:val="32"/>
          <w:szCs w:val="32"/>
          <w:highlight w:val="none"/>
        </w:rPr>
        <w:t>质量</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①</w:t>
      </w:r>
      <w:r>
        <w:rPr>
          <w:rFonts w:hint="eastAsia" w:ascii="仿宋_GB2312" w:hAnsi="宋体" w:eastAsia="仿宋_GB2312" w:cs="宋体"/>
          <w:color w:val="auto"/>
          <w:kern w:val="0"/>
          <w:sz w:val="32"/>
          <w:szCs w:val="32"/>
          <w:highlight w:val="none"/>
        </w:rPr>
        <w:t>保障社会组织服务管理与政府购买社会组织服务相关工作开展定性优良中低差</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②保障养老服务相关工作开展</w:t>
      </w:r>
      <w:r>
        <w:rPr>
          <w:rFonts w:hint="eastAsia" w:ascii="仿宋_GB2312" w:hAnsi="宋体" w:eastAsia="仿宋_GB2312" w:cs="宋体"/>
          <w:color w:val="auto"/>
          <w:kern w:val="0"/>
          <w:sz w:val="32"/>
          <w:szCs w:val="32"/>
          <w:highlight w:val="none"/>
        </w:rPr>
        <w:t>定性优良中低差</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③保障社会保障相关工作开展</w:t>
      </w:r>
      <w:r>
        <w:rPr>
          <w:rFonts w:hint="eastAsia" w:ascii="仿宋_GB2312" w:hAnsi="宋体" w:eastAsia="仿宋_GB2312" w:cs="宋体"/>
          <w:color w:val="auto"/>
          <w:kern w:val="0"/>
          <w:sz w:val="32"/>
          <w:szCs w:val="32"/>
          <w:highlight w:val="none"/>
        </w:rPr>
        <w:t>定性优良中低差</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3.产出</w:t>
      </w:r>
      <w:r>
        <w:rPr>
          <w:rFonts w:ascii="仿宋_GB2312" w:hAnsi="宋体" w:eastAsia="仿宋_GB2312" w:cs="宋体"/>
          <w:color w:val="auto"/>
          <w:kern w:val="0"/>
          <w:sz w:val="32"/>
          <w:szCs w:val="32"/>
          <w:highlight w:val="none"/>
        </w:rPr>
        <w:t>进度</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在保证财政资金安全的前提下及时进行资金支出≤</w:t>
      </w:r>
      <w:r>
        <w:rPr>
          <w:rFonts w:hint="eastAsia" w:ascii="仿宋_GB2312" w:hAnsi="宋体" w:eastAsia="仿宋_GB2312" w:cs="宋体"/>
          <w:color w:val="auto"/>
          <w:kern w:val="0"/>
          <w:sz w:val="32"/>
          <w:szCs w:val="32"/>
          <w:highlight w:val="none"/>
          <w:lang w:val="en-US" w:eastAsia="zh-CN"/>
        </w:rPr>
        <w:t>12月</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4.</w:t>
      </w:r>
      <w:r>
        <w:rPr>
          <w:rFonts w:hint="eastAsia" w:ascii="仿宋_GB2312" w:hAnsi="宋体" w:eastAsia="仿宋_GB2312" w:cs="宋体"/>
          <w:color w:val="auto"/>
          <w:kern w:val="0"/>
          <w:sz w:val="32"/>
          <w:szCs w:val="32"/>
          <w:highlight w:val="none"/>
        </w:rPr>
        <w:t>产出</w:t>
      </w:r>
      <w:r>
        <w:rPr>
          <w:rFonts w:ascii="仿宋_GB2312" w:hAnsi="宋体" w:eastAsia="仿宋_GB2312" w:cs="宋体"/>
          <w:color w:val="auto"/>
          <w:kern w:val="0"/>
          <w:sz w:val="32"/>
          <w:szCs w:val="32"/>
          <w:highlight w:val="none"/>
        </w:rPr>
        <w:t>成本</w:t>
      </w:r>
      <w:r>
        <w:rPr>
          <w:rFonts w:hint="eastAsia" w:ascii="仿宋_GB2312" w:hAnsi="宋体" w:eastAsia="仿宋_GB2312" w:cs="宋体"/>
          <w:color w:val="auto"/>
          <w:kern w:val="0"/>
          <w:sz w:val="32"/>
          <w:szCs w:val="32"/>
          <w:highlight w:val="none"/>
        </w:rPr>
        <w:t xml:space="preserve">                                     </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坚持厉行勤俭节约，提高财政资金使用效益定性优良中低差，符合既定目标</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（二）效果</w:t>
      </w:r>
      <w:r>
        <w:rPr>
          <w:rFonts w:ascii="楷体_GB2312" w:eastAsia="楷体_GB2312"/>
          <w:color w:val="auto"/>
          <w:sz w:val="32"/>
          <w:szCs w:val="32"/>
          <w:highlight w:val="none"/>
        </w:rPr>
        <w:t>实现情况分析</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rPr>
        <w:t>.社会效益</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落实相关政策，维护社会和谐稳定，提高受益群众生活质量定性优良中低差</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.服务对象</w:t>
      </w:r>
      <w:r>
        <w:rPr>
          <w:rFonts w:ascii="仿宋_GB2312" w:hAnsi="宋体" w:eastAsia="仿宋_GB2312" w:cs="宋体"/>
          <w:color w:val="auto"/>
          <w:kern w:val="0"/>
          <w:sz w:val="32"/>
          <w:szCs w:val="32"/>
          <w:highlight w:val="none"/>
        </w:rPr>
        <w:t>满意度</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受益对象满意度定性优良中低差</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四</w:t>
      </w:r>
      <w:r>
        <w:rPr>
          <w:rFonts w:ascii="黑体" w:hAnsi="黑体" w:eastAsia="黑体" w:cs="宋体"/>
          <w:color w:val="auto"/>
          <w:kern w:val="0"/>
          <w:sz w:val="32"/>
          <w:szCs w:val="32"/>
          <w:highlight w:val="none"/>
        </w:rPr>
        <w:t>、预算管理</w:t>
      </w:r>
      <w:r>
        <w:rPr>
          <w:rFonts w:hint="eastAsia" w:ascii="黑体" w:hAnsi="黑体" w:eastAsia="黑体" w:cs="宋体"/>
          <w:color w:val="auto"/>
          <w:kern w:val="0"/>
          <w:sz w:val="32"/>
          <w:szCs w:val="32"/>
          <w:highlight w:val="none"/>
        </w:rPr>
        <w:t>情况分</w:t>
      </w:r>
      <w:r>
        <w:rPr>
          <w:rFonts w:ascii="黑体" w:hAnsi="黑体" w:eastAsia="黑体" w:cs="宋体"/>
          <w:color w:val="auto"/>
          <w:kern w:val="0"/>
          <w:sz w:val="32"/>
          <w:szCs w:val="32"/>
          <w:highlight w:val="none"/>
        </w:rPr>
        <w:t>析</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（一）财务管理</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1.财务</w:t>
      </w:r>
      <w:r>
        <w:rPr>
          <w:rFonts w:ascii="仿宋_GB2312" w:hAnsi="宋体" w:eastAsia="仿宋_GB2312" w:cs="宋体"/>
          <w:color w:val="auto"/>
          <w:kern w:val="0"/>
          <w:sz w:val="32"/>
          <w:szCs w:val="32"/>
          <w:highlight w:val="none"/>
        </w:rPr>
        <w:t>管理制度健全性</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在项目组织及管理过程中，我单位严格遵守各项业务及财务规章制度，按照预算批复合法合理使用资金，确保专款专用。项目启动及资金使用遵循“三重一大”的要求，切实履行集体研究决策和审批程序。积极开展内部审计工作，同时积极配合相关部门的审计检查工作。</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2.资金使用合规性</w:t>
      </w:r>
      <w:r>
        <w:rPr>
          <w:rFonts w:ascii="仿宋_GB2312" w:hAnsi="宋体" w:eastAsia="仿宋_GB2312" w:cs="宋体"/>
          <w:color w:val="auto"/>
          <w:kern w:val="0"/>
          <w:sz w:val="32"/>
          <w:szCs w:val="32"/>
          <w:highlight w:val="none"/>
        </w:rPr>
        <w:t>和安全性</w:t>
      </w:r>
    </w:p>
    <w:p>
      <w:pPr>
        <w:spacing w:line="60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我单位按照财政相关要求，预算编制工作以科学性、合理性、精确性和完整性为原则，预算执行基本到位，财务内控制度基本建立，各部门职责分工明确。</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会计</w:t>
      </w:r>
      <w:r>
        <w:rPr>
          <w:rFonts w:ascii="仿宋_GB2312" w:hAnsi="宋体" w:eastAsia="仿宋_GB2312" w:cs="宋体"/>
          <w:color w:val="auto"/>
          <w:kern w:val="0"/>
          <w:sz w:val="32"/>
          <w:szCs w:val="32"/>
          <w:highlight w:val="none"/>
        </w:rPr>
        <w:t>基础信息完善性</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楷体_GB2312" w:eastAsia="楷体_GB2312"/>
          <w:color w:val="auto"/>
          <w:sz w:val="32"/>
          <w:szCs w:val="32"/>
          <w:highlight w:val="none"/>
        </w:rPr>
        <w:t>为</w:t>
      </w:r>
      <w:r>
        <w:rPr>
          <w:rFonts w:hint="eastAsia" w:ascii="仿宋_GB2312" w:hAnsi="宋体" w:eastAsia="仿宋_GB2312" w:cs="宋体"/>
          <w:color w:val="auto"/>
          <w:kern w:val="0"/>
          <w:sz w:val="32"/>
          <w:szCs w:val="32"/>
          <w:highlight w:val="none"/>
        </w:rPr>
        <w:t>规范财政预算执行工作，提高预算资金使用效率，我单位将预算执行情况纳入局督办事项，局长办公会通报预算执行进度及排名，强化预算刚性约束，严格按照预算批准的事项及金额执行。</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（二）资产管理</w:t>
      </w:r>
    </w:p>
    <w:p>
      <w:pPr>
        <w:spacing w:line="600" w:lineRule="exact"/>
        <w:ind w:left="105" w:leftChars="50" w:firstLine="480" w:firstLineChars="150"/>
        <w:rPr>
          <w:rFonts w:hint="eastAsia" w:ascii="楷体_GB2312" w:eastAsia="楷体_GB2312"/>
          <w:color w:val="auto"/>
          <w:sz w:val="32"/>
          <w:szCs w:val="32"/>
          <w:highlight w:val="none"/>
        </w:rPr>
      </w:pPr>
      <w:r>
        <w:rPr>
          <w:rFonts w:hint="eastAsia" w:ascii="仿宋_GB2312" w:hAnsi="宋体" w:eastAsia="仿宋_GB2312" w:cs="宋体"/>
          <w:color w:val="auto"/>
          <w:kern w:val="0"/>
          <w:sz w:val="32"/>
          <w:szCs w:val="32"/>
          <w:highlight w:val="none"/>
        </w:rPr>
        <w:t>我单位资产依照朝阳区民政局制定的固定资产管理办法等文件进行资产管理，资产管理由资产管理员负责。按照盘点做好资产清查及产权登记工作，对增加的资产及时入账，报废的资产按规定销账，无未经审批擅自处置资产情况，确保资产安全。</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（三）绩效</w:t>
      </w:r>
      <w:r>
        <w:rPr>
          <w:rFonts w:ascii="楷体_GB2312" w:eastAsia="楷体_GB2312"/>
          <w:color w:val="auto"/>
          <w:sz w:val="32"/>
          <w:szCs w:val="32"/>
          <w:highlight w:val="none"/>
        </w:rPr>
        <w:t>管理</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本年度项目按照预算绩效管理要求，组织项目实施，开展项目服务，整体项目绩效目标完成及绩效实现情况符合预期。</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（四）结转结余率</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本年度财政拨款结转和结余率为0。</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（五）部门</w:t>
      </w:r>
      <w:r>
        <w:rPr>
          <w:rFonts w:ascii="楷体_GB2312" w:eastAsia="楷体_GB2312"/>
          <w:color w:val="auto"/>
          <w:sz w:val="32"/>
          <w:szCs w:val="32"/>
          <w:highlight w:val="none"/>
        </w:rPr>
        <w:t>预决算差异率</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本年度部门预决算差异率为-8.72%。</w:t>
      </w:r>
    </w:p>
    <w:p>
      <w:pPr>
        <w:spacing w:line="600" w:lineRule="exact"/>
        <w:ind w:left="105" w:leftChars="50" w:firstLine="480" w:firstLineChars="150"/>
        <w:rPr>
          <w:rFonts w:ascii="黑体" w:hAnsi="黑体" w:eastAsia="黑体"/>
          <w:color w:val="auto"/>
          <w:sz w:val="32"/>
          <w:szCs w:val="32"/>
          <w:highlight w:val="none"/>
        </w:rPr>
      </w:pPr>
      <w:r>
        <w:rPr>
          <w:rFonts w:hint="eastAsia" w:ascii="黑体" w:hAnsi="黑体" w:eastAsia="黑体"/>
          <w:color w:val="auto"/>
          <w:sz w:val="32"/>
          <w:szCs w:val="32"/>
          <w:highlight w:val="none"/>
        </w:rPr>
        <w:t>五、总体</w:t>
      </w:r>
      <w:r>
        <w:rPr>
          <w:rFonts w:ascii="黑体" w:hAnsi="黑体" w:eastAsia="黑体"/>
          <w:color w:val="auto"/>
          <w:sz w:val="32"/>
          <w:szCs w:val="32"/>
          <w:highlight w:val="none"/>
        </w:rPr>
        <w:t>评价结论</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（一）评价</w:t>
      </w:r>
      <w:r>
        <w:rPr>
          <w:rFonts w:ascii="楷体_GB2312" w:eastAsia="楷体_GB2312"/>
          <w:color w:val="auto"/>
          <w:sz w:val="32"/>
          <w:szCs w:val="32"/>
          <w:highlight w:val="none"/>
        </w:rPr>
        <w:t>得分</w:t>
      </w:r>
      <w:r>
        <w:rPr>
          <w:rFonts w:hint="eastAsia" w:ascii="楷体_GB2312" w:eastAsia="楷体_GB2312"/>
          <w:color w:val="auto"/>
          <w:sz w:val="32"/>
          <w:szCs w:val="32"/>
          <w:highlight w:val="none"/>
        </w:rPr>
        <w:t>情况</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大部分项目均实现预期绩效指标，总体上评价得分较高。</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（二）存在的问题及原因分析</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本年度整体项目绩效目标完成及绩效实现情况总体符合预期，但仍存在一些问题需要进一步加强绩效管理，主要原因是，绩效目标制定时</w:t>
      </w:r>
      <w:r>
        <w:rPr>
          <w:rFonts w:hint="eastAsia" w:ascii="仿宋_GB2312" w:hAnsi="宋体" w:eastAsia="仿宋_GB2312" w:cs="宋体"/>
          <w:color w:val="auto"/>
          <w:kern w:val="0"/>
          <w:sz w:val="32"/>
          <w:szCs w:val="32"/>
          <w:highlight w:val="none"/>
          <w:lang w:eastAsia="zh-CN"/>
        </w:rPr>
        <w:t>不够精准</w:t>
      </w:r>
      <w:r>
        <w:rPr>
          <w:rFonts w:hint="eastAsia" w:ascii="仿宋_GB2312" w:hAnsi="宋体" w:eastAsia="仿宋_GB2312" w:cs="宋体"/>
          <w:color w:val="auto"/>
          <w:kern w:val="0"/>
          <w:sz w:val="32"/>
          <w:szCs w:val="32"/>
          <w:highlight w:val="none"/>
        </w:rPr>
        <w:t>，导致部分项目指标实际完成值与年度指标值存在一定程度的偏差，无法按照原定计划完成，需进一步提高预算编制的科学性、合理性。</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黑体" w:hAnsi="黑体" w:eastAsia="黑体" w:cs="宋体"/>
          <w:color w:val="auto"/>
          <w:kern w:val="0"/>
          <w:sz w:val="32"/>
          <w:szCs w:val="32"/>
          <w:highlight w:val="none"/>
        </w:rPr>
        <w:t>六、措施建议</w:t>
      </w:r>
      <w:r>
        <w:rPr>
          <w:rFonts w:hint="eastAsia" w:ascii="仿宋_GB2312" w:hAnsi="宋体" w:eastAsia="仿宋_GB2312" w:cs="宋体"/>
          <w:color w:val="auto"/>
          <w:kern w:val="0"/>
          <w:sz w:val="32"/>
          <w:szCs w:val="32"/>
          <w:highlight w:val="none"/>
        </w:rPr>
        <w:t xml:space="preserve"> </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rPr>
        <w:t>针对绩效跟踪过程中发现的问题，下一步拟采取如下改进措施，一是在预算编制环节，加强对项目设计合理性、项目实施计划可行性、项目预期成效性及项目经费预算合理性等方面审核把关，同时充分考虑可能出现的突发情况和政策影响，提高预算编制的科学性、合理性；二是在项目实施环节，制定好突发情况应对方案，</w:t>
      </w:r>
      <w:r>
        <w:rPr>
          <w:rFonts w:hint="eastAsia" w:ascii="仿宋_GB2312" w:hAnsi="宋体" w:eastAsia="仿宋_GB2312" w:cs="宋体"/>
          <w:color w:val="000000"/>
          <w:kern w:val="0"/>
          <w:sz w:val="32"/>
          <w:szCs w:val="32"/>
          <w:highlight w:val="none"/>
        </w:rPr>
        <w:t>加强对项目承接机构项目管理、项目活动、资金使用等方面的检查和监管，确保项目实施成效和绩效目标的实现。</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39DF"/>
    <w:rsid w:val="001C7834"/>
    <w:rsid w:val="0023434C"/>
    <w:rsid w:val="00465181"/>
    <w:rsid w:val="0057202C"/>
    <w:rsid w:val="005E3946"/>
    <w:rsid w:val="0060746B"/>
    <w:rsid w:val="00826643"/>
    <w:rsid w:val="00954F6E"/>
    <w:rsid w:val="00B03B70"/>
    <w:rsid w:val="00CF07EE"/>
    <w:rsid w:val="00E617B2"/>
    <w:rsid w:val="00F42C33"/>
    <w:rsid w:val="04897829"/>
    <w:rsid w:val="08E57824"/>
    <w:rsid w:val="0B7A4542"/>
    <w:rsid w:val="0D1F5C09"/>
    <w:rsid w:val="1B817380"/>
    <w:rsid w:val="1C3D4B8B"/>
    <w:rsid w:val="1CE62A64"/>
    <w:rsid w:val="229E489F"/>
    <w:rsid w:val="22EB097F"/>
    <w:rsid w:val="25127BD6"/>
    <w:rsid w:val="25652EC6"/>
    <w:rsid w:val="26137568"/>
    <w:rsid w:val="26C775C7"/>
    <w:rsid w:val="27287330"/>
    <w:rsid w:val="27AE71DB"/>
    <w:rsid w:val="29C57D0A"/>
    <w:rsid w:val="2E2538A5"/>
    <w:rsid w:val="320C28A6"/>
    <w:rsid w:val="363178D3"/>
    <w:rsid w:val="372D0396"/>
    <w:rsid w:val="3B160C16"/>
    <w:rsid w:val="3C4E693B"/>
    <w:rsid w:val="3EB26E78"/>
    <w:rsid w:val="3F17017A"/>
    <w:rsid w:val="3F2F426E"/>
    <w:rsid w:val="40384E25"/>
    <w:rsid w:val="41EE66CC"/>
    <w:rsid w:val="453431C0"/>
    <w:rsid w:val="559C5572"/>
    <w:rsid w:val="57FF41E9"/>
    <w:rsid w:val="5938501E"/>
    <w:rsid w:val="59D60238"/>
    <w:rsid w:val="5B1D39DF"/>
    <w:rsid w:val="5CC32872"/>
    <w:rsid w:val="60C768A4"/>
    <w:rsid w:val="60FD107F"/>
    <w:rsid w:val="61FD072A"/>
    <w:rsid w:val="64225703"/>
    <w:rsid w:val="67500E4F"/>
    <w:rsid w:val="69C55D6E"/>
    <w:rsid w:val="6E0E5CF7"/>
    <w:rsid w:val="78787904"/>
    <w:rsid w:val="79A2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customStyle="1" w:styleId="8">
    <w:name w:val="页眉 字符"/>
    <w:basedOn w:val="6"/>
    <w:link w:val="4"/>
    <w:qFormat/>
    <w:uiPriority w:val="0"/>
    <w:rPr>
      <w:rFonts w:ascii="Times New Roman" w:hAnsi="Times New Roman" w:eastAsia="宋体" w:cs="Times New Roman"/>
      <w:kern w:val="2"/>
      <w:sz w:val="18"/>
      <w:szCs w:val="18"/>
    </w:rPr>
  </w:style>
  <w:style w:type="character" w:customStyle="1" w:styleId="9">
    <w:name w:val="批注框文本 字符"/>
    <w:basedOn w:val="6"/>
    <w:link w:val="2"/>
    <w:semiHidden/>
    <w:qFormat/>
    <w:uiPriority w:val="0"/>
    <w:rPr>
      <w:rFonts w:ascii="Times New Roman" w:hAnsi="Times New Roman" w:eastAsia="宋体" w:cs="Times New Roman"/>
      <w:kern w:val="2"/>
      <w:sz w:val="18"/>
      <w:szCs w:val="18"/>
    </w:rPr>
  </w:style>
  <w:style w:type="paragraph" w:customStyle="1"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78</Words>
  <Characters>448</Characters>
  <Lines>3</Lines>
  <Paragraphs>1</Paragraphs>
  <ScaleCrop>false</ScaleCrop>
  <LinksUpToDate>false</LinksUpToDate>
  <CharactersWithSpaces>525</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30306</cp:lastModifiedBy>
  <cp:lastPrinted>2024-02-27T01:50:00Z</cp:lastPrinted>
  <dcterms:modified xsi:type="dcterms:W3CDTF">2024-09-02T08:37:22Z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