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bookmarkStart w:id="125" w:name="_GoBack"/>
      <w:bookmarkEnd w:id="125"/>
      <w:bookmarkStart w:id="0" w:name="_Hlk195023549"/>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800" w:lineRule="exact"/>
        <w:ind w:firstLine="0" w:firstLineChars="0"/>
        <w:jc w:val="center"/>
        <w:textAlignment w:val="auto"/>
        <w:rPr>
          <w:rFonts w:ascii="Times New Roman" w:hAnsi="Times New Roman" w:eastAsia="方正小标宋简体" w:cs="方正小标宋简体"/>
          <w:color w:val="000000" w:themeColor="text1"/>
          <w:sz w:val="56"/>
          <w:szCs w:val="56"/>
          <w14:textFill>
            <w14:solidFill>
              <w14:schemeClr w14:val="tx1"/>
            </w14:solidFill>
          </w14:textFill>
        </w:rPr>
      </w:pPr>
      <w:r>
        <w:rPr>
          <w:rFonts w:hint="eastAsia" w:ascii="Times New Roman" w:hAnsi="Times New Roman" w:eastAsia="方正小标宋简体" w:cs="方正小标宋简体"/>
          <w:color w:val="000000" w:themeColor="text1"/>
          <w:sz w:val="44"/>
          <w:szCs w:val="44"/>
          <w14:textFill>
            <w14:solidFill>
              <w14:schemeClr w14:val="tx1"/>
            </w14:solidFill>
          </w14:textFill>
        </w:rPr>
        <w:t>北京市危险化学品使用单位全流程合规性管理手册</w:t>
      </w:r>
      <w:r>
        <w:rPr>
          <w:rFonts w:hint="eastAsia" w:ascii="Times New Roman" w:hAnsi="Times New Roman" w:eastAsia="方正小标宋简体" w:cs="方正小标宋简体"/>
          <w:color w:val="000000" w:themeColor="text1"/>
          <w:sz w:val="44"/>
          <w:szCs w:val="44"/>
          <w:lang w:eastAsia="zh-CN"/>
          <w14:textFill>
            <w14:solidFill>
              <w14:schemeClr w14:val="tx1"/>
            </w14:solidFill>
          </w14:textFill>
        </w:rPr>
        <w:t>（试行）</w:t>
      </w: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both"/>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楷体" w:cs="方正小标宋简体"/>
          <w:color w:val="000000" w:themeColor="text1"/>
          <w:sz w:val="40"/>
          <w:szCs w:val="4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435" w:charSpace="0"/>
        </w:sect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sectPr>
          <w:footerReference r:id="rId12" w:type="first"/>
          <w:footerReference r:id="rId11" w:type="default"/>
          <w:pgSz w:w="11906" w:h="16838"/>
          <w:pgMar w:top="1440" w:right="1800" w:bottom="1440" w:left="1800" w:header="851" w:footer="992" w:gutter="0"/>
          <w:pgNumType w:start="1"/>
          <w:cols w:space="425" w:num="1"/>
          <w:titlePg/>
          <w:docGrid w:type="lines" w:linePitch="435" w:charSpace="0"/>
        </w:sectPr>
      </w:pPr>
    </w:p>
    <w:p>
      <w:pPr>
        <w:tabs>
          <w:tab w:val="right" w:leader="dot" w:pos="8306"/>
        </w:tabs>
        <w:ind w:firstLineChars="0"/>
        <w:jc w:val="center"/>
        <w:rPr>
          <w:rFonts w:hint="eastAsia" w:ascii="黑体" w:hAnsi="黑体" w:eastAsia="黑体" w:cs="黑体"/>
          <w:b w:val="0"/>
          <w:bCs w:val="0"/>
          <w:color w:val="000000" w:themeColor="text1"/>
          <w:sz w:val="44"/>
          <w:szCs w:val="44"/>
          <w14:textFill>
            <w14:solidFill>
              <w14:schemeClr w14:val="tx1"/>
            </w14:solidFill>
          </w14:textFill>
        </w:rPr>
      </w:pPr>
      <w:r>
        <w:rPr>
          <w:rFonts w:hint="eastAsia" w:ascii="黑体" w:hAnsi="黑体" w:eastAsia="黑体" w:cs="黑体"/>
          <w:b w:val="0"/>
          <w:bCs w:val="0"/>
          <w:color w:val="000000" w:themeColor="text1"/>
          <w:sz w:val="44"/>
          <w:szCs w:val="44"/>
          <w14:textFill>
            <w14:solidFill>
              <w14:schemeClr w14:val="tx1"/>
            </w14:solidFill>
          </w14:textFill>
        </w:rPr>
        <w:t>目 录</w:t>
      </w:r>
    </w:p>
    <w:p>
      <w:pPr>
        <w:tabs>
          <w:tab w:val="right" w:leader="dot" w:pos="8306"/>
        </w:tabs>
        <w:ind w:firstLineChars="0"/>
        <w:jc w:val="center"/>
        <w:rPr>
          <w:rFonts w:hint="eastAsia" w:ascii="黑体" w:hAnsi="黑体" w:eastAsia="黑体" w:cs="黑体"/>
          <w:b w:val="0"/>
          <w:bCs w:val="0"/>
          <w:color w:val="000000" w:themeColor="text1"/>
          <w:sz w:val="44"/>
          <w:szCs w:val="44"/>
          <w14:textFill>
            <w14:solidFill>
              <w14:schemeClr w14:val="tx1"/>
            </w14:solidFill>
          </w14:textFill>
        </w:rPr>
      </w:pPr>
    </w:p>
    <w:sdt>
      <w:sdtPr>
        <w:rPr>
          <w:rFonts w:eastAsia="宋体"/>
          <w:sz w:val="21"/>
        </w:rPr>
        <w:id w:val="147464744"/>
        <w15:color w:val="DBDBDB"/>
        <w:docPartObj>
          <w:docPartGallery w:val="Table of Contents"/>
          <w:docPartUnique/>
        </w:docPartObj>
      </w:sdtPr>
      <w:sdtEndPr>
        <w:rPr>
          <w:rFonts w:hint="eastAsia" w:ascii="Times New Roman" w:hAnsi="Times New Roman" w:eastAsia="方正小标宋简体" w:cs="方正小标宋简体"/>
          <w:color w:val="000000" w:themeColor="text1"/>
          <w:sz w:val="32"/>
          <w:szCs w:val="40"/>
          <w14:textFill>
            <w14:solidFill>
              <w14:schemeClr w14:val="tx1"/>
            </w14:solidFill>
          </w14:textFill>
        </w:rPr>
      </w:sdtEndPr>
      <w:sdtContent>
        <w:p>
          <w:pPr>
            <w:pStyle w:val="11"/>
            <w:rPr>
              <w:rFonts w:asciiTheme="minorHAnsi" w:hAnsiTheme="minorHAnsi" w:eastAsiaTheme="minorEastAsia"/>
              <w:sz w:val="22"/>
              <w14:ligatures w14:val="standardContextual"/>
            </w:rPr>
          </w:pPr>
          <w:r>
            <w:rPr>
              <w:rFonts w:hint="eastAsia" w:ascii="Times New Roman" w:hAnsi="Times New Roman" w:eastAsia="方正小标宋简体" w:cs="方正小标宋简体"/>
              <w:color w:val="000000" w:themeColor="text1"/>
              <w:sz w:val="40"/>
              <w:szCs w:val="40"/>
              <w14:textFill>
                <w14:solidFill>
                  <w14:schemeClr w14:val="tx1"/>
                </w14:solidFill>
              </w14:textFill>
            </w:rPr>
            <w:fldChar w:fldCharType="begin"/>
          </w:r>
          <w:r>
            <w:rPr>
              <w:rFonts w:hint="eastAsia" w:ascii="Times New Roman" w:hAnsi="Times New Roman" w:eastAsia="方正小标宋简体" w:cs="方正小标宋简体"/>
              <w:color w:val="000000" w:themeColor="text1"/>
              <w:sz w:val="40"/>
              <w:szCs w:val="40"/>
              <w14:textFill>
                <w14:solidFill>
                  <w14:schemeClr w14:val="tx1"/>
                </w14:solidFill>
              </w14:textFill>
            </w:rPr>
            <w:instrText xml:space="preserve">TOC \o "1-3" \h \u </w:instrText>
          </w:r>
          <w:r>
            <w:rPr>
              <w:rFonts w:hint="eastAsia" w:ascii="Times New Roman" w:hAnsi="Times New Roman" w:eastAsia="方正小标宋简体" w:cs="方正小标宋简体"/>
              <w:color w:val="000000" w:themeColor="text1"/>
              <w:sz w:val="40"/>
              <w:szCs w:val="40"/>
              <w14:textFill>
                <w14:solidFill>
                  <w14:schemeClr w14:val="tx1"/>
                </w14:solidFill>
              </w14:textFill>
            </w:rPr>
            <w:fldChar w:fldCharType="separate"/>
          </w:r>
          <w:r>
            <w:fldChar w:fldCharType="begin"/>
          </w:r>
          <w:r>
            <w:instrText xml:space="preserve"> HYPERLINK \l "_Toc225353423" </w:instrText>
          </w:r>
          <w:r>
            <w:fldChar w:fldCharType="separate"/>
          </w:r>
          <w:r>
            <w:rPr>
              <w:rStyle w:val="19"/>
              <w:rFonts w:hint="eastAsia" w:ascii="Times New Roman" w:hAnsi="Times New Roman" w:eastAsia="黑体" w:cs="黑体"/>
            </w:rPr>
            <w:t>第一章  总  则</w:t>
          </w:r>
          <w:r>
            <w:rPr>
              <w:rFonts w:hint="eastAsia"/>
            </w:rPr>
            <w:tab/>
          </w:r>
          <w:r>
            <w:rPr>
              <w:rFonts w:hint="eastAsia"/>
            </w:rPr>
            <w:fldChar w:fldCharType="begin"/>
          </w:r>
          <w:r>
            <w:rPr>
              <w:rFonts w:hint="eastAsia"/>
            </w:rPr>
            <w:instrText xml:space="preserve"> </w:instrText>
          </w:r>
          <w:r>
            <w:instrText xml:space="preserve">PAGEREF _Toc225353423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"_Toc225353424" </w:instrText>
          </w:r>
          <w:r>
            <w:fldChar w:fldCharType="separate"/>
          </w:r>
          <w:r>
            <w:rPr>
              <w:rStyle w:val="19"/>
              <w:rFonts w:hint="eastAsia" w:ascii="Times New Roman" w:hAnsi="Times New Roman" w:eastAsia="楷体_GB2312" w:cs="楷体_GB2312"/>
            </w:rPr>
            <w:t>第一节 适用范围</w:t>
          </w:r>
          <w:r>
            <w:rPr>
              <w:rFonts w:hint="eastAsia"/>
            </w:rPr>
            <w:tab/>
          </w:r>
          <w:r>
            <w:rPr>
              <w:rFonts w:hint="eastAsia"/>
            </w:rPr>
            <w:fldChar w:fldCharType="begin"/>
          </w:r>
          <w:r>
            <w:rPr>
              <w:rFonts w:hint="eastAsia"/>
            </w:rPr>
            <w:instrText xml:space="preserve"> </w:instrText>
          </w:r>
          <w:r>
            <w:instrText xml:space="preserve">PAGEREF _Toc225353424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"_Toc225353425" </w:instrText>
          </w:r>
          <w:r>
            <w:fldChar w:fldCharType="separate"/>
          </w:r>
          <w:r>
            <w:rPr>
              <w:rStyle w:val="19"/>
              <w:rFonts w:hint="eastAsia" w:ascii="Times New Roman" w:hAnsi="Times New Roman" w:eastAsia="楷体_GB2312" w:cs="楷体_GB2312"/>
            </w:rPr>
            <w:t>第二节 术语与定义</w:t>
          </w:r>
          <w:r>
            <w:rPr>
              <w:rFonts w:hint="eastAsia"/>
            </w:rPr>
            <w:tab/>
          </w:r>
          <w:r>
            <w:rPr>
              <w:rFonts w:hint="eastAsia"/>
            </w:rPr>
            <w:fldChar w:fldCharType="begin"/>
          </w:r>
          <w:r>
            <w:rPr>
              <w:rFonts w:hint="eastAsia"/>
            </w:rPr>
            <w:instrText xml:space="preserve"> </w:instrText>
          </w:r>
          <w:r>
            <w:instrText xml:space="preserve">PAGEREF _Toc225353425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"_Toc225353426" </w:instrText>
          </w:r>
          <w:r>
            <w:fldChar w:fldCharType="separate"/>
          </w:r>
          <w:r>
            <w:rPr>
              <w:rStyle w:val="19"/>
              <w:rFonts w:hint="eastAsia" w:ascii="Times New Roman" w:hAnsi="Times New Roman" w:eastAsia="楷体_GB2312" w:cs="楷体_GB2312"/>
            </w:rPr>
            <w:t>第三节 引用文件</w:t>
          </w:r>
          <w:r>
            <w:rPr>
              <w:rFonts w:hint="eastAsia"/>
            </w:rPr>
            <w:tab/>
          </w:r>
          <w:r>
            <w:rPr>
              <w:rFonts w:hint="eastAsia"/>
            </w:rPr>
            <w:fldChar w:fldCharType="begin"/>
          </w:r>
          <w:r>
            <w:rPr>
              <w:rFonts w:hint="eastAsia"/>
            </w:rPr>
            <w:instrText xml:space="preserve"> </w:instrText>
          </w:r>
          <w:r>
            <w:instrText xml:space="preserve">PAGEREF _Toc225353426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1"/>
            <w:rPr>
              <w:rFonts w:asciiTheme="minorHAnsi" w:hAnsiTheme="minorHAnsi" w:eastAsiaTheme="minorEastAsia"/>
              <w:sz w:val="22"/>
              <w14:ligatures w14:val="standardContextual"/>
            </w:rPr>
          </w:pPr>
          <w:r>
            <w:fldChar w:fldCharType="begin"/>
          </w:r>
          <w:r>
            <w:instrText xml:space="preserve"> HYPERLINK \l "_Toc225353427" </w:instrText>
          </w:r>
          <w:r>
            <w:fldChar w:fldCharType="separate"/>
          </w:r>
          <w:r>
            <w:rPr>
              <w:rStyle w:val="19"/>
              <w:rFonts w:hint="eastAsia" w:ascii="Times New Roman" w:hAnsi="Times New Roman" w:eastAsia="黑体" w:cs="黑体"/>
            </w:rPr>
            <w:t>第二章  全流程合规管理通用要求</w:t>
          </w:r>
          <w:r>
            <w:rPr>
              <w:rFonts w:hint="eastAsia"/>
            </w:rPr>
            <w:tab/>
          </w:r>
          <w:r>
            <w:rPr>
              <w:rFonts w:hint="eastAsia"/>
            </w:rPr>
            <w:fldChar w:fldCharType="begin"/>
          </w:r>
          <w:r>
            <w:rPr>
              <w:rFonts w:hint="eastAsia"/>
            </w:rPr>
            <w:instrText xml:space="preserve"> </w:instrText>
          </w:r>
          <w:r>
            <w:instrText xml:space="preserve">PAGEREF _Toc225353427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"_Toc225353428" </w:instrText>
          </w:r>
          <w:r>
            <w:fldChar w:fldCharType="separate"/>
          </w:r>
          <w:r>
            <w:rPr>
              <w:rStyle w:val="19"/>
              <w:rFonts w:hint="eastAsia" w:ascii="Times New Roman" w:hAnsi="Times New Roman" w:eastAsia="楷体_GB2312" w:cs="楷体_GB2312"/>
            </w:rPr>
            <w:t>第一节 涉危建设项目管理</w:t>
          </w:r>
          <w:r>
            <w:rPr>
              <w:rFonts w:hint="eastAsia"/>
            </w:rPr>
            <w:tab/>
          </w:r>
          <w:r>
            <w:rPr>
              <w:rFonts w:hint="eastAsia"/>
            </w:rPr>
            <w:fldChar w:fldCharType="begin"/>
          </w:r>
          <w:r>
            <w:rPr>
              <w:rFonts w:hint="eastAsia"/>
            </w:rPr>
            <w:instrText xml:space="preserve"> </w:instrText>
          </w:r>
          <w:r>
            <w:instrText xml:space="preserve">PAGEREF _Toc225353428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"_Toc225353429" </w:instrText>
          </w:r>
          <w:r>
            <w:fldChar w:fldCharType="separate"/>
          </w:r>
          <w:r>
            <w:rPr>
              <w:rStyle w:val="19"/>
              <w:rFonts w:hint="eastAsia" w:ascii="Times New Roman" w:hAnsi="Times New Roman" w:cs="仿宋_GB2312"/>
            </w:rPr>
            <w:t>（一） 新、改、扩建储存设施安全评价和安全设施设计</w:t>
          </w:r>
          <w:r>
            <w:rPr>
              <w:rFonts w:hint="eastAsia"/>
            </w:rPr>
            <w:tab/>
          </w:r>
          <w:r>
            <w:rPr>
              <w:rFonts w:hint="eastAsia"/>
            </w:rPr>
            <w:fldChar w:fldCharType="begin"/>
          </w:r>
          <w:r>
            <w:rPr>
              <w:rFonts w:hint="eastAsia"/>
            </w:rPr>
            <w:instrText xml:space="preserve"> </w:instrText>
          </w:r>
          <w:r>
            <w:instrText xml:space="preserve">PAGEREF _Toc225353429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"_Toc225353430" </w:instrText>
          </w:r>
          <w:r>
            <w:fldChar w:fldCharType="separate"/>
          </w:r>
          <w:r>
            <w:rPr>
              <w:rStyle w:val="19"/>
              <w:rFonts w:hint="eastAsia" w:ascii="Times New Roman" w:hAnsi="Times New Roman"/>
            </w:rPr>
            <w:t>（二） 已建储存设施安全评价</w:t>
          </w:r>
          <w:r>
            <w:rPr>
              <w:rFonts w:hint="eastAsia"/>
            </w:rPr>
            <w:tab/>
          </w:r>
          <w:r>
            <w:rPr>
              <w:rFonts w:hint="eastAsia"/>
            </w:rPr>
            <w:fldChar w:fldCharType="begin"/>
          </w:r>
          <w:r>
            <w:rPr>
              <w:rFonts w:hint="eastAsia"/>
            </w:rPr>
            <w:instrText xml:space="preserve"> </w:instrText>
          </w:r>
          <w:r>
            <w:instrText xml:space="preserve">PAGEREF _Toc225353430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"_Toc225353431" </w:instrText>
          </w:r>
          <w:r>
            <w:fldChar w:fldCharType="separate"/>
          </w:r>
          <w:r>
            <w:rPr>
              <w:rStyle w:val="19"/>
              <w:rFonts w:hint="eastAsia" w:ascii="Times New Roman" w:hAnsi="Times New Roman" w:eastAsia="楷体_GB2312" w:cs="楷体_GB2312"/>
            </w:rPr>
            <w:t>第二节 危化品使用单位运行管理</w:t>
          </w:r>
          <w:r>
            <w:rPr>
              <w:rFonts w:hint="eastAsia"/>
            </w:rPr>
            <w:tab/>
          </w:r>
          <w:r>
            <w:rPr>
              <w:rFonts w:hint="eastAsia"/>
            </w:rPr>
            <w:fldChar w:fldCharType="begin"/>
          </w:r>
          <w:r>
            <w:rPr>
              <w:rFonts w:hint="eastAsia"/>
            </w:rPr>
            <w:instrText xml:space="preserve"> </w:instrText>
          </w:r>
          <w:r>
            <w:instrText xml:space="preserve">PAGEREF _Toc225353431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"_Toc225353432" </w:instrText>
          </w:r>
          <w:r>
            <w:fldChar w:fldCharType="separate"/>
          </w:r>
          <w:r>
            <w:rPr>
              <w:rStyle w:val="19"/>
              <w:rFonts w:hint="eastAsia" w:ascii="Times New Roman" w:hAnsi="Times New Roman" w:cs="仿宋_GB2312"/>
            </w:rPr>
            <w:t>（一） 人员管理</w:t>
          </w:r>
          <w:r>
            <w:rPr>
              <w:rFonts w:hint="eastAsia"/>
            </w:rPr>
            <w:tab/>
          </w:r>
          <w:r>
            <w:rPr>
              <w:rFonts w:hint="eastAsia"/>
            </w:rPr>
            <w:fldChar w:fldCharType="begin"/>
          </w:r>
          <w:r>
            <w:rPr>
              <w:rFonts w:hint="eastAsia"/>
            </w:rPr>
            <w:instrText xml:space="preserve"> </w:instrText>
          </w:r>
          <w:r>
            <w:instrText xml:space="preserve">PAGEREF _Toc225353432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"_Toc225353433" </w:instrText>
          </w:r>
          <w:r>
            <w:fldChar w:fldCharType="separate"/>
          </w:r>
          <w:r>
            <w:rPr>
              <w:rStyle w:val="19"/>
              <w:rFonts w:hint="eastAsia" w:ascii="Times New Roman" w:hAnsi="Times New Roman" w:cs="仿宋_GB2312"/>
            </w:rPr>
            <w:t>（二） 基础管理</w:t>
          </w:r>
          <w:r>
            <w:rPr>
              <w:rFonts w:hint="eastAsia"/>
            </w:rPr>
            <w:tab/>
          </w:r>
          <w:r>
            <w:rPr>
              <w:rFonts w:hint="eastAsia"/>
            </w:rPr>
            <w:fldChar w:fldCharType="begin"/>
          </w:r>
          <w:r>
            <w:rPr>
              <w:rFonts w:hint="eastAsia"/>
            </w:rPr>
            <w:instrText xml:space="preserve"> </w:instrText>
          </w:r>
          <w:r>
            <w:instrText xml:space="preserve">PAGEREF _Toc225353433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"_Toc225353434" </w:instrText>
          </w:r>
          <w:r>
            <w:fldChar w:fldCharType="separate"/>
          </w:r>
          <w:r>
            <w:rPr>
              <w:rStyle w:val="19"/>
              <w:rFonts w:hint="eastAsia" w:ascii="Times New Roman" w:hAnsi="Times New Roman" w:cs="仿宋_GB2312"/>
            </w:rPr>
            <w:t>（三） 作业管理</w:t>
          </w:r>
          <w:r>
            <w:rPr>
              <w:rFonts w:hint="eastAsia"/>
            </w:rPr>
            <w:tab/>
          </w:r>
          <w:r>
            <w:rPr>
              <w:rFonts w:hint="eastAsia"/>
            </w:rPr>
            <w:fldChar w:fldCharType="begin"/>
          </w:r>
          <w:r>
            <w:rPr>
              <w:rFonts w:hint="eastAsia"/>
            </w:rPr>
            <w:instrText xml:space="preserve"> </w:instrText>
          </w:r>
          <w:r>
            <w:instrText xml:space="preserve">PAGEREF _Toc225353434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"_Toc225353435" </w:instrText>
          </w:r>
          <w:r>
            <w:fldChar w:fldCharType="separate"/>
          </w:r>
          <w:r>
            <w:rPr>
              <w:rStyle w:val="19"/>
              <w:rFonts w:hint="eastAsia" w:ascii="Times New Roman" w:hAnsi="Times New Roman" w:eastAsia="楷体_GB2312" w:cs="楷体_GB2312"/>
            </w:rPr>
            <w:t>第三节 危化品采购与运输管理</w:t>
          </w:r>
          <w:r>
            <w:rPr>
              <w:rFonts w:hint="eastAsia"/>
            </w:rPr>
            <w:tab/>
          </w:r>
          <w:r>
            <w:rPr>
              <w:rFonts w:hint="eastAsia"/>
            </w:rPr>
            <w:fldChar w:fldCharType="begin"/>
          </w:r>
          <w:r>
            <w:rPr>
              <w:rFonts w:hint="eastAsia"/>
            </w:rPr>
            <w:instrText xml:space="preserve"> </w:instrText>
          </w:r>
          <w:r>
            <w:instrText xml:space="preserve">PAGEREF _Toc225353435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"_Toc225353436" </w:instrText>
          </w:r>
          <w:r>
            <w:fldChar w:fldCharType="separate"/>
          </w:r>
          <w:r>
            <w:rPr>
              <w:rStyle w:val="19"/>
              <w:rFonts w:hint="eastAsia" w:ascii="Times New Roman" w:hAnsi="Times New Roman" w:cs="仿宋_GB2312"/>
            </w:rPr>
            <w:t>（一） 采购</w:t>
          </w:r>
          <w:r>
            <w:rPr>
              <w:rFonts w:hint="eastAsia"/>
            </w:rPr>
            <w:tab/>
          </w:r>
          <w:r>
            <w:rPr>
              <w:rFonts w:hint="eastAsia"/>
            </w:rPr>
            <w:fldChar w:fldCharType="begin"/>
          </w:r>
          <w:r>
            <w:rPr>
              <w:rFonts w:hint="eastAsia"/>
            </w:rPr>
            <w:instrText xml:space="preserve"> </w:instrText>
          </w:r>
          <w:r>
            <w:instrText xml:space="preserve">PAGEREF _Toc225353436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"_Toc225353437" </w:instrText>
          </w:r>
          <w:r>
            <w:fldChar w:fldCharType="separate"/>
          </w:r>
          <w:r>
            <w:rPr>
              <w:rStyle w:val="19"/>
              <w:rFonts w:hint="eastAsia" w:ascii="Times New Roman" w:hAnsi="Times New Roman" w:cs="仿宋_GB2312"/>
            </w:rPr>
            <w:t>（二） 运输和管道输送管理</w:t>
          </w:r>
          <w:r>
            <w:rPr>
              <w:rFonts w:hint="eastAsia"/>
            </w:rPr>
            <w:tab/>
          </w:r>
          <w:r>
            <w:rPr>
              <w:rFonts w:hint="eastAsia"/>
            </w:rPr>
            <w:fldChar w:fldCharType="begin"/>
          </w:r>
          <w:r>
            <w:rPr>
              <w:rFonts w:hint="eastAsia"/>
            </w:rPr>
            <w:instrText xml:space="preserve"> </w:instrText>
          </w:r>
          <w:r>
            <w:instrText xml:space="preserve">PAGEREF _Toc225353437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"_Toc225353438" </w:instrText>
          </w:r>
          <w:r>
            <w:fldChar w:fldCharType="separate"/>
          </w:r>
          <w:r>
            <w:rPr>
              <w:rStyle w:val="19"/>
              <w:rFonts w:hint="eastAsia" w:ascii="Times New Roman" w:hAnsi="Times New Roman" w:eastAsia="楷体_GB2312" w:cs="楷体_GB2312"/>
            </w:rPr>
            <w:t>第四节 危化品储存管理</w:t>
          </w:r>
          <w:r>
            <w:rPr>
              <w:rFonts w:hint="eastAsia"/>
            </w:rPr>
            <w:tab/>
          </w:r>
          <w:r>
            <w:rPr>
              <w:rFonts w:hint="eastAsia"/>
            </w:rPr>
            <w:fldChar w:fldCharType="begin"/>
          </w:r>
          <w:r>
            <w:rPr>
              <w:rFonts w:hint="eastAsia"/>
            </w:rPr>
            <w:instrText xml:space="preserve"> </w:instrText>
          </w:r>
          <w:r>
            <w:instrText xml:space="preserve">PAGEREF _Toc225353438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"_Toc225353439" </w:instrText>
          </w:r>
          <w:r>
            <w:fldChar w:fldCharType="separate"/>
          </w:r>
          <w:r>
            <w:rPr>
              <w:rStyle w:val="19"/>
              <w:rFonts w:hint="eastAsia" w:ascii="Times New Roman" w:hAnsi="Times New Roman" w:cs="仿宋_GB2312"/>
            </w:rPr>
            <w:t>（一） 装卸搬运</w:t>
          </w:r>
          <w:r>
            <w:rPr>
              <w:rFonts w:hint="eastAsia"/>
            </w:rPr>
            <w:tab/>
          </w:r>
          <w:r>
            <w:rPr>
              <w:rFonts w:hint="eastAsia"/>
            </w:rPr>
            <w:fldChar w:fldCharType="begin"/>
          </w:r>
          <w:r>
            <w:rPr>
              <w:rFonts w:hint="eastAsia"/>
            </w:rPr>
            <w:instrText xml:space="preserve"> </w:instrText>
          </w:r>
          <w:r>
            <w:instrText xml:space="preserve">PAGEREF _Toc225353439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"_Toc225353440" </w:instrText>
          </w:r>
          <w:r>
            <w:fldChar w:fldCharType="separate"/>
          </w:r>
          <w:r>
            <w:rPr>
              <w:rStyle w:val="19"/>
              <w:rFonts w:hint="eastAsia" w:ascii="Times New Roman" w:hAnsi="Times New Roman" w:cs="仿宋_GB2312"/>
            </w:rPr>
            <w:t>（二） 出入库</w:t>
          </w:r>
          <w:r>
            <w:rPr>
              <w:rFonts w:hint="eastAsia"/>
            </w:rPr>
            <w:tab/>
          </w:r>
          <w:r>
            <w:rPr>
              <w:rFonts w:hint="eastAsia"/>
            </w:rPr>
            <w:fldChar w:fldCharType="begin"/>
          </w:r>
          <w:r>
            <w:rPr>
              <w:rFonts w:hint="eastAsia"/>
            </w:rPr>
            <w:instrText xml:space="preserve"> </w:instrText>
          </w:r>
          <w:r>
            <w:instrText xml:space="preserve">PAGEREF _Toc225353440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"_Toc225353441" </w:instrText>
          </w:r>
          <w:r>
            <w:fldChar w:fldCharType="separate"/>
          </w:r>
          <w:r>
            <w:rPr>
              <w:rStyle w:val="19"/>
              <w:rFonts w:hint="eastAsia" w:ascii="Times New Roman" w:hAnsi="Times New Roman" w:cs="仿宋_GB2312"/>
            </w:rPr>
            <w:t>（三） 在库</w:t>
          </w:r>
          <w:r>
            <w:rPr>
              <w:rFonts w:hint="eastAsia"/>
            </w:rPr>
            <w:tab/>
          </w:r>
          <w:r>
            <w:rPr>
              <w:rFonts w:hint="eastAsia"/>
            </w:rPr>
            <w:fldChar w:fldCharType="begin"/>
          </w:r>
          <w:r>
            <w:rPr>
              <w:rFonts w:hint="eastAsia"/>
            </w:rPr>
            <w:instrText xml:space="preserve"> </w:instrText>
          </w:r>
          <w:r>
            <w:instrText xml:space="preserve">PAGEREF _Toc225353441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"_Toc225353442" </w:instrText>
          </w:r>
          <w:r>
            <w:fldChar w:fldCharType="separate"/>
          </w:r>
          <w:r>
            <w:rPr>
              <w:rStyle w:val="19"/>
              <w:rFonts w:hint="eastAsia" w:ascii="Times New Roman" w:hAnsi="Times New Roman" w:cs="仿宋_GB2312"/>
            </w:rPr>
            <w:t>（四） 专用仓库</w:t>
          </w:r>
          <w:r>
            <w:rPr>
              <w:rFonts w:hint="eastAsia"/>
            </w:rPr>
            <w:tab/>
          </w:r>
          <w:r>
            <w:rPr>
              <w:rFonts w:hint="eastAsia"/>
            </w:rPr>
            <w:fldChar w:fldCharType="begin"/>
          </w:r>
          <w:r>
            <w:rPr>
              <w:rFonts w:hint="eastAsia"/>
            </w:rPr>
            <w:instrText xml:space="preserve"> </w:instrText>
          </w:r>
          <w:r>
            <w:instrText xml:space="preserve">PAGEREF _Toc225353442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"_Toc225353443" </w:instrText>
          </w:r>
          <w:r>
            <w:fldChar w:fldCharType="separate"/>
          </w:r>
          <w:r>
            <w:rPr>
              <w:rStyle w:val="19"/>
              <w:rFonts w:hint="eastAsia" w:ascii="Times New Roman" w:hAnsi="Times New Roman" w:cs="仿宋_GB2312"/>
            </w:rPr>
            <w:t>（五） 专用储存室和气瓶间</w:t>
          </w:r>
          <w:r>
            <w:rPr>
              <w:rFonts w:hint="eastAsia"/>
            </w:rPr>
            <w:tab/>
          </w:r>
          <w:r>
            <w:rPr>
              <w:rFonts w:hint="eastAsia"/>
            </w:rPr>
            <w:fldChar w:fldCharType="begin"/>
          </w:r>
          <w:r>
            <w:rPr>
              <w:rFonts w:hint="eastAsia"/>
            </w:rPr>
            <w:instrText xml:space="preserve"> </w:instrText>
          </w:r>
          <w:r>
            <w:instrText xml:space="preserve">PAGEREF _Toc225353443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"_Toc225353444" </w:instrText>
          </w:r>
          <w:r>
            <w:fldChar w:fldCharType="separate"/>
          </w:r>
          <w:r>
            <w:rPr>
              <w:rStyle w:val="19"/>
              <w:rFonts w:hint="eastAsia" w:ascii="Times New Roman" w:hAnsi="Times New Roman" w:cs="仿宋_GB2312"/>
            </w:rPr>
            <w:t>（六） 专柜</w:t>
          </w:r>
          <w:r>
            <w:rPr>
              <w:rFonts w:hint="eastAsia"/>
            </w:rPr>
            <w:tab/>
          </w:r>
          <w:r>
            <w:rPr>
              <w:rFonts w:hint="eastAsia"/>
            </w:rPr>
            <w:fldChar w:fldCharType="begin"/>
          </w:r>
          <w:r>
            <w:rPr>
              <w:rFonts w:hint="eastAsia"/>
            </w:rPr>
            <w:instrText xml:space="preserve"> </w:instrText>
          </w:r>
          <w:r>
            <w:instrText xml:space="preserve">PAGEREF _Toc225353444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"_Toc225353445" </w:instrText>
          </w:r>
          <w:r>
            <w:fldChar w:fldCharType="separate"/>
          </w:r>
          <w:r>
            <w:rPr>
              <w:rStyle w:val="19"/>
              <w:rFonts w:hint="eastAsia" w:ascii="Times New Roman" w:hAnsi="Times New Roman" w:cs="仿宋_GB2312"/>
            </w:rPr>
            <w:t>（七） 储罐</w:t>
          </w:r>
          <w:r>
            <w:rPr>
              <w:rFonts w:hint="eastAsia"/>
            </w:rPr>
            <w:tab/>
          </w:r>
          <w:r>
            <w:rPr>
              <w:rFonts w:hint="eastAsia"/>
            </w:rPr>
            <w:fldChar w:fldCharType="begin"/>
          </w:r>
          <w:r>
            <w:rPr>
              <w:rFonts w:hint="eastAsia"/>
            </w:rPr>
            <w:instrText xml:space="preserve"> </w:instrText>
          </w:r>
          <w:r>
            <w:instrText xml:space="preserve">PAGEREF _Toc225353445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"_Toc225353446" </w:instrText>
          </w:r>
          <w:r>
            <w:fldChar w:fldCharType="separate"/>
          </w:r>
          <w:r>
            <w:rPr>
              <w:rStyle w:val="19"/>
              <w:rFonts w:hint="eastAsia" w:ascii="Times New Roman" w:hAnsi="Times New Roman" w:eastAsia="楷体_GB2312" w:cs="楷体_GB2312"/>
            </w:rPr>
            <w:t>第五节 危化品使用管理</w:t>
          </w:r>
          <w:r>
            <w:rPr>
              <w:rFonts w:hint="eastAsia"/>
            </w:rPr>
            <w:tab/>
          </w:r>
          <w:r>
            <w:rPr>
              <w:rFonts w:hint="eastAsia"/>
            </w:rPr>
            <w:fldChar w:fldCharType="begin"/>
          </w:r>
          <w:r>
            <w:rPr>
              <w:rFonts w:hint="eastAsia"/>
            </w:rPr>
            <w:instrText xml:space="preserve"> </w:instrText>
          </w:r>
          <w:r>
            <w:instrText xml:space="preserve">PAGEREF _Toc225353446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"_Toc225353447" </w:instrText>
          </w:r>
          <w:r>
            <w:fldChar w:fldCharType="separate"/>
          </w:r>
          <w:r>
            <w:rPr>
              <w:rStyle w:val="19"/>
              <w:rFonts w:hint="eastAsia" w:ascii="Times New Roman" w:hAnsi="Times New Roman" w:eastAsia="楷体_GB2312" w:cs="楷体_GB2312"/>
            </w:rPr>
            <w:t>第六节 危化品废弃处置管理</w:t>
          </w:r>
          <w:r>
            <w:rPr>
              <w:rFonts w:hint="eastAsia"/>
            </w:rPr>
            <w:tab/>
          </w:r>
          <w:r>
            <w:rPr>
              <w:rFonts w:hint="eastAsia"/>
            </w:rPr>
            <w:fldChar w:fldCharType="begin"/>
          </w:r>
          <w:r>
            <w:rPr>
              <w:rFonts w:hint="eastAsia"/>
            </w:rPr>
            <w:instrText xml:space="preserve"> </w:instrText>
          </w:r>
          <w:r>
            <w:instrText xml:space="preserve">PAGEREF _Toc225353447 \h</w:instrText>
          </w:r>
          <w:r>
            <w:rPr>
              <w:rFonts w:hint="eastAsia"/>
            </w:rPr>
            <w:instrText xml:space="preserve"> </w:instrText>
          </w:r>
          <w:r>
            <w:rPr>
              <w:rFonts w:hint="eastAsia"/>
            </w:rPr>
            <w:fldChar w:fldCharType="separate"/>
          </w:r>
          <w:r>
            <w:rPr>
              <w:rFonts w:hint="eastAsia"/>
            </w:rPr>
            <w:t>40</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"_Toc225353448" </w:instrText>
          </w:r>
          <w:r>
            <w:fldChar w:fldCharType="separate"/>
          </w:r>
          <w:r>
            <w:rPr>
              <w:rStyle w:val="19"/>
              <w:rFonts w:hint="eastAsia" w:ascii="Times New Roman" w:hAnsi="Times New Roman" w:eastAsia="楷体_GB2312" w:cs="楷体_GB2312"/>
            </w:rPr>
            <w:t>第七节 危险化学品使用单位退出管理</w:t>
          </w:r>
          <w:r>
            <w:rPr>
              <w:rFonts w:hint="eastAsia"/>
            </w:rPr>
            <w:tab/>
          </w:r>
          <w:r>
            <w:rPr>
              <w:rFonts w:hint="eastAsia"/>
            </w:rPr>
            <w:fldChar w:fldCharType="begin"/>
          </w:r>
          <w:r>
            <w:rPr>
              <w:rFonts w:hint="eastAsia"/>
            </w:rPr>
            <w:instrText xml:space="preserve"> </w:instrText>
          </w:r>
          <w:r>
            <w:instrText xml:space="preserve">PAGEREF _Toc225353448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"_Toc225353449" </w:instrText>
          </w:r>
          <w:r>
            <w:fldChar w:fldCharType="separate"/>
          </w:r>
          <w:r>
            <w:rPr>
              <w:rStyle w:val="19"/>
              <w:rFonts w:hint="eastAsia" w:ascii="Times New Roman" w:hAnsi="Times New Roman" w:eastAsia="楷体_GB2312" w:cs="楷体_GB2312"/>
            </w:rPr>
            <w:t>第八节 应急管理</w:t>
          </w:r>
          <w:r>
            <w:rPr>
              <w:rFonts w:hint="eastAsia"/>
            </w:rPr>
            <w:tab/>
          </w:r>
          <w:r>
            <w:rPr>
              <w:rFonts w:hint="eastAsia"/>
            </w:rPr>
            <w:fldChar w:fldCharType="begin"/>
          </w:r>
          <w:r>
            <w:rPr>
              <w:rFonts w:hint="eastAsia"/>
            </w:rPr>
            <w:instrText xml:space="preserve"> </w:instrText>
          </w:r>
          <w:r>
            <w:instrText xml:space="preserve">PAGEREF _Toc225353449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"_Toc225353450" </w:instrText>
          </w:r>
          <w:r>
            <w:fldChar w:fldCharType="separate"/>
          </w:r>
          <w:r>
            <w:rPr>
              <w:rStyle w:val="19"/>
              <w:rFonts w:hint="eastAsia" w:ascii="Times New Roman" w:hAnsi="Times New Roman" w:cs="仿宋_GB2312"/>
            </w:rPr>
            <w:t>（一） 应急准备</w:t>
          </w:r>
          <w:r>
            <w:rPr>
              <w:rFonts w:hint="eastAsia"/>
            </w:rPr>
            <w:tab/>
          </w:r>
          <w:r>
            <w:rPr>
              <w:rFonts w:hint="eastAsia"/>
            </w:rPr>
            <w:fldChar w:fldCharType="begin"/>
          </w:r>
          <w:r>
            <w:rPr>
              <w:rFonts w:hint="eastAsia"/>
            </w:rPr>
            <w:instrText xml:space="preserve"> </w:instrText>
          </w:r>
          <w:r>
            <w:instrText xml:space="preserve">PAGEREF _Toc225353450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"_Toc225353451" </w:instrText>
          </w:r>
          <w:r>
            <w:fldChar w:fldCharType="separate"/>
          </w:r>
          <w:r>
            <w:rPr>
              <w:rStyle w:val="19"/>
              <w:rFonts w:hint="eastAsia" w:ascii="Times New Roman" w:hAnsi="Times New Roman" w:cs="仿宋_GB2312"/>
            </w:rPr>
            <w:t>（二） 应急响应及处置</w:t>
          </w:r>
          <w:r>
            <w:rPr>
              <w:rFonts w:hint="eastAsia"/>
            </w:rPr>
            <w:tab/>
          </w:r>
          <w:r>
            <w:rPr>
              <w:rFonts w:hint="eastAsia"/>
            </w:rPr>
            <w:fldChar w:fldCharType="begin"/>
          </w:r>
          <w:r>
            <w:rPr>
              <w:rFonts w:hint="eastAsia"/>
            </w:rPr>
            <w:instrText xml:space="preserve"> </w:instrText>
          </w:r>
          <w:r>
            <w:instrText xml:space="preserve">PAGEREF _Toc225353451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pPr>
            <w:pStyle w:val="11"/>
            <w:rPr>
              <w:rFonts w:asciiTheme="minorHAnsi" w:hAnsiTheme="minorHAnsi" w:eastAsiaTheme="minorEastAsia"/>
              <w:sz w:val="22"/>
              <w14:ligatures w14:val="standardContextual"/>
            </w:rPr>
          </w:pPr>
          <w:r>
            <w:fldChar w:fldCharType="begin"/>
          </w:r>
          <w:r>
            <w:instrText xml:space="preserve"> HYPERLINK \l "_Toc225353452" </w:instrText>
          </w:r>
          <w:r>
            <w:fldChar w:fldCharType="separate"/>
          </w:r>
          <w:r>
            <w:rPr>
              <w:rStyle w:val="19"/>
              <w:rFonts w:hint="eastAsia" w:ascii="Times New Roman" w:hAnsi="Times New Roman" w:eastAsia="黑体" w:cs="黑体"/>
            </w:rPr>
            <w:t>第三章  化工和危险化学品生产经营企业重大生产安全事故隐患判定准则</w:t>
          </w:r>
          <w:r>
            <w:rPr>
              <w:rFonts w:hint="eastAsia"/>
            </w:rPr>
            <w:tab/>
          </w:r>
          <w:r>
            <w:rPr>
              <w:rFonts w:hint="eastAsia"/>
            </w:rPr>
            <w:fldChar w:fldCharType="begin"/>
          </w:r>
          <w:r>
            <w:rPr>
              <w:rFonts w:hint="eastAsia"/>
            </w:rPr>
            <w:instrText xml:space="preserve"> </w:instrText>
          </w:r>
          <w:r>
            <w:instrText xml:space="preserve">PAGEREF _Toc225353452 \h</w:instrText>
          </w:r>
          <w:r>
            <w:rPr>
              <w:rFonts w:hint="eastAsia"/>
            </w:rPr>
            <w:instrText xml:space="preserve"> </w:instrText>
          </w:r>
          <w:r>
            <w:rPr>
              <w:rFonts w:hint="eastAsia"/>
            </w:rPr>
            <w:fldChar w:fldCharType="separate"/>
          </w:r>
          <w:r>
            <w:rPr>
              <w:rFonts w:hint="eastAsia"/>
            </w:rPr>
            <w:t>49</w:t>
          </w:r>
          <w:r>
            <w:rPr>
              <w:rFonts w:hint="eastAsia"/>
            </w:rPr>
            <w:fldChar w:fldCharType="end"/>
          </w:r>
          <w:r>
            <w:rPr>
              <w:rFonts w:hint="eastAsia"/>
            </w:rPr>
            <w:fldChar w:fldCharType="end"/>
          </w:r>
        </w:p>
        <w:p>
          <w:pPr>
            <w:pStyle w:val="11"/>
            <w:rPr>
              <w:rFonts w:asciiTheme="minorHAnsi" w:hAnsiTheme="minorHAnsi" w:eastAsiaTheme="minorEastAsia"/>
              <w:sz w:val="22"/>
              <w14:ligatures w14:val="standardContextual"/>
            </w:rPr>
          </w:pPr>
          <w:r>
            <w:fldChar w:fldCharType="begin"/>
          </w:r>
          <w:r>
            <w:instrText xml:space="preserve"> HYPERLINK \l "_Toc225353453" </w:instrText>
          </w:r>
          <w:r>
            <w:fldChar w:fldCharType="separate"/>
          </w:r>
          <w:r>
            <w:rPr>
              <w:rStyle w:val="19"/>
              <w:rFonts w:hint="eastAsia" w:ascii="Times New Roman" w:hAnsi="Times New Roman" w:eastAsia="黑体" w:cs="黑体"/>
            </w:rPr>
            <w:t>第四章  重点行业（领域）危险化学品管理要求</w:t>
          </w:r>
          <w:r>
            <w:rPr>
              <w:rFonts w:hint="eastAsia"/>
            </w:rPr>
            <w:tab/>
          </w:r>
          <w:r>
            <w:rPr>
              <w:rFonts w:hint="eastAsia"/>
            </w:rPr>
            <w:fldChar w:fldCharType="begin"/>
          </w:r>
          <w:r>
            <w:rPr>
              <w:rFonts w:hint="eastAsia"/>
            </w:rPr>
            <w:instrText xml:space="preserve"> </w:instrText>
          </w:r>
          <w:r>
            <w:instrText xml:space="preserve">PAGEREF _Toc225353453 \h</w:instrText>
          </w:r>
          <w:r>
            <w:rPr>
              <w:rFonts w:hint="eastAsia"/>
            </w:rPr>
            <w:instrText xml:space="preserve"> </w:instrText>
          </w:r>
          <w:r>
            <w:rPr>
              <w:rFonts w:hint="eastAsia"/>
            </w:rPr>
            <w:fldChar w:fldCharType="separate"/>
          </w:r>
          <w:r>
            <w:rPr>
              <w:rFonts w:hint="eastAsia"/>
            </w:rPr>
            <w:t>55</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"_Toc225353454" </w:instrText>
          </w:r>
          <w:r>
            <w:fldChar w:fldCharType="separate"/>
          </w:r>
          <w:r>
            <w:rPr>
              <w:rStyle w:val="19"/>
              <w:rFonts w:hint="eastAsia" w:ascii="Times New Roman" w:hAnsi="Times New Roman" w:eastAsia="楷体_GB2312" w:cs="楷体_GB2312"/>
            </w:rPr>
            <w:t>第一节 常用化学品气体管理要求</w:t>
          </w:r>
          <w:r>
            <w:rPr>
              <w:rFonts w:hint="eastAsia"/>
            </w:rPr>
            <w:tab/>
          </w:r>
          <w:r>
            <w:rPr>
              <w:rFonts w:hint="eastAsia"/>
            </w:rPr>
            <w:fldChar w:fldCharType="begin"/>
          </w:r>
          <w:r>
            <w:rPr>
              <w:rFonts w:hint="eastAsia"/>
            </w:rPr>
            <w:instrText xml:space="preserve"> </w:instrText>
          </w:r>
          <w:r>
            <w:instrText xml:space="preserve">PAGEREF _Toc225353454 \h</w:instrText>
          </w:r>
          <w:r>
            <w:rPr>
              <w:rFonts w:hint="eastAsia"/>
            </w:rPr>
            <w:instrText xml:space="preserve"> </w:instrText>
          </w:r>
          <w:r>
            <w:rPr>
              <w:rFonts w:hint="eastAsia"/>
            </w:rPr>
            <w:fldChar w:fldCharType="separate"/>
          </w:r>
          <w:r>
            <w:rPr>
              <w:rFonts w:hint="eastAsia"/>
            </w:rPr>
            <w:t>55</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"_Toc225353455" </w:instrText>
          </w:r>
          <w:r>
            <w:fldChar w:fldCharType="separate"/>
          </w:r>
          <w:r>
            <w:rPr>
              <w:rStyle w:val="19"/>
              <w:rFonts w:hint="eastAsia" w:ascii="Times New Roman" w:hAnsi="Times New Roman" w:cs="仿宋_GB2312"/>
            </w:rPr>
            <w:t>（一） 低温液态气体管理要求</w:t>
          </w:r>
          <w:r>
            <w:rPr>
              <w:rFonts w:hint="eastAsia"/>
            </w:rPr>
            <w:tab/>
          </w:r>
          <w:r>
            <w:rPr>
              <w:rFonts w:hint="eastAsia"/>
            </w:rPr>
            <w:fldChar w:fldCharType="begin"/>
          </w:r>
          <w:r>
            <w:rPr>
              <w:rFonts w:hint="eastAsia"/>
            </w:rPr>
            <w:instrText xml:space="preserve"> </w:instrText>
          </w:r>
          <w:r>
            <w:instrText xml:space="preserve">PAGEREF _Toc225353455 \h</w:instrText>
          </w:r>
          <w:r>
            <w:rPr>
              <w:rFonts w:hint="eastAsia"/>
            </w:rPr>
            <w:instrText xml:space="preserve"> </w:instrText>
          </w:r>
          <w:r>
            <w:rPr>
              <w:rFonts w:hint="eastAsia"/>
            </w:rPr>
            <w:fldChar w:fldCharType="separate"/>
          </w:r>
          <w:r>
            <w:rPr>
              <w:rFonts w:hint="eastAsia"/>
            </w:rPr>
            <w:t>55</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"_Toc225353456" </w:instrText>
          </w:r>
          <w:r>
            <w:fldChar w:fldCharType="separate"/>
          </w:r>
          <w:r>
            <w:rPr>
              <w:rStyle w:val="19"/>
              <w:rFonts w:hint="eastAsia" w:ascii="Times New Roman" w:hAnsi="Times New Roman" w:cs="仿宋_GB2312"/>
            </w:rPr>
            <w:t>（二） 特殊气体管理要求</w:t>
          </w:r>
          <w:r>
            <w:rPr>
              <w:rFonts w:hint="eastAsia"/>
            </w:rPr>
            <w:tab/>
          </w:r>
          <w:r>
            <w:rPr>
              <w:rFonts w:hint="eastAsia"/>
            </w:rPr>
            <w:fldChar w:fldCharType="begin"/>
          </w:r>
          <w:r>
            <w:rPr>
              <w:rFonts w:hint="eastAsia"/>
            </w:rPr>
            <w:instrText xml:space="preserve"> </w:instrText>
          </w:r>
          <w:r>
            <w:instrText xml:space="preserve">PAGEREF _Toc225353456 \h</w:instrText>
          </w:r>
          <w:r>
            <w:rPr>
              <w:rFonts w:hint="eastAsia"/>
            </w:rPr>
            <w:instrText xml:space="preserve"> </w:instrText>
          </w:r>
          <w:r>
            <w:rPr>
              <w:rFonts w:hint="eastAsia"/>
            </w:rPr>
            <w:fldChar w:fldCharType="separate"/>
          </w:r>
          <w:r>
            <w:rPr>
              <w:rFonts w:hint="eastAsia"/>
            </w:rPr>
            <w:t>58</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"_Toc225353457" </w:instrText>
          </w:r>
          <w:r>
            <w:fldChar w:fldCharType="separate"/>
          </w:r>
          <w:r>
            <w:rPr>
              <w:rStyle w:val="19"/>
              <w:rFonts w:hint="eastAsia" w:ascii="Times New Roman" w:hAnsi="Times New Roman" w:cs="仿宋_GB2312"/>
            </w:rPr>
            <w:t>（三） 大宗气体</w:t>
          </w:r>
          <w:r>
            <w:rPr>
              <w:rFonts w:hint="eastAsia"/>
            </w:rPr>
            <w:tab/>
          </w:r>
          <w:r>
            <w:rPr>
              <w:rFonts w:hint="eastAsia"/>
            </w:rPr>
            <w:fldChar w:fldCharType="begin"/>
          </w:r>
          <w:r>
            <w:rPr>
              <w:rFonts w:hint="eastAsia"/>
            </w:rPr>
            <w:instrText xml:space="preserve"> </w:instrText>
          </w:r>
          <w:r>
            <w:instrText xml:space="preserve">PAGEREF _Toc225353457 \h</w:instrText>
          </w:r>
          <w:r>
            <w:rPr>
              <w:rFonts w:hint="eastAsia"/>
            </w:rPr>
            <w:instrText xml:space="preserve"> </w:instrText>
          </w:r>
          <w:r>
            <w:rPr>
              <w:rFonts w:hint="eastAsia"/>
            </w:rPr>
            <w:fldChar w:fldCharType="separate"/>
          </w:r>
          <w:r>
            <w:rPr>
              <w:rFonts w:hint="eastAsia"/>
            </w:rPr>
            <w:t>67</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"_Toc225353458" </w:instrText>
          </w:r>
          <w:r>
            <w:fldChar w:fldCharType="separate"/>
          </w:r>
          <w:r>
            <w:rPr>
              <w:rStyle w:val="19"/>
              <w:rFonts w:hint="eastAsia" w:ascii="Times New Roman" w:hAnsi="Times New Roman" w:cs="仿宋_GB2312"/>
            </w:rPr>
            <w:t>（四） 氧气</w:t>
          </w:r>
          <w:r>
            <w:rPr>
              <w:rFonts w:hint="eastAsia"/>
            </w:rPr>
            <w:tab/>
          </w:r>
          <w:r>
            <w:rPr>
              <w:rFonts w:hint="eastAsia"/>
            </w:rPr>
            <w:fldChar w:fldCharType="begin"/>
          </w:r>
          <w:r>
            <w:rPr>
              <w:rFonts w:hint="eastAsia"/>
            </w:rPr>
            <w:instrText xml:space="preserve"> </w:instrText>
          </w:r>
          <w:r>
            <w:instrText xml:space="preserve">PAGEREF _Toc225353458 \h</w:instrText>
          </w:r>
          <w:r>
            <w:rPr>
              <w:rFonts w:hint="eastAsia"/>
            </w:rPr>
            <w:instrText xml:space="preserve"> </w:instrText>
          </w:r>
          <w:r>
            <w:rPr>
              <w:rFonts w:hint="eastAsia"/>
            </w:rPr>
            <w:fldChar w:fldCharType="separate"/>
          </w:r>
          <w:r>
            <w:rPr>
              <w:rFonts w:hint="eastAsia"/>
            </w:rPr>
            <w:t>68</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"_Toc225353459" </w:instrText>
          </w:r>
          <w:r>
            <w:fldChar w:fldCharType="separate"/>
          </w:r>
          <w:r>
            <w:rPr>
              <w:rStyle w:val="19"/>
              <w:rFonts w:hint="eastAsia" w:ascii="Times New Roman" w:hAnsi="Times New Roman" w:cs="仿宋_GB2312"/>
            </w:rPr>
            <w:t>（五） 氨气</w:t>
          </w:r>
          <w:r>
            <w:rPr>
              <w:rFonts w:hint="eastAsia"/>
            </w:rPr>
            <w:tab/>
          </w:r>
          <w:r>
            <w:rPr>
              <w:rFonts w:hint="eastAsia"/>
            </w:rPr>
            <w:fldChar w:fldCharType="begin"/>
          </w:r>
          <w:r>
            <w:rPr>
              <w:rFonts w:hint="eastAsia"/>
            </w:rPr>
            <w:instrText xml:space="preserve"> </w:instrText>
          </w:r>
          <w:r>
            <w:instrText xml:space="preserve">PAGEREF _Toc225353459 \h</w:instrText>
          </w:r>
          <w:r>
            <w:rPr>
              <w:rFonts w:hint="eastAsia"/>
            </w:rPr>
            <w:instrText xml:space="preserve"> </w:instrText>
          </w:r>
          <w:r>
            <w:rPr>
              <w:rFonts w:hint="eastAsia"/>
            </w:rPr>
            <w:fldChar w:fldCharType="separate"/>
          </w:r>
          <w:r>
            <w:rPr>
              <w:rFonts w:hint="eastAsia"/>
            </w:rPr>
            <w:t>76</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"_Toc225353460" </w:instrText>
          </w:r>
          <w:r>
            <w:fldChar w:fldCharType="separate"/>
          </w:r>
          <w:r>
            <w:rPr>
              <w:rStyle w:val="19"/>
              <w:rFonts w:hint="eastAsia" w:ascii="Times New Roman" w:hAnsi="Times New Roman" w:cs="仿宋_GB2312"/>
            </w:rPr>
            <w:t>（六） 氢气</w:t>
          </w:r>
          <w:r>
            <w:rPr>
              <w:rFonts w:hint="eastAsia"/>
            </w:rPr>
            <w:tab/>
          </w:r>
          <w:r>
            <w:rPr>
              <w:rFonts w:hint="eastAsia"/>
            </w:rPr>
            <w:fldChar w:fldCharType="begin"/>
          </w:r>
          <w:r>
            <w:rPr>
              <w:rFonts w:hint="eastAsia"/>
            </w:rPr>
            <w:instrText xml:space="preserve"> </w:instrText>
          </w:r>
          <w:r>
            <w:instrText xml:space="preserve">PAGEREF _Toc225353460 \h</w:instrText>
          </w:r>
          <w:r>
            <w:rPr>
              <w:rFonts w:hint="eastAsia"/>
            </w:rPr>
            <w:instrText xml:space="preserve"> </w:instrText>
          </w:r>
          <w:r>
            <w:rPr>
              <w:rFonts w:hint="eastAsia"/>
            </w:rPr>
            <w:fldChar w:fldCharType="separate"/>
          </w:r>
          <w:r>
            <w:rPr>
              <w:rFonts w:hint="eastAsia"/>
            </w:rPr>
            <w:t>87</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"_Toc225353461" </w:instrText>
          </w:r>
          <w:r>
            <w:fldChar w:fldCharType="separate"/>
          </w:r>
          <w:r>
            <w:rPr>
              <w:rStyle w:val="19"/>
              <w:rFonts w:hint="eastAsia" w:ascii="Times New Roman" w:hAnsi="Times New Roman" w:cs="仿宋_GB2312"/>
            </w:rPr>
            <w:t>（七） 液氯</w:t>
          </w:r>
          <w:r>
            <w:rPr>
              <w:rFonts w:hint="eastAsia"/>
            </w:rPr>
            <w:tab/>
          </w:r>
          <w:r>
            <w:rPr>
              <w:rFonts w:hint="eastAsia"/>
            </w:rPr>
            <w:fldChar w:fldCharType="begin"/>
          </w:r>
          <w:r>
            <w:rPr>
              <w:rFonts w:hint="eastAsia"/>
            </w:rPr>
            <w:instrText xml:space="preserve"> </w:instrText>
          </w:r>
          <w:r>
            <w:instrText xml:space="preserve">PAGEREF _Toc225353461 \h</w:instrText>
          </w:r>
          <w:r>
            <w:rPr>
              <w:rFonts w:hint="eastAsia"/>
            </w:rPr>
            <w:instrText xml:space="preserve"> </w:instrText>
          </w:r>
          <w:r>
            <w:rPr>
              <w:rFonts w:hint="eastAsia"/>
            </w:rPr>
            <w:fldChar w:fldCharType="separate"/>
          </w:r>
          <w:r>
            <w:rPr>
              <w:rFonts w:hint="eastAsia"/>
            </w:rPr>
            <w:t>97</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"_Toc225353462" </w:instrText>
          </w:r>
          <w:r>
            <w:fldChar w:fldCharType="separate"/>
          </w:r>
          <w:r>
            <w:rPr>
              <w:rStyle w:val="19"/>
              <w:rFonts w:hint="eastAsia" w:ascii="Times New Roman" w:hAnsi="Times New Roman" w:eastAsia="楷体_GB2312" w:cs="楷体_GB2312"/>
            </w:rPr>
            <w:t>第二节 实验室化学品管理要求</w:t>
          </w:r>
          <w:r>
            <w:rPr>
              <w:rFonts w:hint="eastAsia"/>
            </w:rPr>
            <w:tab/>
          </w:r>
          <w:r>
            <w:rPr>
              <w:rFonts w:hint="eastAsia"/>
            </w:rPr>
            <w:fldChar w:fldCharType="begin"/>
          </w:r>
          <w:r>
            <w:rPr>
              <w:rFonts w:hint="eastAsia"/>
            </w:rPr>
            <w:instrText xml:space="preserve"> </w:instrText>
          </w:r>
          <w:r>
            <w:instrText xml:space="preserve">PAGEREF _Toc225353462 \h</w:instrText>
          </w:r>
          <w:r>
            <w:rPr>
              <w:rFonts w:hint="eastAsia"/>
            </w:rPr>
            <w:instrText xml:space="preserve"> </w:instrText>
          </w:r>
          <w:r>
            <w:rPr>
              <w:rFonts w:hint="eastAsia"/>
            </w:rPr>
            <w:fldChar w:fldCharType="separate"/>
          </w:r>
          <w:r>
            <w:rPr>
              <w:rFonts w:hint="eastAsia"/>
            </w:rPr>
            <w:t>104</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"_Toc225353463" </w:instrText>
          </w:r>
          <w:r>
            <w:fldChar w:fldCharType="separate"/>
          </w:r>
          <w:r>
            <w:rPr>
              <w:rStyle w:val="19"/>
              <w:rFonts w:hint="eastAsia" w:ascii="Times New Roman" w:hAnsi="Times New Roman" w:cs="仿宋_GB2312"/>
            </w:rPr>
            <w:t>（一） 医药制造企业实验室化学品管理要求</w:t>
          </w:r>
          <w:r>
            <w:rPr>
              <w:rFonts w:hint="eastAsia"/>
            </w:rPr>
            <w:tab/>
          </w:r>
          <w:r>
            <w:rPr>
              <w:rFonts w:hint="eastAsia"/>
            </w:rPr>
            <w:fldChar w:fldCharType="begin"/>
          </w:r>
          <w:r>
            <w:rPr>
              <w:rFonts w:hint="eastAsia"/>
            </w:rPr>
            <w:instrText xml:space="preserve"> </w:instrText>
          </w:r>
          <w:r>
            <w:instrText xml:space="preserve">PAGEREF _Toc225353463 \h</w:instrText>
          </w:r>
          <w:r>
            <w:rPr>
              <w:rFonts w:hint="eastAsia"/>
            </w:rPr>
            <w:instrText xml:space="preserve"> </w:instrText>
          </w:r>
          <w:r>
            <w:rPr>
              <w:rFonts w:hint="eastAsia"/>
            </w:rPr>
            <w:fldChar w:fldCharType="separate"/>
          </w:r>
          <w:r>
            <w:rPr>
              <w:rFonts w:hint="eastAsia"/>
            </w:rPr>
            <w:t>104</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"_Toc225353464" </w:instrText>
          </w:r>
          <w:r>
            <w:fldChar w:fldCharType="separate"/>
          </w:r>
          <w:r>
            <w:rPr>
              <w:rStyle w:val="19"/>
              <w:rFonts w:hint="eastAsia" w:ascii="Times New Roman" w:hAnsi="Times New Roman" w:cs="仿宋_GB2312"/>
            </w:rPr>
            <w:t>（二） 科研实验室化学品管理要求</w:t>
          </w:r>
          <w:r>
            <w:rPr>
              <w:rFonts w:hint="eastAsia"/>
            </w:rPr>
            <w:tab/>
          </w:r>
          <w:r>
            <w:rPr>
              <w:rFonts w:hint="eastAsia"/>
            </w:rPr>
            <w:fldChar w:fldCharType="begin"/>
          </w:r>
          <w:r>
            <w:rPr>
              <w:rFonts w:hint="eastAsia"/>
            </w:rPr>
            <w:instrText xml:space="preserve"> </w:instrText>
          </w:r>
          <w:r>
            <w:instrText xml:space="preserve">PAGEREF _Toc225353464 \h</w:instrText>
          </w:r>
          <w:r>
            <w:rPr>
              <w:rFonts w:hint="eastAsia"/>
            </w:rPr>
            <w:instrText xml:space="preserve"> </w:instrText>
          </w:r>
          <w:r>
            <w:rPr>
              <w:rFonts w:hint="eastAsia"/>
            </w:rPr>
            <w:fldChar w:fldCharType="separate"/>
          </w:r>
          <w:r>
            <w:rPr>
              <w:rFonts w:hint="eastAsia"/>
            </w:rPr>
            <w:t>106</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"_Toc225353465" </w:instrText>
          </w:r>
          <w:r>
            <w:fldChar w:fldCharType="separate"/>
          </w:r>
          <w:r>
            <w:rPr>
              <w:rStyle w:val="19"/>
              <w:rFonts w:hint="eastAsia" w:ascii="Times New Roman" w:hAnsi="Times New Roman" w:cs="仿宋_GB2312"/>
            </w:rPr>
            <w:t>（三） 普通高校实验室化学品管理要求</w:t>
          </w:r>
          <w:r>
            <w:rPr>
              <w:rFonts w:hint="eastAsia"/>
            </w:rPr>
            <w:tab/>
          </w:r>
          <w:r>
            <w:rPr>
              <w:rFonts w:hint="eastAsia"/>
            </w:rPr>
            <w:fldChar w:fldCharType="begin"/>
          </w:r>
          <w:r>
            <w:rPr>
              <w:rFonts w:hint="eastAsia"/>
            </w:rPr>
            <w:instrText xml:space="preserve"> </w:instrText>
          </w:r>
          <w:r>
            <w:instrText xml:space="preserve">PAGEREF _Toc225353465 \h</w:instrText>
          </w:r>
          <w:r>
            <w:rPr>
              <w:rFonts w:hint="eastAsia"/>
            </w:rPr>
            <w:instrText xml:space="preserve"> </w:instrText>
          </w:r>
          <w:r>
            <w:rPr>
              <w:rFonts w:hint="eastAsia"/>
            </w:rPr>
            <w:fldChar w:fldCharType="separate"/>
          </w:r>
          <w:r>
            <w:rPr>
              <w:rFonts w:hint="eastAsia"/>
            </w:rPr>
            <w:t>123</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"_Toc225353466" </w:instrText>
          </w:r>
          <w:r>
            <w:fldChar w:fldCharType="separate"/>
          </w:r>
          <w:r>
            <w:rPr>
              <w:rStyle w:val="19"/>
              <w:rFonts w:hint="eastAsia" w:ascii="Times New Roman" w:hAnsi="Times New Roman" w:cs="仿宋_GB2312"/>
            </w:rPr>
            <w:t>（四） 医疗卫生机构实验室化学品管理要求</w:t>
          </w:r>
          <w:r>
            <w:rPr>
              <w:rFonts w:hint="eastAsia"/>
            </w:rPr>
            <w:tab/>
          </w:r>
          <w:r>
            <w:rPr>
              <w:rFonts w:hint="eastAsia"/>
            </w:rPr>
            <w:fldChar w:fldCharType="begin"/>
          </w:r>
          <w:r>
            <w:rPr>
              <w:rFonts w:hint="eastAsia"/>
            </w:rPr>
            <w:instrText xml:space="preserve"> </w:instrText>
          </w:r>
          <w:r>
            <w:instrText xml:space="preserve">PAGEREF _Toc225353466 \h</w:instrText>
          </w:r>
          <w:r>
            <w:rPr>
              <w:rFonts w:hint="eastAsia"/>
            </w:rPr>
            <w:instrText xml:space="preserve"> </w:instrText>
          </w:r>
          <w:r>
            <w:rPr>
              <w:rFonts w:hint="eastAsia"/>
            </w:rPr>
            <w:fldChar w:fldCharType="separate"/>
          </w:r>
          <w:r>
            <w:rPr>
              <w:rFonts w:hint="eastAsia"/>
            </w:rPr>
            <w:t>129</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"_Toc225353467" </w:instrText>
          </w:r>
          <w:r>
            <w:fldChar w:fldCharType="separate"/>
          </w:r>
          <w:r>
            <w:rPr>
              <w:rStyle w:val="19"/>
              <w:rFonts w:hint="eastAsia" w:ascii="Times New Roman" w:hAnsi="Times New Roman" w:cs="仿宋_GB2312"/>
            </w:rPr>
            <w:t>（五） 工业企业实验室化学品管理要求</w:t>
          </w:r>
          <w:r>
            <w:rPr>
              <w:rFonts w:hint="eastAsia"/>
            </w:rPr>
            <w:tab/>
          </w:r>
          <w:r>
            <w:rPr>
              <w:rFonts w:hint="eastAsia"/>
            </w:rPr>
            <w:fldChar w:fldCharType="begin"/>
          </w:r>
          <w:r>
            <w:rPr>
              <w:rFonts w:hint="eastAsia"/>
            </w:rPr>
            <w:instrText xml:space="preserve"> </w:instrText>
          </w:r>
          <w:r>
            <w:instrText xml:space="preserve">PAGEREF _Toc225353467 \h</w:instrText>
          </w:r>
          <w:r>
            <w:rPr>
              <w:rFonts w:hint="eastAsia"/>
            </w:rPr>
            <w:instrText xml:space="preserve"> </w:instrText>
          </w:r>
          <w:r>
            <w:rPr>
              <w:rFonts w:hint="eastAsia"/>
            </w:rPr>
            <w:fldChar w:fldCharType="separate"/>
          </w:r>
          <w:r>
            <w:rPr>
              <w:rFonts w:hint="eastAsia"/>
            </w:rPr>
            <w:t>133</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"_Toc225353468" </w:instrText>
          </w:r>
          <w:r>
            <w:fldChar w:fldCharType="separate"/>
          </w:r>
          <w:r>
            <w:rPr>
              <w:rStyle w:val="19"/>
              <w:rFonts w:hint="eastAsia" w:ascii="Times New Roman" w:hAnsi="Times New Roman" w:cs="仿宋_GB2312"/>
            </w:rPr>
            <w:t>（六） 中学实验室化学品管理要求</w:t>
          </w:r>
          <w:r>
            <w:rPr>
              <w:rFonts w:hint="eastAsia"/>
            </w:rPr>
            <w:tab/>
          </w:r>
          <w:r>
            <w:rPr>
              <w:rFonts w:hint="eastAsia"/>
            </w:rPr>
            <w:fldChar w:fldCharType="begin"/>
          </w:r>
          <w:r>
            <w:rPr>
              <w:rFonts w:hint="eastAsia"/>
            </w:rPr>
            <w:instrText xml:space="preserve"> </w:instrText>
          </w:r>
          <w:r>
            <w:instrText xml:space="preserve">PAGEREF _Toc225353468 \h</w:instrText>
          </w:r>
          <w:r>
            <w:rPr>
              <w:rFonts w:hint="eastAsia"/>
            </w:rPr>
            <w:instrText xml:space="preserve"> </w:instrText>
          </w:r>
          <w:r>
            <w:rPr>
              <w:rFonts w:hint="eastAsia"/>
            </w:rPr>
            <w:fldChar w:fldCharType="separate"/>
          </w:r>
          <w:r>
            <w:rPr>
              <w:rFonts w:hint="eastAsia"/>
            </w:rPr>
            <w:t>139</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"_Toc225353469" </w:instrText>
          </w:r>
          <w:r>
            <w:fldChar w:fldCharType="separate"/>
          </w:r>
          <w:r>
            <w:rPr>
              <w:rStyle w:val="19"/>
              <w:rFonts w:hint="eastAsia" w:ascii="Times New Roman" w:hAnsi="Times New Roman" w:cs="仿宋_GB2312"/>
            </w:rPr>
            <w:t>（七） 检测实验室化学品管理要求</w:t>
          </w:r>
          <w:r>
            <w:rPr>
              <w:rFonts w:hint="eastAsia"/>
            </w:rPr>
            <w:tab/>
          </w:r>
          <w:r>
            <w:rPr>
              <w:rFonts w:hint="eastAsia"/>
            </w:rPr>
            <w:fldChar w:fldCharType="begin"/>
          </w:r>
          <w:r>
            <w:rPr>
              <w:rFonts w:hint="eastAsia"/>
            </w:rPr>
            <w:instrText xml:space="preserve"> </w:instrText>
          </w:r>
          <w:r>
            <w:instrText xml:space="preserve">PAGEREF _Toc225353469 \h</w:instrText>
          </w:r>
          <w:r>
            <w:rPr>
              <w:rFonts w:hint="eastAsia"/>
            </w:rPr>
            <w:instrText xml:space="preserve"> </w:instrText>
          </w:r>
          <w:r>
            <w:rPr>
              <w:rFonts w:hint="eastAsia"/>
            </w:rPr>
            <w:fldChar w:fldCharType="separate"/>
          </w:r>
          <w:r>
            <w:rPr>
              <w:rFonts w:hint="eastAsia"/>
            </w:rPr>
            <w:t>147</w:t>
          </w:r>
          <w:r>
            <w:rPr>
              <w:rFonts w:hint="eastAsia"/>
            </w:rPr>
            <w:fldChar w:fldCharType="end"/>
          </w:r>
          <w:r>
            <w:rPr>
              <w:rFonts w:hint="eastAsia"/>
            </w:rPr>
            <w:fldChar w:fldCharType="end"/>
          </w:r>
        </w:p>
        <w:p>
          <w:pPr>
            <w:pStyle w:val="7"/>
            <w:rPr>
              <w:rFonts w:asciiTheme="minorHAnsi" w:hAnsiTheme="minorHAnsi" w:eastAsiaTheme="minorEastAsia"/>
              <w:sz w:val="22"/>
              <w14:ligatures w14:val="standardContextual"/>
            </w:rPr>
          </w:pPr>
          <w:r>
            <w:fldChar w:fldCharType="begin"/>
          </w:r>
          <w:r>
            <w:instrText xml:space="preserve"> HYPERLINK \l "_Toc225353470" </w:instrText>
          </w:r>
          <w:r>
            <w:fldChar w:fldCharType="separate"/>
          </w:r>
          <w:r>
            <w:rPr>
              <w:rStyle w:val="19"/>
              <w:rFonts w:hint="eastAsia" w:ascii="Times New Roman" w:hAnsi="Times New Roman" w:cs="仿宋_GB2312"/>
            </w:rPr>
            <w:t>（八） 检验检疫实验室化学品管理要求</w:t>
          </w:r>
          <w:r>
            <w:rPr>
              <w:rFonts w:hint="eastAsia"/>
            </w:rPr>
            <w:tab/>
          </w:r>
          <w:r>
            <w:rPr>
              <w:rFonts w:hint="eastAsia"/>
            </w:rPr>
            <w:fldChar w:fldCharType="begin"/>
          </w:r>
          <w:r>
            <w:rPr>
              <w:rFonts w:hint="eastAsia"/>
            </w:rPr>
            <w:instrText xml:space="preserve"> </w:instrText>
          </w:r>
          <w:r>
            <w:instrText xml:space="preserve">PAGEREF _Toc225353470 \h</w:instrText>
          </w:r>
          <w:r>
            <w:rPr>
              <w:rFonts w:hint="eastAsia"/>
            </w:rPr>
            <w:instrText xml:space="preserve"> </w:instrText>
          </w:r>
          <w:r>
            <w:rPr>
              <w:rFonts w:hint="eastAsia"/>
            </w:rPr>
            <w:fldChar w:fldCharType="separate"/>
          </w:r>
          <w:r>
            <w:rPr>
              <w:rFonts w:hint="eastAsia"/>
            </w:rPr>
            <w:t>152</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"_Toc225353471" </w:instrText>
          </w:r>
          <w:r>
            <w:fldChar w:fldCharType="separate"/>
          </w:r>
          <w:r>
            <w:rPr>
              <w:rStyle w:val="19"/>
              <w:rFonts w:hint="eastAsia" w:ascii="Times New Roman" w:hAnsi="Times New Roman" w:eastAsia="楷体_GB2312" w:cs="楷体_GB2312"/>
            </w:rPr>
            <w:t>第三节 水处理行业次氯酸钠储罐场所管理要求</w:t>
          </w:r>
          <w:r>
            <w:rPr>
              <w:rFonts w:hint="eastAsia"/>
            </w:rPr>
            <w:tab/>
          </w:r>
          <w:r>
            <w:rPr>
              <w:rFonts w:hint="eastAsia"/>
            </w:rPr>
            <w:fldChar w:fldCharType="begin"/>
          </w:r>
          <w:r>
            <w:rPr>
              <w:rFonts w:hint="eastAsia"/>
            </w:rPr>
            <w:instrText xml:space="preserve"> </w:instrText>
          </w:r>
          <w:r>
            <w:instrText xml:space="preserve">PAGEREF _Toc225353471 \h</w:instrText>
          </w:r>
          <w:r>
            <w:rPr>
              <w:rFonts w:hint="eastAsia"/>
            </w:rPr>
            <w:instrText xml:space="preserve"> </w:instrText>
          </w:r>
          <w:r>
            <w:rPr>
              <w:rFonts w:hint="eastAsia"/>
            </w:rPr>
            <w:fldChar w:fldCharType="separate"/>
          </w:r>
          <w:r>
            <w:rPr>
              <w:rFonts w:hint="eastAsia"/>
            </w:rPr>
            <w:t>158</w:t>
          </w:r>
          <w:r>
            <w:rPr>
              <w:rFonts w:hint="eastAsia"/>
            </w:rPr>
            <w:fldChar w:fldCharType="end"/>
          </w:r>
          <w:r>
            <w:rPr>
              <w:rFonts w:hint="eastAsia"/>
            </w:rPr>
            <w:fldChar w:fldCharType="end"/>
          </w:r>
        </w:p>
        <w:p>
          <w:pPr>
            <w:pStyle w:val="11"/>
            <w:rPr>
              <w:rFonts w:asciiTheme="minorHAnsi" w:hAnsiTheme="minorHAnsi" w:eastAsiaTheme="minorEastAsia"/>
              <w:sz w:val="22"/>
              <w14:ligatures w14:val="standardContextual"/>
            </w:rPr>
          </w:pPr>
          <w:r>
            <w:fldChar w:fldCharType="begin"/>
          </w:r>
          <w:r>
            <w:instrText xml:space="preserve"> HYPERLINK \l "_Toc225353472" </w:instrText>
          </w:r>
          <w:r>
            <w:fldChar w:fldCharType="separate"/>
          </w:r>
          <w:r>
            <w:rPr>
              <w:rStyle w:val="19"/>
              <w:rFonts w:hint="eastAsia" w:ascii="Times New Roman" w:hAnsi="Times New Roman" w:eastAsia="黑体" w:cs="黑体"/>
            </w:rPr>
            <w:t>附件 危险化学品安全管理与技术资料</w:t>
          </w:r>
          <w:r>
            <w:rPr>
              <w:rFonts w:hint="eastAsia"/>
            </w:rPr>
            <w:tab/>
          </w:r>
          <w:r>
            <w:rPr>
              <w:rFonts w:hint="eastAsia"/>
            </w:rPr>
            <w:fldChar w:fldCharType="begin"/>
          </w:r>
          <w:r>
            <w:rPr>
              <w:rFonts w:hint="eastAsia"/>
            </w:rPr>
            <w:instrText xml:space="preserve"> </w:instrText>
          </w:r>
          <w:r>
            <w:instrText xml:space="preserve">PAGEREF _Toc225353472 \h</w:instrText>
          </w:r>
          <w:r>
            <w:rPr>
              <w:rFonts w:hint="eastAsia"/>
            </w:rPr>
            <w:instrText xml:space="preserve"> </w:instrText>
          </w:r>
          <w:r>
            <w:rPr>
              <w:rFonts w:hint="eastAsia"/>
            </w:rPr>
            <w:fldChar w:fldCharType="separate"/>
          </w:r>
          <w:r>
            <w:rPr>
              <w:rFonts w:hint="eastAsia"/>
            </w:rPr>
            <w:t>161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"_Toc225353473" </w:instrText>
          </w:r>
          <w:r>
            <w:fldChar w:fldCharType="separate"/>
          </w:r>
          <w:r>
            <w:rPr>
              <w:rStyle w:val="19"/>
              <w:rFonts w:hint="eastAsia" w:ascii="Times New Roman" w:hAnsi="Times New Roman" w:eastAsia="楷体_GB2312" w:cs="楷体_GB2312"/>
            </w:rPr>
            <w:t>附件1 常用危险化学品储存禁忌物配存表</w:t>
          </w:r>
          <w:r>
            <w:rPr>
              <w:rFonts w:hint="eastAsia"/>
            </w:rPr>
            <w:tab/>
          </w:r>
          <w:r>
            <w:rPr>
              <w:rFonts w:hint="eastAsia"/>
            </w:rPr>
            <w:fldChar w:fldCharType="begin"/>
          </w:r>
          <w:r>
            <w:rPr>
              <w:rFonts w:hint="eastAsia"/>
            </w:rPr>
            <w:instrText xml:space="preserve"> </w:instrText>
          </w:r>
          <w:r>
            <w:instrText xml:space="preserve">PAGEREF _Toc225353473 \h</w:instrText>
          </w:r>
          <w:r>
            <w:rPr>
              <w:rFonts w:hint="eastAsia"/>
            </w:rPr>
            <w:instrText xml:space="preserve"> </w:instrText>
          </w:r>
          <w:r>
            <w:rPr>
              <w:rFonts w:hint="eastAsia"/>
            </w:rPr>
            <w:fldChar w:fldCharType="separate"/>
          </w:r>
          <w:r>
            <w:rPr>
              <w:rFonts w:hint="eastAsia"/>
            </w:rPr>
            <w:t>161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"_Toc225353474" </w:instrText>
          </w:r>
          <w:r>
            <w:fldChar w:fldCharType="separate"/>
          </w:r>
          <w:r>
            <w:rPr>
              <w:rStyle w:val="19"/>
              <w:rFonts w:hint="eastAsia" w:ascii="Times New Roman" w:hAnsi="Times New Roman" w:eastAsia="楷体_GB2312" w:cs="楷体_GB2312"/>
            </w:rPr>
            <w:t>附件2 常见危险化学品分类分柜储存建议</w:t>
          </w:r>
          <w:r>
            <w:rPr>
              <w:rFonts w:hint="eastAsia"/>
            </w:rPr>
            <w:tab/>
          </w:r>
          <w:r>
            <w:rPr>
              <w:rFonts w:hint="eastAsia"/>
            </w:rPr>
            <w:fldChar w:fldCharType="begin"/>
          </w:r>
          <w:r>
            <w:rPr>
              <w:rFonts w:hint="eastAsia"/>
            </w:rPr>
            <w:instrText xml:space="preserve"> </w:instrText>
          </w:r>
          <w:r>
            <w:instrText xml:space="preserve">PAGEREF _Toc225353474 \h</w:instrText>
          </w:r>
          <w:r>
            <w:rPr>
              <w:rFonts w:hint="eastAsia"/>
            </w:rPr>
            <w:instrText xml:space="preserve"> </w:instrText>
          </w:r>
          <w:r>
            <w:rPr>
              <w:rFonts w:hint="eastAsia"/>
            </w:rPr>
            <w:fldChar w:fldCharType="separate"/>
          </w:r>
          <w:r>
            <w:rPr>
              <w:rFonts w:hint="eastAsia"/>
            </w:rPr>
            <w:t>162</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"_Toc225353475" </w:instrText>
          </w:r>
          <w:r>
            <w:fldChar w:fldCharType="separate"/>
          </w:r>
          <w:r>
            <w:rPr>
              <w:rStyle w:val="19"/>
              <w:rFonts w:hint="eastAsia" w:ascii="Times New Roman" w:hAnsi="Times New Roman" w:eastAsia="楷体_GB2312" w:cs="楷体_GB2312"/>
            </w:rPr>
            <w:t>附件3 易制毒化学品的分类和品种目录（2025年版）</w:t>
          </w:r>
          <w:r>
            <w:rPr>
              <w:rFonts w:hint="eastAsia"/>
            </w:rPr>
            <w:tab/>
          </w:r>
          <w:r>
            <w:rPr>
              <w:rFonts w:hint="eastAsia"/>
            </w:rPr>
            <w:fldChar w:fldCharType="begin"/>
          </w:r>
          <w:r>
            <w:rPr>
              <w:rFonts w:hint="eastAsia"/>
            </w:rPr>
            <w:instrText xml:space="preserve"> </w:instrText>
          </w:r>
          <w:r>
            <w:instrText xml:space="preserve">PAGEREF _Toc225353475 \h</w:instrText>
          </w:r>
          <w:r>
            <w:rPr>
              <w:rFonts w:hint="eastAsia"/>
            </w:rPr>
            <w:instrText xml:space="preserve"> </w:instrText>
          </w:r>
          <w:r>
            <w:rPr>
              <w:rFonts w:hint="eastAsia"/>
            </w:rPr>
            <w:fldChar w:fldCharType="separate"/>
          </w:r>
          <w:r>
            <w:rPr>
              <w:rFonts w:hint="eastAsia"/>
            </w:rPr>
            <w:t>165</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"_Toc225353476" </w:instrText>
          </w:r>
          <w:r>
            <w:fldChar w:fldCharType="separate"/>
          </w:r>
          <w:r>
            <w:rPr>
              <w:rStyle w:val="19"/>
              <w:rFonts w:hint="eastAsia" w:ascii="Times New Roman" w:hAnsi="Times New Roman" w:eastAsia="楷体_GB2312" w:cs="楷体_GB2312"/>
            </w:rPr>
            <w:t>附件4 实验室常见的危险化学物质</w:t>
          </w:r>
          <w:r>
            <w:rPr>
              <w:rFonts w:hint="eastAsia"/>
            </w:rPr>
            <w:tab/>
          </w:r>
          <w:r>
            <w:rPr>
              <w:rFonts w:hint="eastAsia"/>
            </w:rPr>
            <w:fldChar w:fldCharType="begin"/>
          </w:r>
          <w:r>
            <w:rPr>
              <w:rFonts w:hint="eastAsia"/>
            </w:rPr>
            <w:instrText xml:space="preserve"> </w:instrText>
          </w:r>
          <w:r>
            <w:instrText xml:space="preserve">PAGEREF _Toc225353476 \h</w:instrText>
          </w:r>
          <w:r>
            <w:rPr>
              <w:rFonts w:hint="eastAsia"/>
            </w:rPr>
            <w:instrText xml:space="preserve"> </w:instrText>
          </w:r>
          <w:r>
            <w:rPr>
              <w:rFonts w:hint="eastAsia"/>
            </w:rPr>
            <w:fldChar w:fldCharType="separate"/>
          </w:r>
          <w:r>
            <w:rPr>
              <w:rFonts w:hint="eastAsia"/>
            </w:rPr>
            <w:t>168</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"_Toc225353477" </w:instrText>
          </w:r>
          <w:r>
            <w:fldChar w:fldCharType="separate"/>
          </w:r>
          <w:r>
            <w:rPr>
              <w:rStyle w:val="19"/>
              <w:rFonts w:hint="eastAsia" w:ascii="Times New Roman" w:hAnsi="Times New Roman" w:eastAsia="楷体_GB2312" w:cs="楷体_GB2312"/>
            </w:rPr>
            <w:t>附件5 易制爆危险化学品名录</w:t>
          </w:r>
          <w:r>
            <w:rPr>
              <w:rFonts w:hint="eastAsia"/>
            </w:rPr>
            <w:tab/>
          </w:r>
          <w:r>
            <w:rPr>
              <w:rFonts w:hint="eastAsia"/>
            </w:rPr>
            <w:fldChar w:fldCharType="begin"/>
          </w:r>
          <w:r>
            <w:rPr>
              <w:rFonts w:hint="eastAsia"/>
            </w:rPr>
            <w:instrText xml:space="preserve"> </w:instrText>
          </w:r>
          <w:r>
            <w:instrText xml:space="preserve">PAGEREF _Toc225353477 \h</w:instrText>
          </w:r>
          <w:r>
            <w:rPr>
              <w:rFonts w:hint="eastAsia"/>
            </w:rPr>
            <w:instrText xml:space="preserve"> </w:instrText>
          </w:r>
          <w:r>
            <w:rPr>
              <w:rFonts w:hint="eastAsia"/>
            </w:rPr>
            <w:fldChar w:fldCharType="separate"/>
          </w:r>
          <w:r>
            <w:rPr>
              <w:rFonts w:hint="eastAsia"/>
            </w:rPr>
            <w:t>170</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"_Toc225353478" </w:instrText>
          </w:r>
          <w:r>
            <w:fldChar w:fldCharType="separate"/>
          </w:r>
          <w:r>
            <w:rPr>
              <w:rStyle w:val="19"/>
              <w:rFonts w:hint="eastAsia" w:ascii="Times New Roman" w:hAnsi="Times New Roman" w:eastAsia="楷体_GB2312" w:cs="楷体_GB2312"/>
            </w:rPr>
            <w:t>附件6 北京市重点监管的危险化学品名录</w:t>
          </w:r>
          <w:r>
            <w:rPr>
              <w:rFonts w:hint="eastAsia"/>
            </w:rPr>
            <w:tab/>
          </w:r>
          <w:r>
            <w:rPr>
              <w:rFonts w:hint="eastAsia"/>
            </w:rPr>
            <w:fldChar w:fldCharType="begin"/>
          </w:r>
          <w:r>
            <w:rPr>
              <w:rFonts w:hint="eastAsia"/>
            </w:rPr>
            <w:instrText xml:space="preserve"> </w:instrText>
          </w:r>
          <w:r>
            <w:instrText xml:space="preserve">PAGEREF _Toc225353478 \h</w:instrText>
          </w:r>
          <w:r>
            <w:rPr>
              <w:rFonts w:hint="eastAsia"/>
            </w:rPr>
            <w:instrText xml:space="preserve"> </w:instrText>
          </w:r>
          <w:r>
            <w:rPr>
              <w:rFonts w:hint="eastAsia"/>
            </w:rPr>
            <w:fldChar w:fldCharType="separate"/>
          </w:r>
          <w:r>
            <w:rPr>
              <w:rFonts w:hint="eastAsia"/>
            </w:rPr>
            <w:t>176</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"_Toc225353479" </w:instrText>
          </w:r>
          <w:r>
            <w:fldChar w:fldCharType="separate"/>
          </w:r>
          <w:r>
            <w:rPr>
              <w:rStyle w:val="19"/>
              <w:rFonts w:hint="eastAsia" w:ascii="Times New Roman" w:hAnsi="Times New Roman" w:eastAsia="楷体_GB2312" w:cs="楷体_GB2312"/>
            </w:rPr>
            <w:t>附件7 剧毒危险化学品目录（2015）</w:t>
          </w:r>
          <w:r>
            <w:rPr>
              <w:rFonts w:hint="eastAsia"/>
            </w:rPr>
            <w:tab/>
          </w:r>
          <w:r>
            <w:rPr>
              <w:rFonts w:hint="eastAsia"/>
            </w:rPr>
            <w:fldChar w:fldCharType="begin"/>
          </w:r>
          <w:r>
            <w:rPr>
              <w:rFonts w:hint="eastAsia"/>
            </w:rPr>
            <w:instrText xml:space="preserve"> </w:instrText>
          </w:r>
          <w:r>
            <w:instrText xml:space="preserve">PAGEREF _Toc225353479 \h</w:instrText>
          </w:r>
          <w:r>
            <w:rPr>
              <w:rFonts w:hint="eastAsia"/>
            </w:rPr>
            <w:instrText xml:space="preserve"> </w:instrText>
          </w:r>
          <w:r>
            <w:rPr>
              <w:rFonts w:hint="eastAsia"/>
            </w:rPr>
            <w:fldChar w:fldCharType="separate"/>
          </w:r>
          <w:r>
            <w:rPr>
              <w:rFonts w:hint="eastAsia"/>
            </w:rPr>
            <w:t>178</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"_Toc225353480" </w:instrText>
          </w:r>
          <w:r>
            <w:fldChar w:fldCharType="separate"/>
          </w:r>
          <w:r>
            <w:rPr>
              <w:rStyle w:val="19"/>
              <w:rFonts w:hint="eastAsia" w:ascii="Times New Roman" w:hAnsi="Times New Roman" w:eastAsia="楷体_GB2312" w:cs="楷体_GB2312"/>
            </w:rPr>
            <w:t>附件8 北京市危险化学品禁止、限制、控制措施（2025年版）</w:t>
          </w:r>
          <w:r>
            <w:rPr>
              <w:rFonts w:hint="eastAsia"/>
            </w:rPr>
            <w:tab/>
          </w:r>
          <w:r>
            <w:rPr>
              <w:rFonts w:hint="eastAsia"/>
            </w:rPr>
            <w:fldChar w:fldCharType="begin"/>
          </w:r>
          <w:r>
            <w:rPr>
              <w:rFonts w:hint="eastAsia"/>
            </w:rPr>
            <w:instrText xml:space="preserve"> </w:instrText>
          </w:r>
          <w:r>
            <w:instrText xml:space="preserve">PAGEREF _Toc225353480 \h</w:instrText>
          </w:r>
          <w:r>
            <w:rPr>
              <w:rFonts w:hint="eastAsia"/>
            </w:rPr>
            <w:instrText xml:space="preserve"> </w:instrText>
          </w:r>
          <w:r>
            <w:rPr>
              <w:rFonts w:hint="eastAsia"/>
            </w:rPr>
            <w:fldChar w:fldCharType="separate"/>
          </w:r>
          <w:r>
            <w:rPr>
              <w:rFonts w:hint="eastAsia"/>
            </w:rPr>
            <w:t>191</w:t>
          </w:r>
          <w:r>
            <w:rPr>
              <w:rFonts w:hint="eastAsia"/>
            </w:rPr>
            <w:fldChar w:fldCharType="end"/>
          </w:r>
          <w:r>
            <w:rPr>
              <w:rFonts w:hint="eastAsia"/>
            </w:rPr>
            <w:fldChar w:fldCharType="end"/>
          </w:r>
        </w:p>
        <w:p>
          <w:pPr>
            <w:pStyle w:val="12"/>
            <w:tabs>
              <w:tab w:val="right" w:leader="dot" w:pos="8296"/>
            </w:tabs>
            <w:ind w:firstLine="640"/>
            <w:rPr>
              <w:rFonts w:asciiTheme="minorHAnsi" w:hAnsiTheme="minorHAnsi" w:eastAsiaTheme="minorEastAsia"/>
              <w:sz w:val="22"/>
              <w14:ligatures w14:val="standardContextual"/>
            </w:rPr>
          </w:pPr>
          <w:r>
            <w:fldChar w:fldCharType="begin"/>
          </w:r>
          <w:r>
            <w:instrText xml:space="preserve"> HYPERLINK \l "_Toc225353481" </w:instrText>
          </w:r>
          <w:r>
            <w:fldChar w:fldCharType="separate"/>
          </w:r>
          <w:r>
            <w:rPr>
              <w:rStyle w:val="19"/>
              <w:rFonts w:hint="eastAsia" w:ascii="Times New Roman" w:hAnsi="Times New Roman" w:eastAsia="楷体_GB2312" w:cs="楷体_GB2312"/>
            </w:rPr>
            <w:t>附件9 危险化学品相关法律法规标准规范</w:t>
          </w:r>
          <w:r>
            <w:rPr>
              <w:rFonts w:hint="eastAsia"/>
            </w:rPr>
            <w:tab/>
          </w:r>
          <w:r>
            <w:rPr>
              <w:rFonts w:hint="eastAsia"/>
            </w:rPr>
            <w:fldChar w:fldCharType="begin"/>
          </w:r>
          <w:r>
            <w:rPr>
              <w:rFonts w:hint="eastAsia"/>
            </w:rPr>
            <w:instrText xml:space="preserve"> </w:instrText>
          </w:r>
          <w:r>
            <w:instrText xml:space="preserve">PAGEREF _Toc225353481 \h</w:instrText>
          </w:r>
          <w:r>
            <w:rPr>
              <w:rFonts w:hint="eastAsia"/>
            </w:rPr>
            <w:instrText xml:space="preserve"> </w:instrText>
          </w:r>
          <w:r>
            <w:rPr>
              <w:rFonts w:hint="eastAsia"/>
            </w:rPr>
            <w:fldChar w:fldCharType="separate"/>
          </w:r>
          <w:r>
            <w:rPr>
              <w:rFonts w:hint="eastAsia"/>
            </w:rPr>
            <w:t>198</w:t>
          </w:r>
          <w:r>
            <w:rPr>
              <w:rFonts w:hint="eastAsia"/>
            </w:rPr>
            <w:fldChar w:fldCharType="end"/>
          </w:r>
          <w:r>
            <w:rPr>
              <w:rFonts w:hint="eastAsia"/>
            </w:rPr>
            <w:fldChar w:fldCharType="end"/>
          </w:r>
        </w:p>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pPr>
          <w:r>
            <w:rPr>
              <w:rFonts w:hint="eastAsia" w:ascii="Times New Roman" w:hAnsi="Times New Roman" w:eastAsia="方正小标宋简体" w:cs="方正小标宋简体"/>
              <w:color w:val="000000" w:themeColor="text1"/>
              <w:szCs w:val="40"/>
              <w14:textFill>
                <w14:solidFill>
                  <w14:schemeClr w14:val="tx1"/>
                </w14:solidFill>
              </w14:textFill>
            </w:rPr>
            <w:fldChar w:fldCharType="end"/>
          </w:r>
        </w:p>
      </w:sdtContent>
    </w:sdt>
    <w:p>
      <w:pPr>
        <w:ind w:firstLine="0" w:firstLineChars="0"/>
        <w:jc w:val="center"/>
        <w:rPr>
          <w:rFonts w:ascii="Times New Roman" w:hAnsi="Times New Roman" w:eastAsia="方正小标宋简体" w:cs="方正小标宋简体"/>
          <w:color w:val="000000" w:themeColor="text1"/>
          <w:sz w:val="40"/>
          <w:szCs w:val="40"/>
          <w14:textFill>
            <w14:solidFill>
              <w14:schemeClr w14:val="tx1"/>
            </w14:solidFill>
          </w14:textFill>
        </w:rPr>
        <w:sectPr>
          <w:footerReference r:id="rId14" w:type="first"/>
          <w:footerReference r:id="rId13" w:type="default"/>
          <w:pgSz w:w="11906" w:h="16838"/>
          <w:pgMar w:top="1440" w:right="1800" w:bottom="1440" w:left="1800" w:header="851" w:footer="992" w:gutter="0"/>
          <w:pgNumType w:fmt="upperRoman" w:start="1"/>
          <w:cols w:space="425" w:num="1"/>
          <w:titlePg/>
          <w:docGrid w:type="lines" w:linePitch="435" w:charSpace="0"/>
        </w:sectPr>
      </w:pPr>
    </w:p>
    <w:bookmarkEnd w:id="0"/>
    <w:p>
      <w:pPr>
        <w:spacing w:before="217" w:beforeLines="50" w:after="217" w:afterLines="50"/>
        <w:ind w:firstLine="0" w:firstLineChars="0"/>
        <w:jc w:val="center"/>
        <w:outlineLvl w:val="0"/>
        <w:rPr>
          <w:rFonts w:ascii="Times New Roman" w:hAnsi="Times New Roman" w:eastAsia="黑体" w:cs="黑体"/>
          <w:color w:val="000000" w:themeColor="text1"/>
          <w:szCs w:val="32"/>
          <w14:textFill>
            <w14:solidFill>
              <w14:schemeClr w14:val="tx1"/>
            </w14:solidFill>
          </w14:textFill>
        </w:rPr>
      </w:pPr>
      <w:bookmarkStart w:id="1" w:name="_Toc225353423"/>
      <w:bookmarkStart w:id="2" w:name="_Toc224910840"/>
      <w:r>
        <w:rPr>
          <w:rFonts w:hint="eastAsia" w:ascii="Times New Roman" w:hAnsi="Times New Roman" w:eastAsia="黑体" w:cs="黑体"/>
          <w:color w:val="000000" w:themeColor="text1"/>
          <w:szCs w:val="32"/>
          <w14:textFill>
            <w14:solidFill>
              <w14:schemeClr w14:val="tx1"/>
            </w14:solidFill>
          </w14:textFill>
        </w:rPr>
        <w:t>第一章  总  则</w:t>
      </w:r>
      <w:bookmarkEnd w:id="1"/>
      <w:bookmarkEnd w:id="2"/>
    </w:p>
    <w:p>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3" w:name="_Toc224910841"/>
      <w:bookmarkStart w:id="4" w:name="_Toc225353424"/>
      <w:r>
        <w:rPr>
          <w:rFonts w:hint="eastAsia" w:ascii="Times New Roman" w:hAnsi="Times New Roman" w:eastAsia="楷体_GB2312" w:cs="楷体_GB2312"/>
          <w:b/>
          <w:bCs/>
          <w:color w:val="000000" w:themeColor="text1"/>
          <w:szCs w:val="32"/>
          <w14:textFill>
            <w14:solidFill>
              <w14:schemeClr w14:val="tx1"/>
            </w14:solidFill>
          </w14:textFill>
        </w:rPr>
        <w:t>适用范围</w:t>
      </w:r>
      <w:bookmarkEnd w:id="3"/>
      <w:bookmarkEnd w:id="4"/>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手册适用于北京市行政区域内各行业领域涉及使用危险化学品的企事业单位（以下统称“危险化学品使用单位”），不适用于取得危险化学品安全生产许可证或危险化学品经营许可证的危险化学品生产、经营企业以及军工、国防等涉密单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城镇燃气、放射性物品、核能物质的储存设施不适用本手册。</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本手册涵盖危险化学品的采购、运输、储存、使用、废弃处置等全生命周期管理。</w:t>
      </w:r>
    </w:p>
    <w:p>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5" w:name="_Toc225353425"/>
      <w:bookmarkStart w:id="6" w:name="_Toc224910842"/>
      <w:r>
        <w:rPr>
          <w:rFonts w:hint="eastAsia" w:ascii="Times New Roman" w:hAnsi="Times New Roman" w:eastAsia="楷体_GB2312" w:cs="楷体_GB2312"/>
          <w:b/>
          <w:bCs/>
          <w:color w:val="000000" w:themeColor="text1"/>
          <w:szCs w:val="32"/>
          <w14:textFill>
            <w14:solidFill>
              <w14:schemeClr w14:val="tx1"/>
            </w14:solidFill>
          </w14:textFill>
        </w:rPr>
        <w:t>术语与定义</w:t>
      </w:r>
      <w:bookmarkEnd w:id="5"/>
      <w:bookmarkEnd w:id="6"/>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危险化学品：指具有毒害、腐蚀、爆炸、燃烧、助燃等性质，对人体、设施、环境有害的化学品（参照《危险化学品目录》。</w:t>
      </w:r>
    </w:p>
    <w:p>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7" w:name="_Toc224910843"/>
      <w:bookmarkStart w:id="8" w:name="_Toc225353426"/>
      <w:r>
        <w:rPr>
          <w:rFonts w:hint="eastAsia" w:ascii="Times New Roman" w:hAnsi="Times New Roman" w:eastAsia="楷体_GB2312" w:cs="楷体_GB2312"/>
          <w:b/>
          <w:bCs/>
          <w:color w:val="000000" w:themeColor="text1"/>
          <w:szCs w:val="32"/>
          <w14:textFill>
            <w14:solidFill>
              <w14:schemeClr w14:val="tx1"/>
            </w14:solidFill>
          </w14:textFill>
        </w:rPr>
        <w:t>引用文件</w:t>
      </w:r>
      <w:bookmarkEnd w:id="7"/>
      <w:bookmarkEnd w:id="8"/>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下列文件中的内容通过文中的规范性引用而构成本文件必不可少的条款。其中，注日期的引用文件，仅该日期对应的版本适用于本文件。不注日期的引用文件，其最新版本适用于本文件，详见附件9。</w:t>
      </w:r>
      <w:r>
        <w:rPr>
          <w:rFonts w:hint="eastAsia" w:ascii="Times New Roman" w:hAnsi="Times New Roman"/>
        </w:rPr>
        <w:br w:type="page"/>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outlineLvl w:val="0"/>
        <w:rPr>
          <w:rFonts w:ascii="Times New Roman" w:hAnsi="Times New Roman" w:eastAsia="黑体" w:cs="黑体"/>
          <w:color w:val="000000" w:themeColor="text1"/>
          <w:szCs w:val="32"/>
          <w14:textFill>
            <w14:solidFill>
              <w14:schemeClr w14:val="tx1"/>
            </w14:solidFill>
          </w14:textFill>
        </w:rPr>
      </w:pPr>
      <w:bookmarkStart w:id="9" w:name="_Toc225353427"/>
      <w:bookmarkStart w:id="10" w:name="_Toc224910844"/>
      <w:r>
        <w:rPr>
          <w:rFonts w:hint="eastAsia" w:ascii="Times New Roman" w:hAnsi="Times New Roman" w:eastAsia="黑体" w:cs="黑体"/>
          <w:color w:val="000000" w:themeColor="text1"/>
          <w:szCs w:val="32"/>
          <w14:textFill>
            <w14:solidFill>
              <w14:schemeClr w14:val="tx1"/>
            </w14:solidFill>
          </w14:textFill>
        </w:rPr>
        <w:t>第二章  全流程合规管理通用要求</w:t>
      </w:r>
      <w:bookmarkEnd w:id="9"/>
      <w:bookmarkEnd w:id="10"/>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Chars="0"/>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11" w:name="_Toc224910845"/>
      <w:bookmarkStart w:id="12" w:name="_Toc225353428"/>
      <w:r>
        <w:rPr>
          <w:rFonts w:hint="eastAsia" w:ascii="Times New Roman" w:hAnsi="Times New Roman" w:eastAsia="楷体_GB2312" w:cs="楷体_GB2312"/>
          <w:b/>
          <w:bCs/>
          <w:color w:val="000000" w:themeColor="text1"/>
          <w:szCs w:val="32"/>
          <w14:textFill>
            <w14:solidFill>
              <w14:schemeClr w14:val="tx1"/>
            </w14:solidFill>
          </w14:textFill>
        </w:rPr>
        <w:t>涉危建设项目管理</w:t>
      </w:r>
      <w:bookmarkEnd w:id="11"/>
      <w:bookmarkEnd w:id="12"/>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危险化学品使用单位用于使用、储存、装卸危险化学品的新建、改建、扩建项目，应严格落实《建设项目安全设施“三同时”监督管理办法》要求。“三同时”是指建设项目的</w:t>
      </w:r>
      <w:r>
        <w:fldChar w:fldCharType="begin"/>
      </w:r>
      <w:r>
        <w:instrText xml:space="preserve">HYPERLINK "https://baike.baidu.com/item/%E5%AE%89%E5%85%A8%E8%AE%BE%E6%96%BD/3970205?fromModule=lemma_inlink" \t "_blank"</w:instrText>
      </w:r>
      <w:r>
        <w:fldChar w:fldCharType="separate"/>
      </w:r>
      <w:r>
        <w:rPr>
          <w:rFonts w:hint="eastAsia" w:ascii="Times New Roman" w:hAnsi="Times New Roman"/>
        </w:rPr>
        <w:t>安全设施</w:t>
      </w:r>
      <w:r>
        <w:fldChar w:fldCharType="end"/>
      </w:r>
      <w:r>
        <w:rPr>
          <w:rFonts w:hint="eastAsia" w:ascii="Times New Roman" w:hAnsi="Times New Roman"/>
        </w:rPr>
        <w:t>，与</w:t>
      </w:r>
      <w:r>
        <w:fldChar w:fldCharType="begin"/>
      </w:r>
      <w:r>
        <w:instrText xml:space="preserve"> HYPERLINK "https://baike.baidu.com/item/%E4%B8%BB%E4%BD%93%E5%B7%A5%E7%A8%8B/22615211?fromModule=lemma_inlink" \t "_blank" </w:instrText>
      </w:r>
      <w:r>
        <w:fldChar w:fldCharType="separate"/>
      </w:r>
      <w:r>
        <w:rPr>
          <w:rFonts w:hint="eastAsia" w:ascii="Times New Roman" w:hAnsi="Times New Roman"/>
        </w:rPr>
        <w:t>主体工程</w:t>
      </w:r>
      <w:r>
        <w:rPr>
          <w:rFonts w:hint="eastAsia" w:ascii="Times New Roman" w:hAnsi="Times New Roman"/>
        </w:rPr>
        <w:fldChar w:fldCharType="end"/>
      </w:r>
      <w:r>
        <w:rPr>
          <w:rFonts w:hint="eastAsia" w:ascii="Times New Roman" w:hAnsi="Times New Roman"/>
        </w:rPr>
        <w:t>同时设计、同时施工、同时投入生产和使用。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新建、改建、扩建项目涉及易燃易爆、高毒剧毒危险化学品的，安全评价、安全设施设计的单位应具备项目所在行业和化工行业相关资质。构成危险化学品重大危险源的建设项目，应当由具有石油化工医药行业相应资质的设计单位设计。</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危险化学品使用单位聘请具备危险化学品相关资质的安全评价机构和设计单位开展安全评价和设计工作。</w:t>
      </w:r>
    </w:p>
    <w:p>
      <w:pPr>
        <w:keepNext w:val="0"/>
        <w:keepLines w:val="0"/>
        <w:pageBreakBefore w:val="0"/>
        <w:widowControl w:val="0"/>
        <w:numPr>
          <w:ilvl w:val="0"/>
          <w:numId w:val="3"/>
        </w:numPr>
        <w:kinsoku/>
        <w:wordWrap/>
        <w:overflowPunct/>
        <w:topLinePunct w:val="0"/>
        <w:autoSpaceDE/>
        <w:autoSpaceDN/>
        <w:bidi w:val="0"/>
        <w:adjustRightInd w:val="0"/>
        <w:snapToGrid w:val="0"/>
        <w:spacing w:line="560" w:lineRule="exact"/>
        <w:ind w:firstLine="640" w:firstLineChars="0"/>
        <w:textAlignment w:val="auto"/>
        <w:outlineLvl w:val="2"/>
        <w:rPr>
          <w:rFonts w:ascii="Times New Roman" w:hAnsi="Times New Roman" w:cs="仿宋_GB2312"/>
          <w:b/>
          <w:bCs/>
        </w:rPr>
      </w:pPr>
      <w:bookmarkStart w:id="13" w:name="_Toc225353429"/>
      <w:bookmarkStart w:id="14" w:name="_Toc224910846"/>
      <w:r>
        <w:rPr>
          <w:rFonts w:hint="eastAsia" w:ascii="Times New Roman" w:hAnsi="Times New Roman" w:cs="仿宋_GB2312"/>
          <w:b/>
          <w:bCs/>
        </w:rPr>
        <w:t>新、改、扩建储存设施安全评价和安全设施设计</w:t>
      </w:r>
      <w:bookmarkEnd w:id="13"/>
      <w:bookmarkEnd w:id="14"/>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基本要求】危险化学品使用单位负责组织开展新、改、扩建储存设施的安全预评价或安全条件论证、安全设施设计、安全验收评价工作。新、改、扩建储存设施主要包括危险化学品专用仓库、危险化学品储罐、非经营性加油站和储存易燃气体或有毒气体的气瓶间等，不含危险化学品专用储存室和储存非易燃无毒气体的气瓶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安全预评价】在新、改、扩建储存设施建设前，危险化学品使用单位委托安全评价机构，对新、改、扩建储存设施开展安全预评价，编制安全预评价报告；或组织本单位安全管理人员或聘请专家，对新、改、扩建储存设施开展安全条件论证，编制安全条件论证报告。安全预评价报告和安全条件论证报告要符合《安全预评价导则》（AQ 8002）的要求。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安全设施设计】在初步设计阶段，危险化学品使用单位委托设计单位按照安全生产有关法律、法规、规章、技术标准及安全预评价报告提出的对策措施和建议，对新、改、扩建储存设施开展安全设施设计，参照《危险化学品建设项目安全设施设计专篇编制导则》的要求，编制安全设施设计专篇。</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本条所称“安全设施”，是指用于预防生产安全事故的设备、设施、装置、建（构）筑物和其他技术措施的总称。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安全验收评价】新、改、扩建储存设施投入使用前，危险化学品使用单位委托安全评价机构对新、改、扩建储存设施及其安全设施进行安全验收评价，编制安全验收评价报告，安全验收评价报告要符合《安全验收评价导则》（AQ  8003）的要求。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专家评审】危险化学品使用单位组织专家组，对安全预评价报告、安全设施设计专篇、安全验收评价报告进行评审，作出评审是否通过的结论；评审未通过的，危险化学品使用单位整改后再次组织评审。安全预评价报告、安全设施设计专篇的评审，可合并开展。专家组至少由3名专家组成，专家原则上要具有副高及以上专业技术职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安全预评价报告、安全设施设计专篇未通过专家评审的，不得开工建设。安全验收评价报告未通过专家评审的，不得投入使用。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【文件存档要求】危险化学品使用单位将新、改、扩建储存设施的安全预评价报告（安全条件论证报告）、安全设施设计专篇、安全验收评价报告存档备查。</w:t>
      </w:r>
    </w:p>
    <w:p>
      <w:pPr>
        <w:keepNext w:val="0"/>
        <w:keepLines w:val="0"/>
        <w:pageBreakBefore w:val="0"/>
        <w:widowControl w:val="0"/>
        <w:numPr>
          <w:ilvl w:val="0"/>
          <w:numId w:val="3"/>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b/>
          <w:bCs/>
        </w:rPr>
      </w:pPr>
      <w:bookmarkStart w:id="15" w:name="_Toc224910847"/>
      <w:bookmarkStart w:id="16" w:name="_Toc225353430"/>
      <w:r>
        <w:rPr>
          <w:rFonts w:hint="eastAsia" w:ascii="Times New Roman" w:hAnsi="Times New Roman"/>
          <w:b/>
          <w:bCs/>
        </w:rPr>
        <w:t>已建储存设施安全评价</w:t>
      </w:r>
      <w:bookmarkEnd w:id="15"/>
      <w:bookmarkEnd w:id="16"/>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基本要求】危险化学品使用单位负责组织开展已建储存设施的安全现状评价（评估）工作。本章所称的“已建储存设施”，主要包括危险化学品专用仓库、危险化学品专用储存室、气瓶间、危险化学品储罐、非经营性加油站以及危险化学品移动式压力容器作为供气设施时的停放场所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【安全现状评价要求】危险化学品使用单位委托安全评价机构，对已建储存设施每三年开展一次安全现状评价，编制安全现状评价报告，安全现状评价报告的评价内容要符合《安全评价通则》（AQ 8001）的要求。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仅设置危险化学品专用储存室和气瓶间的危险化学品使用单位可组织本单位安全管理人员或聘请专家，每三年对危险化学品专用储存室和气瓶间开展一次安全现状评估，编制安全现状评估报告。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报告存档要求】危险化学品使用单位将已建储存设施的安全现状评价（评估）报告存档备查。鼓励危险化学品使用单位在每年进行危险化学品使用信息报告时，将储存设施安全现状评价（评估）报告电子资料上传至“危险化学品集中管理体系信息平台”。</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17" w:name="_Toc224910848"/>
      <w:bookmarkStart w:id="18" w:name="_Toc225353431"/>
      <w:r>
        <w:rPr>
          <w:rFonts w:hint="eastAsia" w:ascii="Times New Roman" w:hAnsi="Times New Roman" w:eastAsia="楷体_GB2312" w:cs="楷体_GB2312"/>
          <w:b/>
          <w:bCs/>
          <w:color w:val="000000" w:themeColor="text1"/>
          <w:szCs w:val="32"/>
          <w14:textFill>
            <w14:solidFill>
              <w14:schemeClr w14:val="tx1"/>
            </w14:solidFill>
          </w14:textFill>
        </w:rPr>
        <w:t>危化品使用单位运行管理</w:t>
      </w:r>
      <w:bookmarkEnd w:id="17"/>
      <w:bookmarkEnd w:id="18"/>
    </w:p>
    <w:p>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19" w:name="_Toc225353432"/>
      <w:bookmarkStart w:id="20" w:name="_Toc224910849"/>
      <w:r>
        <w:rPr>
          <w:rFonts w:hint="eastAsia" w:ascii="Times New Roman" w:hAnsi="Times New Roman" w:cs="仿宋_GB2312"/>
          <w:b/>
          <w:bCs/>
        </w:rPr>
        <w:t>人员管理</w:t>
      </w:r>
      <w:bookmarkEnd w:id="19"/>
      <w:bookmarkEnd w:id="20"/>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（1）人员配备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1）危险化学品使用单位从业人员超过一百人的，应当设置安全生产管理机构或者配备专职安全生产管理人员；从业人员在一百人以下的，应当配备专职或者兼职的安全生产管理人员。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构成危险化学品重大危险源的危险化学品使用单位，应设置安全生产管理机构并配备至少1名具备化学、化工、安全等相关专业大专及以上学历或化工相关专业中级及以上专业技术职称的安全管理人员，并取得危险化学品经营单位安全管理人员证书；分管安全负责人应具备化学、化工、安全等相应的专业知识和管理能力或取得危险化学品经营单位安全管理人员证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2）应建立全员培训体系，对从业人员进行法规、标准、岗位技能、安全、个体防护、应急处置等培训，考核合格后上岗作业；对</w:t>
      </w:r>
      <w:bookmarkStart w:id="21" w:name="OLE_LINK2"/>
      <w:r>
        <w:rPr>
          <w:rFonts w:hint="eastAsia" w:ascii="Times New Roman" w:hAnsi="Times New Roman"/>
        </w:rPr>
        <w:t>从事特种作业、特种设备作业的人员和其他特殊岗位人员应经安全培训、考核合格，取得相应资格后，方可上岗作业，并按期参加复训和复审。</w:t>
      </w:r>
      <w:bookmarkEnd w:id="21"/>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3）危险化学品仓库管理人员和从业人员应具备危险化学品储存管理范围相关的安全知识和管理能力，应能理解化学品安全技术说明书的内容并掌握风险防范措施，掌握基本操作技能。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（2）个体防护装备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1）应根据接触危险化学品种类、强度、危险特性，为从业人员配备符合国家标准或行业标准的劳动防护用品和器具，从业人员应按操作规程要求穿戴。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2）接触腐蚀性危险化学品的作业人员应穿戴防酸碱类围裙、手套、靴子、面罩或护目镜、防护口罩等劳动防护用品。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3）接触易燃易爆危险化学品的作业人员作业前应穿戴防静电工作服等劳动防护用品。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4）装卸、领取气瓶类危险化学品的作业人员作业前应穿戴防砸鞋以及与危险化学品特性相对应的劳动防护用品。</w:t>
      </w:r>
    </w:p>
    <w:p>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3"/>
        <w:textAlignment w:val="auto"/>
        <w:outlineLvl w:val="2"/>
        <w:rPr>
          <w:rFonts w:ascii="Times New Roman" w:hAnsi="Times New Roman" w:cs="仿宋_GB2312"/>
          <w:b/>
          <w:bCs/>
        </w:rPr>
      </w:pPr>
      <w:bookmarkStart w:id="22" w:name="_Toc225353433"/>
      <w:bookmarkStart w:id="23" w:name="_Toc224910850"/>
      <w:r>
        <w:rPr>
          <w:rFonts w:hint="eastAsia" w:ascii="Times New Roman" w:hAnsi="Times New Roman" w:cs="仿宋_GB2312"/>
          <w:b/>
          <w:bCs/>
        </w:rPr>
        <w:t>基础管理</w:t>
      </w:r>
      <w:bookmarkEnd w:id="22"/>
      <w:bookmarkEnd w:id="23"/>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（1）信息化管理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本市鼓励对危险化学品实行专门储存、统一配送、集中销售，推动危险化学品集中管理体系建设，加强教育、卫生、体育、科技等行业领域危险化学品使用安全管理，鼓励生产经营单位通过本市危险化学品信息平台开展危险化学品交易活动，实现危险化学品全过程可追溯。</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应建立危险化学品储存信息管理系统，按照储存量大小及化学品危险特性进行分层次要求，实时记录作业基础数据，包括但不限于：a）危险化学品出入库记录，包括但不限于：时间、品种、品名、数量；b）识别化学品安全技术说明书中要求的灭火介质、应急、消防要求以及危险特性，理化性质，搬运、储存注意事项和禁忌等，以及可能涉及安全相容矩阵表；c）库存危险化学品品种、数量、库内分布、包装形式等信息；d）库存危险化学品禁忌配存情况；e）库存危险化学品安全和应急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（2）制度要求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涉及危险化学品使用单位，应建立健全并落实危险化学品采购、装卸、厂内运输、储存、使用、废弃处置、应急管理等“全链条”安全管理的规章制度、操作规程及从业人员安全生产责任制。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各单位应根据安全管理制度的要求，开展危险源辨识与管控、安全管理制度与操作规程编制、教育培训、风险分级管控及隐患排查治理、应急管理、职业健康监护等工作。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（3）台账档案要求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应建立危险化学品安全档案，包括但不限于：本单位使用危险化学品的目录、台账、储存禁忌表、风险清单、一书一签汇编、日常领用登记表、危险化学品采购的相关安全协议、日常培训记录、相关方安全告知记录、危险化学品废弃物转移联单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应建立危险化学品采购管理档案，档案包括但不限于危险化学品的合格供应方名录、合格供应方生产（经营）资质、合格供应方定期评审记录、危险化学品采购计划、危险化学品采购合同、需报当地主管部门审批备案的材料、剧毒化学品购买凭证（经常性）或剧毒化学品准购证（临时性）、购买易制爆危险化学品的合法用途说明、第一类易制毒化学品购买许可证、第二类和第三类易制毒化学品购买备案证明、属地管理部门要求建立的台账资料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应建立危险化学品储存相关台账，台账包括但不限于：送货单、产品检验合格证明、与运输方的验收确认凭据、危险化学品入库登记台账、危险化学品安全技术说明书等台账资料。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（4）特殊危化品管理要求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剧毒化学品以及储存数量构成重大危险源的其他危险化学品，应当在专用储存场所内单独存放，实行双人收发、双人保管制度，收发记录的保存期限不得少于三年。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剧毒化学品、监控化学品、易制毒化学品、易制爆危险化学品，应按规定将储存地点、储存数量、流向及管理人员的情况报相关部门备案。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（5）应急管理要求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单位应根据本单位组织管理体系、生产规模、危险源的性质以及可能发生的事故类型确定本单位的应急预案体系，并根据本单位的实际情况，确定是否编制专项应急预案。事故风险单一、危险性小的生产经营单位可只编写现场处置方案。编制应急预案体系应符合下列要求：1）综合应急预案包括生产经营单位的应急组织机构及职责、应急预案体系、事故风险描述、预警及信息报告、应急响应、保障措施、应急预案管理等内容；2）专项应急预案主要包括应急指挥机构及职责、处置程序和措施等内容；3）现场处置方案主要包括应急工作职责、应急处置和注意事项等内容。生产经营单位应根据风险评估、岗位操作规程以及危险性控制措施，组织本单位现场作业人员及安全管理等专业人员共同编制现场处置方案；4）应急预案中向上级应急管理机构报告的内容、应急组织机构和人员的联系方式、应急物资储备清单等信息应与实际相符。</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单位应根据实际需求，配备应急设施和装备，储备应急物资，指定专人负责管理，并建立使用状况台账，定期检测和维护。</w:t>
      </w:r>
    </w:p>
    <w:p>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3"/>
        <w:textAlignment w:val="auto"/>
        <w:outlineLvl w:val="2"/>
        <w:rPr>
          <w:rFonts w:ascii="Times New Roman" w:hAnsi="Times New Roman" w:cs="仿宋_GB2312"/>
          <w:b/>
          <w:bCs/>
        </w:rPr>
      </w:pPr>
      <w:bookmarkStart w:id="24" w:name="_Toc225353434"/>
      <w:bookmarkStart w:id="25" w:name="_Toc224910851"/>
      <w:r>
        <w:rPr>
          <w:rFonts w:hint="eastAsia" w:ascii="Times New Roman" w:hAnsi="Times New Roman" w:cs="仿宋_GB2312"/>
          <w:b/>
          <w:bCs/>
        </w:rPr>
        <w:t>作业管理</w:t>
      </w:r>
      <w:bookmarkEnd w:id="24"/>
      <w:bookmarkEnd w:id="25"/>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（1）危险化学品使用单位应参照《</w:t>
      </w:r>
      <w:r>
        <w:rPr>
          <w:rFonts w:ascii="Times New Roman" w:hAnsi="Times New Roman"/>
        </w:rPr>
        <w:t>化学品生产单位特殊作业安全规范</w:t>
      </w:r>
      <w:r>
        <w:rPr>
          <w:rFonts w:hint="eastAsia" w:ascii="Times New Roman" w:hAnsi="Times New Roman"/>
        </w:rPr>
        <w:t>》（GB 30871）、《工贸企业有限空间作业安全规定》（应急管理部令13号）等规定要求，对危险化学品场所涉及动火、受限空间、盲板抽堵、吊装、临时用电、动土、断路等特殊作业进行安全管理。发现直接危及人身安全的紧急情况时，采取应急措施，立即停止作业并撤出危险区域内的所有人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（2）危险化学品使用单位进行悬吊、</w:t>
      </w:r>
      <w:bookmarkStart w:id="26" w:name="_Hlk197956548"/>
      <w:r>
        <w:rPr>
          <w:rFonts w:hint="eastAsia" w:ascii="Times New Roman" w:hAnsi="Times New Roman"/>
          <w:color w:val="000000" w:themeColor="text1"/>
          <w14:textFill>
            <w14:solidFill>
              <w14:schemeClr w14:val="tx1"/>
            </w14:solidFill>
          </w14:textFill>
        </w:rPr>
        <w:t>挖掘</w:t>
      </w:r>
      <w:bookmarkEnd w:id="26"/>
      <w:r>
        <w:rPr>
          <w:rFonts w:hint="eastAsia" w:ascii="Times New Roman" w:hAnsi="Times New Roman"/>
          <w:color w:val="000000" w:themeColor="text1"/>
          <w14:textFill>
            <w14:solidFill>
              <w14:schemeClr w14:val="tx1"/>
            </w14:solidFill>
          </w14:textFill>
        </w:rPr>
        <w:t>、清洗、建设工程拆除、临近高压输电线路作业等作业，应当遵守下列规定：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1）制定作业方案，按照本单位内部批准权限审批；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2）安排负责现场管理的专门人员，确认现场作业条件、作业人员的上岗资质、身体状况符合安全作业要求；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3）落实安全交底和技术交底，向作业人员详细说明作业内容的主要危险因素、作业安全要求和应急措施等内容；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4）配备与现场作业活动相适应的劳动防护用品，以及相应的安全警示标志、安全防护设备、应急救援装备；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5）发现直接危及人身安全的紧急情况，立即采取应急措施停止作业或者撤出作业人员。</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27" w:name="_Toc224910852"/>
      <w:bookmarkStart w:id="28" w:name="_Toc225353435"/>
      <w:r>
        <w:rPr>
          <w:rFonts w:hint="eastAsia" w:ascii="Times New Roman" w:hAnsi="Times New Roman" w:eastAsia="楷体_GB2312" w:cs="楷体_GB2312"/>
          <w:b/>
          <w:bCs/>
          <w:color w:val="000000" w:themeColor="text1"/>
          <w:szCs w:val="32"/>
          <w14:textFill>
            <w14:solidFill>
              <w14:schemeClr w14:val="tx1"/>
            </w14:solidFill>
          </w14:textFill>
        </w:rPr>
        <w:t>危化品采购与运输管理</w:t>
      </w:r>
      <w:bookmarkEnd w:id="27"/>
      <w:bookmarkEnd w:id="28"/>
    </w:p>
    <w:p>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29" w:name="_Toc225353436"/>
      <w:bookmarkStart w:id="30" w:name="_Toc224910853"/>
      <w:r>
        <w:rPr>
          <w:rFonts w:hint="eastAsia" w:ascii="Times New Roman" w:hAnsi="Times New Roman" w:cs="仿宋_GB2312"/>
          <w:b/>
          <w:bCs/>
        </w:rPr>
        <w:t>采购</w:t>
      </w:r>
      <w:bookmarkEnd w:id="29"/>
      <w:bookmarkEnd w:id="30"/>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（1）危化品使用单位的采购部门应选择具备国家相应资质并处于有效期内的危险化学品供应方，危险化学品供应方（境内）应具备下列资质：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szCs w:val="21"/>
        </w:rPr>
      </w:pPr>
      <w:r>
        <w:rPr>
          <w:rFonts w:hint="eastAsia" w:ascii="Times New Roman" w:hAnsi="Times New Roman"/>
          <w:szCs w:val="21"/>
        </w:rPr>
        <w:t>1）危险化学品供应方为危化品生产企业的，应具有营业执照并取得危险化学品安全生产许可证和危险化学品经营许可证。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szCs w:val="21"/>
        </w:rPr>
      </w:pPr>
      <w:r>
        <w:rPr>
          <w:rFonts w:hint="eastAsia" w:ascii="Times New Roman" w:hAnsi="Times New Roman"/>
          <w:szCs w:val="21"/>
        </w:rPr>
        <w:t>2）供应方生产第一类易制毒化学品的，应取得第一类易制毒化学品的生产许可证；生产第二类、第三类易制毒化学品的，应取得第二类、第三类易制毒化学品的生产备案证明。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szCs w:val="21"/>
        </w:rPr>
      </w:pPr>
      <w:r>
        <w:rPr>
          <w:rFonts w:hint="eastAsia" w:ascii="Times New Roman" w:hAnsi="Times New Roman"/>
          <w:szCs w:val="21"/>
        </w:rPr>
        <w:t>3）危险化学品供应方为危化品经营企业的，应取得危险化学品经营许可证。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szCs w:val="21"/>
        </w:rPr>
      </w:pPr>
      <w:r>
        <w:rPr>
          <w:rFonts w:hint="eastAsia" w:ascii="Times New Roman" w:hAnsi="Times New Roman"/>
          <w:szCs w:val="21"/>
        </w:rPr>
        <w:t>4）供应方经营第一类易制毒化学品的，应取得第一类易制毒化学品的经营许可证；经营第二类、第三类易制毒化学品的，应取得第二类、第三类易制毒化学品的经营备案证明。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szCs w:val="21"/>
        </w:rPr>
      </w:pPr>
      <w:r>
        <w:rPr>
          <w:rFonts w:hint="eastAsia" w:ascii="Times New Roman" w:hAnsi="Times New Roman"/>
          <w:szCs w:val="21"/>
        </w:rPr>
        <w:t>5）供应方负责运送危险化学品的，应取得危险货物的道路运输经营许可证，或委托具有危险货物道路运输经营许可证的企业运输。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（2）危化品使用单位的采购部门应定期评审并建立危险化学品的合格供应方名录，建立并保持稳定、长期、合法的供应渠道，采购时优先从名录中选择供应方。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（3）危化品使用单位的采购部门应会同生产、使用、储存等部门制定危险化学品采购计划，坚持“科学、适量”的原则安排采购。严格控制采购数量，库存的危险化学品不应超过库房设计最大储存限量。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采购危险化学品时，应要求供应方提供与其销售的危险化学品相符的危险化学品安全技术说明书，并在危险化学品包装（包括外包装件）上粘贴或者拴挂与包装内危险化学品相符的化学品安全标签。“一书一签”所载明的内容应当符合国家标准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需供应方进入单位内进行供货相关操作或租借供应方危险化学品储存装置（如储罐、储瓶、汇流排集装格等）的，应与供应方签订安全管理协议，明确双方安全责任，提出供应方进入企业内应遵守的安全要求，并做好现场的全程旁站、监督与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（6）危险化学品运输车辆进入采购单位时，采购单位应安排人员对车辆的《道路运输证》、安全标志、必要的安全装置、危险化学品装载情况以及随车人员从业资格证等进行检查，符合要求后方可进入。</w:t>
      </w:r>
    </w:p>
    <w:p>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31" w:name="_Toc224910854"/>
      <w:bookmarkStart w:id="32" w:name="_Toc225353437"/>
      <w:r>
        <w:rPr>
          <w:rFonts w:hint="eastAsia" w:ascii="Times New Roman" w:hAnsi="Times New Roman" w:cs="仿宋_GB2312"/>
          <w:b/>
          <w:bCs/>
        </w:rPr>
        <w:t>运输和管道输送管理</w:t>
      </w:r>
      <w:bookmarkEnd w:id="31"/>
      <w:bookmarkEnd w:id="32"/>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负责危险化学品运输的外部运输方应具有营业执照、危险货物的道路运输经营许可证、与运输的危险化学品相对应的道路运输通行证或备案证明，运输专用车辆资质与运输的危险货物相匹配，并取得《道路运输证》，驾驶人员、装卸管理人员、押运人员应取得相应的从业资格证，运输的危险化学品种类必须在运输资质范围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（2）跨越厂内道路上空架设的危险化学品管道，距离路面的最小净高不得低于5m，并悬挂限高标志。在道路上方的危险化学品管道不应安装阀门、法兰、螺纹接头及带有填料的补偿器等可能泄漏的管道附件。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（3）输送危险化学品的金属管道，应按《工业金属管道设计规范》（GB 50316）的规定进行设计。压力管道设计、制作、安装、检验、试验和安全防护应符合《压力管道规范工业管道》（GB/T 20801）规定。易产生静电的易燃易爆危险化学品输送管道，不得采用非金属软管连接；确需使用时，应采用导电软管或内附金属丝、网的橡胶管，且在连接时确保静电的导通性。易燃易爆危险化学品输送管道，应具有防止发生静电或静电积累的性能。</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33" w:name="_Toc224910855"/>
      <w:bookmarkStart w:id="34" w:name="_Toc225353438"/>
      <w:r>
        <w:rPr>
          <w:rFonts w:hint="eastAsia" w:ascii="Times New Roman" w:hAnsi="Times New Roman" w:eastAsia="楷体_GB2312" w:cs="楷体_GB2312"/>
          <w:b/>
          <w:bCs/>
          <w:color w:val="000000" w:themeColor="text1"/>
          <w:szCs w:val="32"/>
          <w14:textFill>
            <w14:solidFill>
              <w14:schemeClr w14:val="tx1"/>
            </w14:solidFill>
          </w14:textFill>
        </w:rPr>
        <w:t>危化品储存管理</w:t>
      </w:r>
      <w:bookmarkEnd w:id="33"/>
      <w:bookmarkEnd w:id="34"/>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35" w:name="_Toc224910856"/>
      <w:bookmarkStart w:id="36" w:name="_Toc225353439"/>
      <w:r>
        <w:rPr>
          <w:rFonts w:hint="eastAsia" w:ascii="Times New Roman" w:hAnsi="Times New Roman" w:cs="仿宋_GB2312"/>
          <w:b/>
          <w:bCs/>
        </w:rPr>
        <w:t>装卸搬运</w:t>
      </w:r>
      <w:bookmarkEnd w:id="35"/>
      <w:bookmarkEnd w:id="36"/>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（1）危险化学品装卸作业前，作业人员应对设施设备、作业环境及自身防护进行安全确认，严格做到“不安全不装卸”。</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（2）危险化学品的装卸作业应当遵守安全作业标准、操作规程和制度，并在装卸管理人员现场指挥或全程监护下进行。易燃易爆危险化学品装卸前，应确保装卸设备接地以及操作人员静电释放。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装卸液化烃、液氯、液氨等易燃易爆、有毒有害液化气体时，应采用万向管道充装系统，对装卸设施接口进行安全确认。装卸设施接口应连接可靠，存在磨损、变形、局部缺口、胶圈或者垫片老化等缺陷的，严禁装卸。</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工业气瓶搬运、装卸、储存和使用应符合《气瓶搬运、装卸、储存和使用安全规定》（GB/T 34525）有关规定。气瓶装卸时不得抛、滑、滚、碰、肩扛、脚踹；装卸氧气瓶时，工作服、手套和装卸工具、机具上不应沾有油脂。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（3）危险化学品应当在专用卸车场所卸车，卸车场所应设置防止液体流散的措施。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进入易燃易爆类危险化学品储存场所的机动车辆，应设置阻火器、连接防静电专用接地线并有防溜车措施。进入易燃易爆类危险化学品储存场所的电瓶车、铲车等车辆应为防爆型。各种机动车辆装卸物品后，不准在库区、库房、货场内停放或维修。</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进入库区的危险化学品车辆的排气管应安装隔热和熄灭火星装置，排气管不应直接对准库房门。装卸作业前，车辆发动机应熄火，并切断总电源。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（4）参与装卸与搬运的作业人员应当熟练掌握所装卸与搬运的危险化学品的危险特性及其应急处置方法，装卸与搬运前，作业人员应正确穿戴好劳动防护用品。</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37" w:name="_Toc224910857"/>
      <w:bookmarkStart w:id="38" w:name="_Toc225353440"/>
      <w:r>
        <w:rPr>
          <w:rFonts w:hint="eastAsia" w:ascii="Times New Roman" w:hAnsi="Times New Roman" w:cs="仿宋_GB2312"/>
          <w:b/>
          <w:bCs/>
        </w:rPr>
        <w:t>出入库</w:t>
      </w:r>
      <w:bookmarkEnd w:id="37"/>
      <w:bookmarkEnd w:id="38"/>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（1）入库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1）入库前应做好储存位置、搬运工具、加固材料、防护装备、交接清单的准备。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2）应对运输车辆（厢）、装载状况（含施封）进行检查。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3）应对入库危险化学品的品名、规格、数量与入库信息或单据的一致性进行查验。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4）入库物品的包装应完好，标志、安全标签应规范、清晰。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入库的危险化学品应有与其相符的安全技术说明书，并在危险化学品包装（包括外包装件）上粘贴或者拴挂与包装内危险化学品相符的名称标签以及危险化学品安全技术说明书（进口商品必须附有中文安全技术说明书）。“一书一签”（危险化学品安全技术说明书和安全标签）所载明的内容应当符合国家标准的要求，严禁无“一书一签”的危险化学品入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6）入库数量应以实际验收为准。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7）验收完毕应做好记录并归档，单据保存期限不少于1年。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8）剧毒化学品应实行双人收发、双人保管制度，并配备专用称量器具和防护用品，储存物品的账册应列明日期、品名、进库量、取用量、结存量、取用人、核对人、用途等项目，账册、账卡、账物相符，不应涂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（2）出库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1）应在出库作业前，进行账货核对。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2）应核对出库单据的有效性。发现问题立即与相关方协调处理。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3）应查验提货车辆及驾驶、押运人员的资质，并记录。不符合要求的不予受理出库业务。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4）应做好出库前安全检查，确保包装及标签、标志正确完好，货物捆扎安全牢固。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5）出库单据保存期应不少于1年。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危险化学品的装卸和出入库应在库管人员现场监督下进行，现场人员应做好卸货转移前的准备工作，包括检查危险化学品包装容器的完好性，核对装卸、搬运的危险化学品与需求的一致性；入库转运通道应保持畅通，装卸地点有坡度时应采取防止车辆溜坡的措施，装卸易燃易爆危险化学品的机械及工具应有消除产生火花的措施，根据危险化学品类别和特性准备好相应的应急器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7）出入库时搬运人员应轻装轻卸，人工搬运时单人单件不应超重（男≤15kg，女≤10kg），同时仓库管理人员应现场监督；严禁摔、碰、撞、击、压、拖拉、倾倒、滚动和毁坏包装容器，堆放稳妥；装卸爆炸品、有机过氧化物、剧毒品时，装卸机具的最大装载量应小于其额定负荷的75%，气体钢瓶的装卸、搬运应符合《气瓶搬运、装卸、储存和使用安全规定》（GB/T 34525）的有关规定。</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39" w:name="_Toc224910858"/>
      <w:bookmarkStart w:id="40" w:name="_Toc225353441"/>
      <w:r>
        <w:rPr>
          <w:rFonts w:hint="eastAsia" w:ascii="Times New Roman" w:hAnsi="Times New Roman" w:cs="仿宋_GB2312"/>
          <w:b/>
          <w:bCs/>
        </w:rPr>
        <w:t>在库</w:t>
      </w:r>
      <w:bookmarkEnd w:id="39"/>
      <w:bookmarkEnd w:id="40"/>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（1）物品摆放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1）危险化学品堆码应整齐、牢固、无倒置；不应遮挡消防设备、安全设施、安全标志和通道。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2）除200L及以上的钢桶、气体钢瓶外，其他包装的危险化学品不应直接与地面接触，垫底高度不小于10cm。</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3）堆码应符合包装标志要求；包装无堆码标志的危险化学品堆码高度应不超过3m（不含托盘等的高度）。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4）采用货架存放时，应置于托盘上并采取固定措施。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5）仓库堆垛间距应满足以下要求：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a）主通道大于或等于200cm；</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b）墙距大于或等于50cm；</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c）柱距大于或等于30cm；</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d）垛距大于或等于100cm（每个堆垛的面积不应大于150m</w:t>
      </w:r>
      <w:r>
        <w:rPr>
          <w:rFonts w:hint="eastAsia" w:ascii="Times New Roman" w:hAnsi="Times New Roman"/>
          <w:vertAlign w:val="superscript"/>
        </w:rPr>
        <w:t>2</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e）灯距大于或等于50cm。</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（2）储存方式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1）危险化学品的储存量及储存安排应根据危险化学品分类、分项、容器类型、储存方式、消防要求以及危险化学品库房面积确定。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应根据其特性，实行分区、分类、分库储存。各类危险化学品严禁超品种、超量、超期储存。各类危险化学品不得与禁忌物料混合储存。对储存条件和安排有特殊要求的危险化学品，其储存安排参照符合《危险化学品仓库储存通则》（GB 15603）的有关规定执行。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3）剧毒化学品、易燃气体、氧化性气体、急性毒性气体、遇水放出易燃气体的物质和混合物、氯酸盐高锰酸盐、亚硝酸盐、过氧化钠、过氧化氢、溴素应分离储存。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4）除按《危险化学品仓库储存通则》（GB 15603）附录A规定分类储存外，以下品种应专库储存：a）爆炸品：黑色火药类、爆炸性化合物应专库储存；b）压缩气体和液化气体：易燃气体、助燃气体和有毒气体应专库储存；c）易燃液体可同库储存；但灭火方法不同的商品应分库储存；d）易燃固体可同库储存；但发乳剂与酸或酸性商品应分库储存；e）硝酸纤维素酯安全火柴、红磷及硫化磷、铝粉等金属粉类应分库储存；f）自燃商品：黄磷烃基金属化合物，浸动、植物油的制品应分库储存；g）遇湿易燃商品应专库储存；h）氧化剂和有机过氧化物，一、二级无机氧化剂与一二级有机氧化剂应分库储存；氯酸盐类、高锰酸盐、亚硝酸盐、过氧化钠。过氧化氢等应分别专库储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5）危险化学品应储存在专用仓库、专用储存室、气瓶间、专柜或储罐（区）等专门的储存场所内，不应露天存放。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6）下列情况应设置专用仓库：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a）易燃液体类危险化学品存放总量0.5t以上；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b）氧化性物质和有机过氧化物类危险化学品存放总量0.5t以上；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c）易燃气体存放总量36Nm</w:t>
      </w:r>
      <w:r>
        <w:rPr>
          <w:rFonts w:hint="eastAsia" w:ascii="Times New Roman" w:hAnsi="Times New Roman"/>
          <w:vertAlign w:val="superscript"/>
        </w:rPr>
        <w:t>3</w:t>
      </w:r>
      <w:r>
        <w:rPr>
          <w:rFonts w:hint="eastAsia" w:ascii="Times New Roman" w:hAnsi="Times New Roman"/>
        </w:rPr>
        <w:t>（如工作压力15MPa时相当于40L的6瓶）以上；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d）腐蚀类危险化学品存放总量1t以上；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e）毒性气体；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f）非易燃无毒气体存放总量60Nm</w:t>
      </w:r>
      <w:r>
        <w:rPr>
          <w:rFonts w:hint="eastAsia" w:ascii="Times New Roman" w:hAnsi="Times New Roman"/>
          <w:vertAlign w:val="superscript"/>
        </w:rPr>
        <w:t>3</w:t>
      </w:r>
      <w:r>
        <w:rPr>
          <w:rFonts w:hint="eastAsia" w:ascii="Times New Roman" w:hAnsi="Times New Roman"/>
        </w:rPr>
        <w:t>（如工作压力15MPa时相当于40L的10瓶）以上。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7）下列情况应设置专用储存室：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a）易燃液体类危险化学品存放总量0.5t以下或不超过一昼夜使用量；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b）氧化性物质和有机过氧化物类危险化学品存放总量0.5t以下或不超过一昼夜使用量；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c）腐蚀类危险化学品存放总量1t以下或不超过一昼夜使用量。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8）下列情况应设置气瓶间：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a）易燃气体存放总量：36Nm</w:t>
      </w:r>
      <w:r>
        <w:rPr>
          <w:rFonts w:hint="eastAsia" w:ascii="Times New Roman" w:hAnsi="Times New Roman"/>
          <w:vertAlign w:val="superscript"/>
        </w:rPr>
        <w:t>3</w:t>
      </w:r>
      <w:r>
        <w:rPr>
          <w:rFonts w:hint="eastAsia" w:ascii="Times New Roman" w:hAnsi="Times New Roman"/>
        </w:rPr>
        <w:t>（如工作压力15MPa时相当于40L的6瓶）以下或不超过一昼夜使用量；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b）非易燃无毒气体存放总量60Nm</w:t>
      </w:r>
      <w:r>
        <w:rPr>
          <w:rFonts w:hint="eastAsia" w:ascii="Times New Roman" w:hAnsi="Times New Roman"/>
          <w:vertAlign w:val="superscript"/>
        </w:rPr>
        <w:t>3</w:t>
      </w:r>
      <w:r>
        <w:rPr>
          <w:rFonts w:hint="eastAsia" w:ascii="Times New Roman" w:hAnsi="Times New Roman"/>
        </w:rPr>
        <w:t>（如工作压力15MPa时相当于40L的10瓶）以下或不超过一昼夜使用量。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（5）在不违反危险化学品储存禁忌规定的情况下，即符合《危险化学品仓库储存通则》（GB 15603）的规定，单一储存场所内存储的危险化学品为多品种时，按照式（1）计算，若式（1）中a的值小于1时，应设置专用储存室或气瓶间；若式（1）中a的值大于等于1时，应设置专用仓库。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a=q</w:t>
      </w:r>
      <w:r>
        <w:rPr>
          <w:rFonts w:hint="eastAsia" w:ascii="Times New Roman" w:hAnsi="Times New Roman"/>
          <w:vertAlign w:val="subscript"/>
        </w:rPr>
        <w:t>1</w:t>
      </w:r>
      <w:r>
        <w:rPr>
          <w:rFonts w:hint="eastAsia" w:ascii="Times New Roman" w:hAnsi="Times New Roman"/>
        </w:rPr>
        <w:t>/Q</w:t>
      </w:r>
      <w:r>
        <w:rPr>
          <w:rFonts w:hint="eastAsia" w:ascii="Times New Roman" w:hAnsi="Times New Roman"/>
          <w:vertAlign w:val="subscript"/>
        </w:rPr>
        <w:t>1</w:t>
      </w:r>
      <w:r>
        <w:rPr>
          <w:rFonts w:hint="eastAsia" w:ascii="Times New Roman" w:hAnsi="Times New Roman"/>
        </w:rPr>
        <w:t>+q</w:t>
      </w:r>
      <w:r>
        <w:rPr>
          <w:rFonts w:hint="eastAsia" w:ascii="Times New Roman" w:hAnsi="Times New Roman"/>
          <w:vertAlign w:val="subscript"/>
        </w:rPr>
        <w:t>2</w:t>
      </w:r>
      <w:r>
        <w:rPr>
          <w:rFonts w:hint="eastAsia" w:ascii="Times New Roman" w:hAnsi="Times New Roman"/>
        </w:rPr>
        <w:t>/Q</w:t>
      </w:r>
      <w:r>
        <w:rPr>
          <w:rFonts w:hint="eastAsia" w:ascii="Times New Roman" w:hAnsi="Times New Roman"/>
          <w:vertAlign w:val="subscript"/>
        </w:rPr>
        <w:t>2</w:t>
      </w:r>
      <w:r>
        <w:rPr>
          <w:rFonts w:hint="eastAsia" w:ascii="Times New Roman" w:hAnsi="Times New Roman"/>
        </w:rPr>
        <w:t>+…+q</w:t>
      </w:r>
      <w:r>
        <w:rPr>
          <w:rFonts w:hint="eastAsia" w:ascii="Times New Roman" w:hAnsi="Times New Roman"/>
          <w:vertAlign w:val="subscript"/>
        </w:rPr>
        <w:t>n</w:t>
      </w:r>
      <w:r>
        <w:rPr>
          <w:rFonts w:hint="eastAsia" w:ascii="Times New Roman" w:hAnsi="Times New Roman"/>
        </w:rPr>
        <w:t>/Q</w:t>
      </w:r>
      <w:r>
        <w:rPr>
          <w:rFonts w:hint="eastAsia" w:ascii="Times New Roman" w:hAnsi="Times New Roman"/>
          <w:vertAlign w:val="subscript"/>
        </w:rPr>
        <w:t xml:space="preserve">n     </w:t>
      </w:r>
      <w:r>
        <w:rPr>
          <w:rFonts w:hint="eastAsia" w:ascii="Times New Roman" w:hAnsi="Times New Roman"/>
        </w:rPr>
        <w:t xml:space="preserve">    （1）</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式中：</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q</w:t>
      </w:r>
      <w:r>
        <w:rPr>
          <w:rFonts w:hint="eastAsia" w:ascii="Times New Roman" w:hAnsi="Times New Roman"/>
          <w:vertAlign w:val="subscript"/>
        </w:rPr>
        <w:t>1</w:t>
      </w:r>
      <w:r>
        <w:rPr>
          <w:rFonts w:hint="eastAsia" w:ascii="Times New Roman" w:hAnsi="Times New Roman"/>
        </w:rPr>
        <w:t>，q</w:t>
      </w:r>
      <w:r>
        <w:rPr>
          <w:rFonts w:hint="eastAsia" w:ascii="Times New Roman" w:hAnsi="Times New Roman"/>
          <w:vertAlign w:val="subscript"/>
        </w:rPr>
        <w:t>2</w:t>
      </w:r>
      <w:r>
        <w:rPr>
          <w:rFonts w:hint="eastAsia" w:ascii="Times New Roman" w:hAnsi="Times New Roman"/>
        </w:rPr>
        <w:t>…，q</w:t>
      </w:r>
      <w:r>
        <w:rPr>
          <w:rFonts w:hint="eastAsia" w:ascii="Times New Roman" w:hAnsi="Times New Roman"/>
          <w:vertAlign w:val="subscript"/>
        </w:rPr>
        <w:t>n</w:t>
      </w:r>
      <w:r>
        <w:rPr>
          <w:rFonts w:hint="eastAsia" w:ascii="Times New Roman" w:hAnsi="Times New Roman"/>
        </w:rPr>
        <w:t>—每类危险化学品的实际存放量；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Q</w:t>
      </w:r>
      <w:r>
        <w:rPr>
          <w:rFonts w:hint="eastAsia" w:ascii="Times New Roman" w:hAnsi="Times New Roman"/>
          <w:vertAlign w:val="subscript"/>
        </w:rPr>
        <w:t>1</w:t>
      </w:r>
      <w:r>
        <w:rPr>
          <w:rFonts w:hint="eastAsia" w:ascii="Times New Roman" w:hAnsi="Times New Roman"/>
        </w:rPr>
        <w:t>，Q</w:t>
      </w:r>
      <w:r>
        <w:rPr>
          <w:rFonts w:hint="eastAsia" w:ascii="Times New Roman" w:hAnsi="Times New Roman"/>
          <w:vertAlign w:val="subscript"/>
        </w:rPr>
        <w:t>2</w:t>
      </w:r>
      <w:r>
        <w:rPr>
          <w:rFonts w:hint="eastAsia" w:ascii="Times New Roman" w:hAnsi="Times New Roman"/>
        </w:rPr>
        <w:t>…Q</w:t>
      </w:r>
      <w:r>
        <w:rPr>
          <w:rFonts w:hint="eastAsia" w:ascii="Times New Roman" w:hAnsi="Times New Roman"/>
          <w:vertAlign w:val="subscript"/>
        </w:rPr>
        <w:t>n</w:t>
      </w:r>
      <w:r>
        <w:rPr>
          <w:rFonts w:hint="eastAsia" w:ascii="Times New Roman" w:hAnsi="Times New Roman"/>
        </w:rPr>
        <w:t>—每类危险化学品相对应的最大存放量。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（3）仓库作业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1）应定期进行盘点，并记录。发现账货不符，应及时进行处理。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2）应定期对物品堆码状态、包装及仓库进行检查，并记录。应对检查发现的问题及时进行处理。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3）应根据储存的危险化学品特性和气候条件，确定每日观测库内温湿度次数，并记录。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4）盘点、检查、观测记录应保存不少于1年。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5）危险化学品储存作业前，应先对仓库通风。</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6）进入储存爆炸物及其他对静电、火花敏感的危险化学品仓库时，应穿防静电工作服，不应穿钉鞋，应在进入仓库前消除人体静电；应使用具备防爆功能的通信工具，不应使用易产生静电和火花的作业机具。</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7）储存仓库内禁止进行开桶、分装、改装作业。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8）不应在恶劣天气进行装卸作业。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（4）管理要求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1）危险化学品储存场所应由专人负责管理。储存场所内应张贴单位安全部门负责人、安全责任人、应急中控室、急救室的电话和消防队、医院、公安局等应急服务机构地址和电话。</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2）危险化学品储存场所应在库房门口设置明显的库房储存限量表、安全标志标识，安全标志标识应符合《安全色和安全标志》（GB 2894）、《化学品分类和标签规则》（GB 30000）系列标准和《化学品场所安全警示标志规范》（AQ 3047）的要求。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3）危险化学品仓库、危险化学品中间仓库等重点部位的安全标志标识应根据危险化学品的理化特性，明确标注禁止、警告、指令、提示性质的必要安全信息。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剧毒化学品、监控化学品、易制毒化学品、易制爆危险化学品，应按规定将储存地点、储存数量、流向及管理人员的情况报相关部门备案，剧毒化学品以及储存数量构成重大危险源的其他危险化学品，应当在专用储存场所内单独存放，实行双人收发、双人保管制度，收发记录的保存期限不得少于三年。</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41" w:name="_Toc224910859"/>
      <w:bookmarkStart w:id="42" w:name="_Toc225353442"/>
      <w:r>
        <w:rPr>
          <w:rFonts w:hint="eastAsia" w:ascii="Times New Roman" w:hAnsi="Times New Roman" w:cs="仿宋_GB2312"/>
          <w:b/>
          <w:bCs/>
        </w:rPr>
        <w:t>专用仓库</w:t>
      </w:r>
      <w:bookmarkEnd w:id="41"/>
      <w:bookmarkEnd w:id="42"/>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（1）危险化学品专用仓库的建筑平面布置、与其他建筑之间的防火间距、防火疏散设施应满足《建筑防火通用规范》（GB 55037）、《建筑设计防火规范》（GB 50016）、《消防设施通用规范》（GB 55036）等国家、行业有关规定要求。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1）甲类仓库之间及与其他建筑、产生明火或火花地点、铁路、道路等的防火间距不应小于《建筑设计防火规范》（GB 50016）中表3.5.1规定的距离。</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2）乙、丙、丁、戊类仓库之间及与民用建筑的防火间距，不应小于《建筑设计防火规范》（GB 50016）中表3.5.2规定的距离。</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（2）危险化学品专用仓库应根据储存的危险化学品的理化特性和数量等因素，合理确定储存场所总体布局、人流和货流路线设置等，满足内外部安全距离和防火间距要求。</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（3）危险化学品专用仓库门应根据房间储存的危险化学品性质采用具有防火、防静电、防腐、不产生火花等功能的单一或复合材料制成，且门应向疏散方向开启。</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（4）易燃易爆危险化学品仓库内电气线路的设计、电气设备的选择、安装、使用以及线路接零保护、重复接地等，应符合《电气装置安装工程 接地装置施工及验收规范》（GB 50169）、《爆炸危险环境电力装置设计规范》（GB 50058）的规定，并达到《电气装置安装工程 爆炸和火灾危险环境电气装置施工及验收规范》（GB 50257）的要求。</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5）危险化学品储存场所若安装照明系统，照明亮度应满足相应监控系统及人员操作照度不低于100Lx的要求；易燃易爆危险化学品储存区域内的照明及电气设备设施应满足防爆要求，且进入房间内的电气线路均应穿管并封堵完好。</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bookmarkStart w:id="43" w:name="_Hlk218614929"/>
      <w:r>
        <w:rPr>
          <w:rFonts w:hint="eastAsia" w:ascii="Times New Roman" w:hAnsi="Times New Roman" w:eastAsia="仿宋_GB2312"/>
          <w:sz w:val="32"/>
        </w:rPr>
        <w:t>（6）储存液体类危险化学品（除有毒、易燃易爆化学品如液氨、液氯外）仓库应在储存区域内四周设置围堰或防意外泄漏的导流沟槽，导流沟槽应引至室外专门收集池内，便于意外泄漏收集、处置，不应将互为禁忌的危险化学品引至同一收集池。</w:t>
      </w:r>
      <w:bookmarkEnd w:id="43"/>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（7）危险化学品储存场所的温湿度管理应满足以下要求：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1）危险化学品仓库内应设置温湿度表，每天进行观测和记录；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2）不同的危险化学品仓库应根据储存物品的不同性质，采取密封、通风和库内吸潮相结合的温湿度控制措施，严格控制并保持仓库内的温湿度；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3）特殊危险化学品应按其安全技术说明书要求的温湿度进行管理与保持；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4）储存危险化学品仓库采暖的热媒温度不应过高，不应使用蒸汽采暖和明火采暖。</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（8）储存场所应根据其储存危险化学品特性设置以下相应安全设备设施：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1）易燃易爆液体、气体类危险化学品仓库应设有通排风、防雷、防静电、浓度报警、视频监控、消防等设备设施；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2）有毒液体、气体类危险化学品仓库应设有通排风、浓度监测报警、视频监控等设备设施；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3）腐蚀性危险化学品仓库应设有通排风设备设施、防泄漏、监控等；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4）易燃固体类危险化学品仓库应设有防静电、防雷、通排风、监控、消防等；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5）液体类危险化学品仓库应设有防泄漏设备设施等；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6）其他固体类危险化学品仓库应设有通排风、防雷、视频监控、消防等设备设施。</w:t>
      </w:r>
    </w:p>
    <w:p>
      <w:pPr>
        <w:pStyle w:val="22"/>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sz w:val="32"/>
        </w:rPr>
      </w:pPr>
      <w:r>
        <w:rPr>
          <w:rFonts w:hint="eastAsia" w:ascii="Times New Roman" w:hAnsi="Times New Roman" w:eastAsia="仿宋_GB2312"/>
          <w:sz w:val="32"/>
        </w:rPr>
        <w:t>（9）通排风设备设施应满足以下要求：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1）通风应符合《工业建筑供暖通风与空气调节设计规范》（GB 50019）的要求，并对可能突然放散大量有毒气体、有爆炸危险气体或粉尘的场所，应根据工艺设计要求设置事故通风系统。事故通风量宜根据工艺设计条件计算确定。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2）危险化学品中间仓库应具备良好通风条件，宜安装机械排风；</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3）甲、乙类库房的机械排风应具备电气防爆功能；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4）危险化学品仓库通风管道应采用非燃烧材料制作，且不宜穿过防火墙等防火分隔物，如必须穿过时应用非燃烧材料分隔；</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5）腐蚀性介质的排风管道不应使用金属材质，硅烷、氢气等易燃易爆性介质的排风管道应使用金属材质的通排风系统，且设置导除静电的装置；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6）排风口的设置符合《工业建筑供暖通风与空气调节设计规范》（GB 50019）要求。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（10）防雷设备设施应满足以下要求：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1）危险化学品仓库应采取防直击雷和防雷电波侵入的措施，且符合国家相关法律法规、标准规范要求。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2）危险化学品仓库各类防雷装置应定期由有资质单位进行检测，出具检测报告，</w:t>
      </w:r>
      <w:bookmarkStart w:id="44" w:name="_Hlk218615549"/>
      <w:r>
        <w:rPr>
          <w:rFonts w:hint="eastAsia" w:ascii="Times New Roman" w:hAnsi="Times New Roman"/>
        </w:rPr>
        <w:t>雷电防护装置应当每年检测一次，对爆炸和火灾危险环境场所的雷电防护装置应当每半年检测一次。</w:t>
      </w:r>
      <w:bookmarkEnd w:id="44"/>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（11）防静电及接地装置应满足《防止静电事故通用要求》（GB 12158）的要求：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1）储存易燃易爆类危险化学品仓库的入口处应设置静电泄放装置或防静电门帘；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2）储存易燃易爆危险化学品仓库内电气设备的金属外壳、金属底座、电缆保护钢管、金属电缆桥架、金属配线槽以及金属支架均应与重复接地装置连接；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3）储存易燃易爆危险化学品仓库内若有金属货架，应做好金属货架的接地。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（12）监控设备设施应满足以下要求：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仓库库区及储存易燃易爆、易制毒、易制爆、高毒剧毒危险化学品的仓库内应安装视频监控，做到合理布局、精确定位，保持对重点部位有效监控，保证监控图像清晰、视角无盲区。视频监控系统应实现即时存储，保存时间不少于90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2）视频监控系统基准时间应定期校对，保持时间同步，保证运行和操作日志完整。配置支持系统运行1h以上的不间断备用电源，监控系统的存储装置应当与危险化学品储存场所分离；</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3）易燃易爆危险化学品库房中应使用防爆摄像头及电气线路。</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（13）浓度监测设备设施应满足以下要求：</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储存易燃易爆、有毒、窒息及氧化性（如氧气）类危险化学品的仓库应安装相应的气体浓度监测装置，浓度探头应定期校准，校准周期不应超过一年，校准结果应存档备查。各种气体浓度探头应定期更换，更换周期应与相关规范和计量相关标准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2）浓度监测装置要与房间内的事故应急排风联动，确保装置报警时自动启动应急排风系统；</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3）浓度监测装置报警信号应接至危险化学品仓库值班室或其他24小时有人值班的场所，并有声光报警信号；</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4）浓度监测装置应根据监测危险化学品的密度不同安装于可能泄漏或挥发区域的上方或下方；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5）浓度监测装置安装的其他要求参考《石油化工可燃气体和有毒气体检测报警设计标准》（GB/T 50493）中有关要求。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 xml:space="preserve">（14）消防设备设施应满足以下要求： </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1）危险化学品仓库室外应设置消防沙箱、消防沙铲、消防沙桶以及推车式干粉灭火器，消防沙应分装于消防桶内，码放整齐，并采取防雨防水措施；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仓库应正确选择并配置相应的火灾报警系统、消防灭火系统或设施，在同一场所应正确配置和选用相同类型与操作方法的灭火器；在不同火灾类型场所应选用通用型灭火器（如干粉灭火器）；灭火器数量的配置原则根据存储量和种类，按照《建筑灭火器配置设计规范》（GB 50140）进行配备并放置于房间外；</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3）危险化学品仓库应设置温感或烟感式火灾报警系统，且报警系统应联网至库房值班室或消防值班室，且具有声光报警信号；</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4）危险化学品库区内应设置消防栓，且满足危险化学品库周围150m内至少设置一个室外消火栓并配备足够长度的消防水带。</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45" w:name="_Toc225353443"/>
      <w:bookmarkStart w:id="46" w:name="_Toc224910860"/>
      <w:r>
        <w:rPr>
          <w:rFonts w:hint="eastAsia" w:ascii="Times New Roman" w:hAnsi="Times New Roman" w:cs="仿宋_GB2312"/>
          <w:b/>
          <w:bCs/>
        </w:rPr>
        <w:t>专用储存室和气瓶间</w:t>
      </w:r>
      <w:bookmarkEnd w:id="45"/>
      <w:bookmarkEnd w:id="46"/>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（1）专用储存室和气瓶间的耐火等级、安全疏散等应符合《建筑设计防火规范》（GB 50016）的规定。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专用储存室和气瓶间应远离食堂、活动室等人员较为密集的建筑。专用储存室和气瓶间如设在建筑物内，应选择靠外墙、人员较少的位置，并设置防火墙、泄压设施；如与其他建筑物贴邻设置时，不应有门、窗与相邻建筑物相通；泄压设施宜采用轻质屋面板、轻质墙体和易于泄压的门、窗等，其设置应避开人员密集的场所和主要交通道路。</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（3）储存有易燃易爆危险化学品的专用储存室和易燃气体气瓶间外应设置静电消除器与专用仓库的要求一致。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（4）储存有易燃易爆危险化学品的专用储存室和易燃气体气瓶间内电气设备的防爆要求应与专用仓库的要求一致。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（5）储存有易燃易爆危险化学品的专用储存室和易燃气体气瓶间的门窗、地面应符合下列要求：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1）门应向疏散方向开启；</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2）地面平整、耐磨、防滑，不应设地沟、暗道；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3）门窗、地面应采用撞击时不产生火花的材料制作。采用绝缘材料作整体面层时，应采取防静电措施。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储存可能散发易燃、毒性气体或蒸气的危险化学品专用储存室和气瓶间应设置防爆型通风设施，机械通风正常通风换气次数不少于6次/h，事故排风换气次数不应少于12次/h；并应在专用储存室和气瓶间外设置事故通风紧急按钮。</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（7）储存可能散发易燃、毒性气体或蒸气的危险化学品专用储存室和气瓶间内应设置符合《石油化工可燃气体和有毒气体检测报警设计标准》（GB/T 50493）要求的气体浓度检测报警装置，设置要求详见专用仓库浓度检测设备设施。气体声光报警控制器应设置在储存室和气瓶间外并接至有人值守的值班室内。气体浓度检测报警装置应与防爆通风机联动。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（8）储存腐蚀性危险化学品的专用储存室地面、踢脚应做防腐处理。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（9）气瓶间内空瓶与实瓶应分开放置，并有明显分区标志，有毒气体气瓶以及瓶内气体相互接触能引起燃烧、爆炸、产生毒物的气瓶，应分室存放；气瓶放置应采取防止倾倒的措施。</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47" w:name="_Toc225353444"/>
      <w:bookmarkStart w:id="48" w:name="_Toc224910861"/>
      <w:r>
        <w:rPr>
          <w:rFonts w:hint="eastAsia" w:ascii="Times New Roman" w:hAnsi="Times New Roman" w:cs="仿宋_GB2312"/>
          <w:b/>
          <w:bCs/>
        </w:rPr>
        <w:t>专柜</w:t>
      </w:r>
      <w:bookmarkEnd w:id="47"/>
      <w:bookmarkEnd w:id="48"/>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（1）作业场所危险化学品可采用专柜存储，但不应替代专用储存室，存储量不应超过本岗位当班使用量；每个专柜的存储量不应超过50L或50kg。</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（2）采用防爆柜、防腐柜等专柜储存易燃易爆、腐蚀性危险化学品的，专柜应放置于阴凉干燥通风处，专柜应有进风口和排风口，且直通到室外，柜体应进行可靠接地。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（3）易燃气体、毒性气体气瓶柜应在排风出口设置气体浓度检测报警装置；安装高度应根据气体的密度而定。气体声光报警信号控制器应设置在气瓶柜外并接至有人值守的值班室内。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（4）专柜应有明显标识，标明危险化学品类别、责任人、安全员、保管员等信息。柜内存放的危险化学品按照品名分类摆放。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（5）储存柜内的危险化学品应采用密封容器盛装，遵循固体在上液体在下、小包装在上大包装在下的摆放原则，并有防流散、防泄漏措施。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（6）不得储存自燃物品（如黄磷等）、爆炸品（如硝酸铵等）和遇湿会发生燃烧爆炸的物品（如金属钠、保险粉等）。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（7）严禁禁忌物品混合存放，对灭火器使用有特殊要求的危险化学品应设置专柜储存。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（8）禁止在储存柜内进行分（换）装、拆分、开箱（袋）、开桶（瓶）和调配等作业。</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643" w:firstLineChars="0"/>
        <w:textAlignment w:val="auto"/>
        <w:outlineLvl w:val="2"/>
        <w:rPr>
          <w:rFonts w:ascii="Times New Roman" w:hAnsi="Times New Roman" w:cs="仿宋_GB2312"/>
          <w:b/>
          <w:bCs/>
        </w:rPr>
      </w:pPr>
      <w:bookmarkStart w:id="49" w:name="_Toc224910862"/>
      <w:bookmarkStart w:id="50" w:name="_Toc225353445"/>
      <w:r>
        <w:rPr>
          <w:rFonts w:hint="eastAsia" w:ascii="Times New Roman" w:hAnsi="Times New Roman" w:cs="仿宋_GB2312"/>
          <w:b/>
          <w:bCs/>
        </w:rPr>
        <w:t>储罐</w:t>
      </w:r>
      <w:bookmarkEnd w:id="49"/>
      <w:bookmarkEnd w:id="50"/>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（1）储罐区防火堤的设置应符合《储罐区防火堤设计规范》（GB 50351）规定，储存极度危害和高度毒性液体的储罐严禁与其他易燃、可燃液体储罐布置在同一防火堤内。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危险化学品储罐应按相关标准、规范设置液位、温度、压力等监测报警装置和安全阀、呼吸阀、事故泄压等安全设施。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（2）危险化学品罐区、堆场应根据危险化学品特性设置符合相关标准的气体监测报警装置、防雷防静电装置、防爆电气设施、消防设施及事故应急处置设施。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rPr>
      </w:pPr>
      <w:r>
        <w:rPr>
          <w:rFonts w:hint="eastAsia" w:ascii="Times New Roman" w:hAnsi="Times New Roman"/>
        </w:rPr>
        <w:t>（3）厂房内的丙类液体中间储罐应设置在单独房间内，其容量不应大于5m</w:t>
      </w:r>
      <w:r>
        <w:rPr>
          <w:rFonts w:hint="eastAsia" w:ascii="Times New Roman" w:hAnsi="Times New Roman"/>
          <w:vertAlign w:val="superscript"/>
        </w:rPr>
        <w:t>3</w:t>
      </w:r>
      <w:r>
        <w:rPr>
          <w:rFonts w:hint="eastAsia" w:ascii="Times New Roman" w:hAnsi="Times New Roman"/>
        </w:rPr>
        <w:t>。设置中间储罐的房间，应当采用耐火极限不低于3.0h的防火隔墙和1.5h的楼板与其他部位分隔，房间门应当采用甲级防火门，并应设防流散、防泄漏措施。</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51" w:name="_Toc225353446"/>
      <w:bookmarkStart w:id="52" w:name="_Toc224910863"/>
      <w:r>
        <w:rPr>
          <w:rFonts w:hint="eastAsia" w:ascii="Times New Roman" w:hAnsi="Times New Roman" w:eastAsia="楷体_GB2312" w:cs="楷体_GB2312"/>
          <w:b/>
          <w:bCs/>
          <w:color w:val="000000" w:themeColor="text1"/>
          <w:szCs w:val="32"/>
          <w14:textFill>
            <w14:solidFill>
              <w14:schemeClr w14:val="tx1"/>
            </w14:solidFill>
          </w14:textFill>
        </w:rPr>
        <w:t>危化品使用管理</w:t>
      </w:r>
      <w:bookmarkEnd w:id="51"/>
      <w:bookmarkEnd w:id="52"/>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（1）危险化学品使用厂房的平面布置、与其他建筑之间的防火间距、防火疏散应满足《建筑防火通用规范》（GB 55037）和《建筑设计防火规范》（GB 50016）的要求。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使用危险化学品的场所应工艺布局合理，留有足够的操作空间、设备维修空间以及物料运输、人员行走和应急救援的通道，宜预留设备安装口和检修口。作业场所应实行区域定置管理，通道畅通，设备摆放、物料堆放以及人行道和车行道的布置不得影响人员疏散或危害作业人员安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（3）科研生产区内中间仓库及使用有爆炸危险的危险化学品使用场所应靠外墙布置，且不应与疏散通道、安全出口相邻；危险工序与非危险工序隔离或隔开。</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（4）操作使用危险化学品时，应正确佩戴和使用符合国家标准或者行业标准的劳动防护用品。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（5）火灾危险性等级较低的厂房内使用火灾危险性等级较高的危险化学品时，应按照《建筑设计防火规范》（GB 50016）要求，计算危险化学品领用量与房间容积比值，严格控制领用总量。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6）厂房内危险化学品放置、调配、分装等区域，应根据危险化学品性质，采取相应的防火、防爆、防中毒、防腐蚀、防流散等安全措施，且存放量不得超过一昼夜使用量。在存在爆炸危险区域作业时，应采取防止形成爆炸条件的措施或泄压、减压、结构抗爆或防爆等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涉及易燃易爆、有毒有害危险化学品使用场所，应设置可燃气体或有毒气体检测报警装置，并应具备现场声光报警功能，且与事故通风设施等应急处置设施联锁，监测数据接入24小时有人值守场所。可燃或有毒特种气体分配系统中排风机、泄漏报警、自动切断阀等均应设置备用电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2）易燃易爆危险化学品使用场所内电气线路的设计、电气设备的选择、安装、使用以及线路接零保护、重复接地等，应符合《爆炸危险环境电力装置设计规范》（GB 50058）的规定。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危险化学品使用场所应安装照明系统，且照明亮度应满足相应监控系统及人员操作照度不低于100Lx的要求；易燃易爆危险化学品使用区域内的照明及电气设备设施应满足防爆要求，且进入房间内的电气线路均应穿管并封堵完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4）防静电装置应满足以下要求：a）易燃易爆危险化学品使用场所排风系统的排风管应有可靠防静电接地措施；b）易燃易爆工作区域可能产生静电的液体、气体、粉尘管道以及化学清洗液作业台、有机溶剂的分装台、金属门等设备设施，应采取防静电接地措施；c）使用氢气、油漆等易燃易爆场所应安装触摸式消除静电装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5）通风系统设备设施应满足以下要求：a）使用危险化学品场所应有良好的通风设施；b）产生危险化学品粉尘和有毒有害气体的工艺设备，应设局部排风系统，局部排风吸风口的控制面、点的控制风速应满足</w:t>
      </w:r>
      <w:r>
        <w:rPr>
          <w:rFonts w:hint="eastAsia" w:ascii="Times New Roman" w:hAnsi="Times New Roman" w:cs="宋体"/>
          <w:szCs w:val="32"/>
        </w:rPr>
        <w:t>《工业建筑供暖通风与空气调节设计规范》（</w:t>
      </w:r>
      <w:r>
        <w:rPr>
          <w:rFonts w:hint="eastAsia" w:ascii="Times New Roman" w:hAnsi="Times New Roman" w:cs="宋体"/>
          <w:bCs/>
          <w:szCs w:val="32"/>
        </w:rPr>
        <w:t>GB 50019</w:t>
      </w:r>
      <w:r>
        <w:rPr>
          <w:rFonts w:hint="eastAsia" w:ascii="Times New Roman" w:hAnsi="Times New Roman" w:cs="宋体"/>
          <w:szCs w:val="32"/>
        </w:rPr>
        <w:t>）</w:t>
      </w:r>
      <w:r>
        <w:rPr>
          <w:rFonts w:hint="eastAsia" w:ascii="Times New Roman" w:hAnsi="Times New Roman" w:cs="宋体"/>
          <w:bCs/>
          <w:szCs w:val="32"/>
        </w:rPr>
        <w:t>的要求，建立并保持局部排风系统台账，每季度进行一次外观检查，每半年进行一次风速检测，并保留检查检测记录；局部排风系统出现下列情况时应分别单独设置：排风介质混合后能产生或加剧腐蚀性、毒性、燃烧爆炸危险性和发生交叉污染的；排风介质包含有毒危险化学品与无毒危险化学品，危险化学品毒性相差很大的；排风介质包含易燃易爆品与一般危险化学品。d）应根据所使用危险化学品的化学特性，选择不同材质排风管道，如易燃易爆化学品的排风管道采用金属材质，腐蚀品的排风管道采用耐腐蚀非金属材料；e）排风口的设置符合《工业建筑供暖通风与空气调节设计规范》（GB 50019）要求。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6）腐蚀性危险化学品使用场所，宜将配电箱、电气控制系统设置于房间外部，设置于房间内的配电箱、电气控制系统应采取防腐蚀措施。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（7）危险化学品使用单位中检测检验、化验分析等场所仅用于化验分析的化学试剂、标准气体、化学标准物质的管理应符合《检测实验室安全》（GB/T 27476）规定。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（8）特气间的布置应符合《特种气体系统工程技术标准》（GB 50646）的要求。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（9）危险化学品使用场所应易于获取所使用危险化学品的安全技术说明书，并张贴相应的安全标志。</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（10）危险化学品作业场所安全警示标志应设在醒目处，不应设在门、窗、架等可移动的物体上，标志前不得放置妨碍认读的障碍物，并应定期对安全标志标识进行检查和维护，确保清晰完整。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（11）工作区域应张贴应急疏散示意图，疏散通道应有示意目标方向的提示标志，安全出口上方应有醒目的“安全出口”指示灯。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（12）涉及危险化学品的压力容器及其附件的安全要求应符合国家、地方有关压力容器相关规定。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（13）危险化学品气瓶的安全要求应符合国家、地方有关气瓶安全管理要求。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14）气体管道的安全要求应符合以下规定：1）可燃气体管道和有毒气体管道宜明敷，穿过墙壁或楼板的管段应设置套管，套管内的管道不应有焊缝，套管与管道之间应采取密封措施；2）可燃气体管道和有毒气体管道不应穿过不使用此类气体的房间，当必须穿过时应设套管或双层管，严禁穿过生活区和办公区；3）可燃气体和氧气管道的末端或最高点应设放散管。放散管引至室外应高出屋脊1m，并有防雨、防杂物侵入的措施；引至室外的放散管，应设置防雷保护设施；4）室内可燃、有毒、剧毒气体管道设置阀门时应设置阀门箱，阀门箱内应设置气体泄漏报警器和排风装置；5）可燃气体管道接至用气设备的支管和放散管，应设置阻火设施；6）可燃气体管道上应设置导除静电的接地设施；7）气体管道应按不同介质设有明显的标识。主要气体管道色标应符合《安全色和安全标志》（GB 2894）的要求；8）可燃、助燃、有毒、惰性、窒息性气体管道不宜穿越库房、地沟、通风管道、地下室、吊顶、抹灰层（当穿越吊顶、技术夹层时应采取技术措施如通风、事故排风、气体报警等）；9）当气体管道与水、电管线共架时，管道气体比空气重的管道宜设在水、电管线下部；管道气体比空气轻的管道宜设在水、电管线上部，当管道经过腐蚀性介质存在的环境时应满足防腐要求；10）可燃气体管道不应地沟敷设；11）气体管道、阀门不应敲打和摇动，不应悬挂重物，敷设电源线；12）气体管道、阀门因冷冻结冰导致管道不畅时，不应火烤。</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15）清洗台的安全要求应符合以下规定：1）盛装清洗溶剂的容器应选用不产生静电、耐腐蚀材质，并配备容器盖；2）使用易燃液体清洗场所的排风管应使用金属材质，且有可靠的防静电接地措施；3）盛装清洗液的容器应有效固定；4）需要加热清洗液的清洗设备应安装温控器和液面限位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（16）危险化学品暂存柜的安全要求应符合危化品储存管理中专柜的要求。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17）尾气净化系统设备设施应满足以下要求：1）自燃性、可燃性、毒性、腐蚀性等气体必须经过尾气处理装置处理后达标排放，互为禁忌的尾气严禁同一管道混排；2）尾气处理装置的类型、材质应根据所处理气体的危险特性进行选择，不相容的特种气体应分别设置尾气处理装置；3）尾气处理装置应靠近特种气体设备布置；4）尾气处理装置应按要求定期维护清理，防止易燃易爆或有毒有害物质积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18）报警监控装置设备设施应满足以下要求：1）使用易燃易爆有毒危险化学品场所应有完好的火灾探测、视频监控和报警装置；2）使用可燃及有毒气体等场所应安装气体浓度报警装置，且气体报警装置应与相应的事故排风机联锁；报警信号应发送至消防控制室或值班室，能自动启动泄漏现场声光警报装置；3）工艺装置上可能引起火灾、爆炸的部位应设置超温、超压等检测仪表、声光报警装置和安全联锁装置等设施。4）易燃易爆及有毒有害气体报警装置、火灾探测、监控和报警装置应定期检查、维护、校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19）消防设备设施应满足以下要求：1）一个计算单元内配置的灭火器数量不得少于两具、每个设置点的灭火器数量不宜多于五具；2）灭火器应设置在位置明显和便于取用的地点，不应超出其最大保护距离，且不影响安全疏散；3）手提式灭火器宜设置在灭火器箱内或挂钩、托架上，其顶部离地面高度应不大于1.50m，底部离地面高度宜不小于0.08m；4）灭火器不宜设置在潮湿或强腐蚀性的地点，灭火器设置在室外时，应采取相应的保护措施；5）灭火器不得设置在超出其使用温度范围的地点；6）室内消火栓应设在走廊、楼梯附近等明显且易于取用地点，且应有明显的标志，室内消火栓栓口离地面高度宜为1.1m。</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（20）各危险化学品使用部门应向危险化学品作业人员告知所接触的危险化学品的理化特性、安全防护措施、个体防护用品穿戴要求和应急处理方法等。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（21）各危险化学品使用部门应向危险化学品使用人员告知作业场所危险化学品的危险源、职业病危害因素及其检测结果。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（22）应向接触有毒有害危险化学品的作业人员告知职业健康体检结果。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（23）各危险化学品使用部门应根据接触危险化学品种类、强度、危险特性，为从业人员配备符合国家标准或行业标准的劳动防护用品和器具，从业人员应按操作规程要求穿戴。</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接触腐蚀性危险化学品的作业人员应穿戴防酸碱类围裙、手套、靴子、面罩或护目镜、防护口罩等劳动防护用品。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接触易燃易爆危险化学品的作业人员作业前应穿戴防静电工作服等劳动防护用品。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接触有毒有害类危险化学品的作业人员作业前应穿戴正压式空气呼吸器或相应全面式、半面式防护面罩以及防护手套等劳动防护用品。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（24）正常或维修作业时，应按操作规程要求穿戴相适应的劳动防护用品。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（25）危险化学品作业人员应严格按照安全技术操作规程进行操作，熟知所使用的危险化学品的危险特性、安全防护措施、废弃处置要求、应急处置方法等。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（26）进行有毒有害、易燃易爆、产生粉尘等危险化学品的操作应在通风柜内或具有良好通风环境的专用场所内进行。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27）危险作业场所须设置稳固的物理隔离设施或硬质隔断，明确划分作业区域与非作业区域，从空间上实现有效分隔。作业前应根据现场作业风险、操作要求及应急条件，严格核定并公告该场所的作业定员上限。现场作业期间必须设专人负责监护与管理，实时核查人数，确保作业场所作业人员不多于9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（28）作业现场待使用的危险化学品应存放在中间仓库或化学品柜内，且禁忌物不得混存，危险化学品随用随取，不用时应送回中间仓库或危险化学品库房。</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（29）废弃的危险化学品应放置在符合安全条件的场所，按照标志标识要求对其分类暂存，严禁混存混放并做到日产日清。</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（30）危险化学品使用现场的危险化学品临时存放量严禁超过当班量，中间库严禁超过24小时使用量。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31）更换特气瓶应满足以下要求：特气瓶更换操作人员应熟知使用各种瓶装气瓶的危险特性、安全防护要求、操作规程、应急处置措施等。更换气瓶前，操作人员应检查气瓶外观，有明显变形或其他缺陷影响其直立或安装使用的气瓶严禁使用，同时应确认需要更换气瓶的气体名称是否正确、气瓶是否在检验有效期内。更换气瓶时应有两名以上人员进行操作，一人操作，其他人员协助检查。特气瓶更换操作人员应穿戴好相应的防护用品，使用专用工具拆卸更换气瓶的减压表头或连接管道，并立即盖好瓶帽移至空瓶存放区。特气瓶拆卸和安装时，操作人员应站在气瓶出气口的侧面，缓慢操作拆卸瓶口封堵。特气瓶更换安装完成后，应先充入置换气体（氮气或惰性气体），再用专用检漏液或肥皂水对安装后管道的密闭性进行检查。更换易燃气体气瓶应配备防止产生电火花的铜质扳手、耐高温手套、灭火毯、灭火器等工具；更换有毒气体气瓶应配备相应防毒面具；更换剧毒气体气瓶应配备正压式空气呼吸器</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32）集中供液系统应满足以下要求：危险化学品集中供液柜底部应配置液体收集托盘、泄漏侦测器及带隔断阀的重力排废液接口。集中供液系统顶进风口应设置过滤器且与柜门自动联锁，柜体应设置含过滤器的新鲜空气进风格栅，柜体排气口应连接至尾气处理系统。易燃易爆类液体集中供液柜门处应设置防静电设施。集中供液系统中与危险化学品直接接触的管件应与之兼容不发生反应。集中供液系统中供应单元的出口应设有自动和手动阀，自动阀信号连接至监控系统，同时设有联动的紧急按钮装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（33）具有化学灼伤危险的作业场所，应设置洗眼器、淋洗器等安全防护措施，淋洗器、洗眼器的服务半径应不大于15m。淋洗器、洗眼器的冲洗水上水水质应符合现行国家标准《生活饮用水卫生标准》（GB 5749）的规定，并应为不间断供水；淋洗器、洗眼器的排水应纳入工厂污水管网；并在装置区安全位置设置救护箱。</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3"/>
        <w:jc w:val="left"/>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53" w:name="_Toc225353447"/>
      <w:bookmarkStart w:id="54" w:name="_Toc224910864"/>
      <w:r>
        <w:rPr>
          <w:rFonts w:hint="eastAsia" w:ascii="Times New Roman" w:hAnsi="Times New Roman" w:eastAsia="楷体_GB2312" w:cs="楷体_GB2312"/>
          <w:b/>
          <w:bCs/>
          <w:color w:val="000000" w:themeColor="text1"/>
          <w:szCs w:val="32"/>
          <w14:textFill>
            <w14:solidFill>
              <w14:schemeClr w14:val="tx1"/>
            </w14:solidFill>
          </w14:textFill>
        </w:rPr>
        <w:t>危化品废弃处置管理</w:t>
      </w:r>
      <w:bookmarkEnd w:id="53"/>
      <w:bookmarkEnd w:id="54"/>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1）危险化学品废物收集和转运应采取相应的安全防护和污染防治措施，并满足以下要求：1）应按照危险化学品特性要求对危险化学品废弃物进行分类收集，互为禁忌的危险化学品废弃物应分别收集，并通过标志标识明确区分，且要覆盖原标签；2）分散收集危险化学品废弃物时，应根据危险废物的种类、数量、危险特性、物理形态、运输要求等因素确定包装形式，包装材质要与危险化学品废弃物相容；3）集中收集危险化学品废弃物时，输送危险化学品废弃物的收集装置、管道系统和贮存设施应采用与危险化学品废弃物相容（不相互反应）的材质，并能满足相应的强度要求；应对管道和设施进行日常安全检查和维护，发现跑、冒、滴、漏应立即维修；4）包装好的危险化学品废弃物应张贴相应的标签，盛装过危险化学品废弃物的包装袋或包装容器破损后应及时进行二次包装，并将破损的包装袋或包装容器按危险化学品废弃物进行管理和处置。装载液体、半固体危险废物的容器内应留足够空间，容器顶部与液体表面之间保留100mm以上的空间。收集过危险化学品废弃物的容器、设备、设施、场所及其他物品转作他用时，应消除污染，确保其使用安全；5）危险化学品废弃物临时收集点宜就近设置；6）危险化学品废弃物的收集应确定相应作业区域，收集结束后清理和恢复收集作业区域，确保作业区域环境整洁安全；7）厂房内危废的收集应由配送人员专门负责，每天统一转移至危险化学品废弃物库房，不应隔夜存放和随意抛弃，且桶盖、瓶盖应盖好；8）化学品废弃物内部转运作业应综合考虑厂区的实际情况确定转运路线，避开办公区和生活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2）危险化学品废弃物存储除应符合危险化学品原辅材料、产品、半成品储存条件外，还应满足以下要求：1）严禁使用不具备安全条件的建筑物（如临时建筑、其他功能库房、闲置办公用房、闲置科研生产用房、生活用房等）存放危险化学品废弃物；2）危险化学品废弃物暂存场所要有防渗透、建筑围墙、泄漏收集、消防系统等措施，并设置危险化学品废弃物警示标识和环保标签，现场应配备相应的应急器材和物资；3）危险化学品废弃物应按照其特性分类储存。禁止混合收集、贮存、运输、处置性质不相容而未经安全性处置的危险废物；禁止将危险废物混入非危险废物中贮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（3）应按照国家有关规定处置危险化学品废弃物，合法排放、达标排放。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（4）应联系有资质的单位对各类危险化学品废弃物进行委托处置，按照要求办理危险化学品废弃物转移手续，确保各项记录完整有效。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cs="宋体"/>
          <w:bCs/>
          <w:szCs w:val="32"/>
        </w:rPr>
      </w:pPr>
      <w:r>
        <w:rPr>
          <w:rFonts w:hint="eastAsia" w:ascii="Times New Roman" w:hAnsi="Times New Roman" w:cs="宋体"/>
          <w:bCs/>
          <w:szCs w:val="32"/>
        </w:rPr>
        <w:t>（5）相互禁配废弃危险化学品是指两种或两种以上不同危废混合后，发生化学反应，会产生爆炸、有毒气体（如氯气、氯化氢等）等危险的废弃化学品。具体不相容性危险废弃物可查询下表。（依据《危险废物贮存污染控制标准》（GB 18597-2023）中的附录B.2）</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1732"/>
        <w:gridCol w:w="5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gridSpan w:val="2"/>
            <w:vAlign w:val="center"/>
          </w:tcPr>
          <w:p>
            <w:pPr>
              <w:pStyle w:val="22"/>
              <w:ind w:firstLine="482"/>
              <w:jc w:val="center"/>
              <w:rPr>
                <w:rFonts w:ascii="Times New Roman" w:hAnsi="Times New Roman" w:eastAsia="仿宋_GB2312"/>
                <w:b/>
                <w:bCs/>
                <w:sz w:val="24"/>
              </w:rPr>
            </w:pPr>
            <w:r>
              <w:rPr>
                <w:rFonts w:hint="eastAsia" w:ascii="Times New Roman" w:hAnsi="Times New Roman" w:eastAsia="仿宋_GB2312"/>
                <w:b/>
                <w:bCs/>
                <w:sz w:val="24"/>
              </w:rPr>
              <w:t>相互禁配危险废物</w:t>
            </w:r>
          </w:p>
        </w:tc>
        <w:tc>
          <w:tcPr>
            <w:tcW w:w="5221" w:type="dxa"/>
            <w:vMerge w:val="restart"/>
            <w:vAlign w:val="center"/>
          </w:tcPr>
          <w:p>
            <w:pPr>
              <w:pStyle w:val="22"/>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混合时会产生的危险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769" w:type="dxa"/>
            <w:vAlign w:val="center"/>
          </w:tcPr>
          <w:p>
            <w:pPr>
              <w:pStyle w:val="22"/>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甲</w:t>
            </w:r>
          </w:p>
        </w:tc>
        <w:tc>
          <w:tcPr>
            <w:tcW w:w="1770" w:type="dxa"/>
            <w:vAlign w:val="center"/>
          </w:tcPr>
          <w:p>
            <w:pPr>
              <w:pStyle w:val="22"/>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乙</w:t>
            </w:r>
          </w:p>
        </w:tc>
        <w:tc>
          <w:tcPr>
            <w:tcW w:w="5221" w:type="dxa"/>
            <w:vMerge w:val="continue"/>
          </w:tcPr>
          <w:p>
            <w:pPr>
              <w:pStyle w:val="22"/>
              <w:spacing w:line="520" w:lineRule="exact"/>
              <w:ind w:firstLine="482"/>
              <w:jc w:val="center"/>
              <w:rPr>
                <w:rFonts w:ascii="Times New Roman" w:hAnsi="Times New Roman"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氰化物</w:t>
            </w:r>
          </w:p>
        </w:tc>
        <w:tc>
          <w:tcPr>
            <w:tcW w:w="1770"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酸类、非氧化</w:t>
            </w:r>
          </w:p>
        </w:tc>
        <w:tc>
          <w:tcPr>
            <w:tcW w:w="5221"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产生氰化氢、吸入少量可能致命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次氯酸盐</w:t>
            </w:r>
          </w:p>
        </w:tc>
        <w:tc>
          <w:tcPr>
            <w:tcW w:w="1770"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酸类、非氧化</w:t>
            </w:r>
          </w:p>
        </w:tc>
        <w:tc>
          <w:tcPr>
            <w:tcW w:w="5221"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产生氯气、吸入可能会致命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铜、铬及多种重金属</w:t>
            </w:r>
          </w:p>
        </w:tc>
        <w:tc>
          <w:tcPr>
            <w:tcW w:w="1770"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酸类、氧化，如硝酸</w:t>
            </w:r>
          </w:p>
        </w:tc>
        <w:tc>
          <w:tcPr>
            <w:tcW w:w="5221"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产生二氧化氮、亚硝酸盐，引致刺激眼目及烧伤皮肤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9"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强酸</w:t>
            </w:r>
          </w:p>
        </w:tc>
        <w:tc>
          <w:tcPr>
            <w:tcW w:w="1770"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强碱</w:t>
            </w:r>
          </w:p>
        </w:tc>
        <w:tc>
          <w:tcPr>
            <w:tcW w:w="5221"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可能引起爆炸性的反应及产生热量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氨盐</w:t>
            </w:r>
          </w:p>
        </w:tc>
        <w:tc>
          <w:tcPr>
            <w:tcW w:w="1770"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强碱</w:t>
            </w:r>
          </w:p>
        </w:tc>
        <w:tc>
          <w:tcPr>
            <w:tcW w:w="5221"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产生氨气，吸入会刺激眼目及呼吸道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氧化剂</w:t>
            </w:r>
          </w:p>
        </w:tc>
        <w:tc>
          <w:tcPr>
            <w:tcW w:w="1770"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还原剂</w:t>
            </w:r>
          </w:p>
        </w:tc>
        <w:tc>
          <w:tcPr>
            <w:tcW w:w="5221" w:type="dxa"/>
            <w:vAlign w:val="center"/>
          </w:tcPr>
          <w:p>
            <w:pPr>
              <w:pStyle w:val="22"/>
              <w:ind w:firstLine="0" w:firstLineChars="0"/>
              <w:rPr>
                <w:rFonts w:ascii="Times New Roman" w:hAnsi="Times New Roman" w:eastAsia="仿宋_GB2312"/>
                <w:sz w:val="24"/>
              </w:rPr>
            </w:pPr>
            <w:r>
              <w:rPr>
                <w:rFonts w:hint="eastAsia" w:ascii="Times New Roman" w:hAnsi="Times New Roman" w:eastAsia="仿宋_GB2312"/>
                <w:sz w:val="24"/>
              </w:rPr>
              <w:t>可能引起强烈爆炸性反应及产生热能</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cs="宋体"/>
          <w:bCs/>
          <w:szCs w:val="32"/>
        </w:rPr>
      </w:pPr>
      <w:r>
        <w:rPr>
          <w:rFonts w:hint="eastAsia" w:ascii="Times New Roman" w:hAnsi="Times New Roman" w:cs="宋体"/>
          <w:bCs/>
          <w:szCs w:val="32"/>
        </w:rPr>
        <w:t>（6）含有危险化学品的尾气、废水等环保处理设施应经正规设计，在环保设施设备建设和改造中必须依法开展安全风险评估，严禁采用淘汰设备和工艺。</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643"/>
        <w:jc w:val="both"/>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55" w:name="_Toc225353448"/>
      <w:bookmarkStart w:id="56" w:name="_Toc224910865"/>
      <w:r>
        <w:rPr>
          <w:rFonts w:hint="eastAsia" w:ascii="Times New Roman" w:hAnsi="Times New Roman" w:eastAsia="楷体_GB2312" w:cs="楷体_GB2312"/>
          <w:b/>
          <w:bCs/>
          <w:color w:val="000000" w:themeColor="text1"/>
          <w:szCs w:val="32"/>
          <w14:textFill>
            <w14:solidFill>
              <w14:schemeClr w14:val="tx1"/>
            </w14:solidFill>
          </w14:textFill>
        </w:rPr>
        <w:t>危险化学品使用单位退出管理</w:t>
      </w:r>
      <w:bookmarkEnd w:id="55"/>
      <w:bookmarkEnd w:id="56"/>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危险化学品使用单位在停产、停业或退出时，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应确保危险化学品的储存、处置和安全管理符合规定，防止事故发生。</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Chars="0"/>
        <w:jc w:val="both"/>
        <w:textAlignment w:val="auto"/>
        <w:outlineLvl w:val="1"/>
        <w:rPr>
          <w:rFonts w:ascii="Times New Roman" w:hAnsi="Times New Roman" w:eastAsia="楷体_GB2312" w:cs="楷体_GB2312"/>
          <w:b/>
          <w:bCs/>
          <w:color w:val="000000" w:themeColor="text1"/>
          <w:szCs w:val="32"/>
          <w14:textFill>
            <w14:solidFill>
              <w14:schemeClr w14:val="tx1"/>
            </w14:solidFill>
          </w14:textFill>
        </w:rPr>
      </w:pPr>
      <w:bookmarkStart w:id="57" w:name="_Toc224910866"/>
      <w:bookmarkStart w:id="58" w:name="_Toc225353449"/>
      <w:r>
        <w:rPr>
          <w:rFonts w:hint="eastAsia" w:ascii="Times New Roman" w:hAnsi="Times New Roman" w:eastAsia="楷体_GB2312" w:cs="楷体_GB2312"/>
          <w:b/>
          <w:bCs/>
          <w:color w:val="000000" w:themeColor="text1"/>
          <w:szCs w:val="32"/>
          <w14:textFill>
            <w14:solidFill>
              <w14:schemeClr w14:val="tx1"/>
            </w14:solidFill>
          </w14:textFill>
        </w:rPr>
        <w:t>应急管理</w:t>
      </w:r>
      <w:bookmarkEnd w:id="57"/>
      <w:bookmarkEnd w:id="58"/>
    </w:p>
    <w:p>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firstLine="640" w:firstLineChars="0"/>
        <w:jc w:val="both"/>
        <w:textAlignment w:val="auto"/>
        <w:outlineLvl w:val="2"/>
        <w:rPr>
          <w:rFonts w:ascii="Times New Roman" w:hAnsi="Times New Roman" w:cs="仿宋_GB2312"/>
          <w:b/>
          <w:bCs/>
        </w:rPr>
      </w:pPr>
      <w:bookmarkStart w:id="59" w:name="_Toc225353450"/>
      <w:bookmarkStart w:id="60" w:name="_Toc224910867"/>
      <w:r>
        <w:rPr>
          <w:rFonts w:hint="eastAsia" w:ascii="Times New Roman" w:hAnsi="Times New Roman" w:cs="仿宋_GB2312"/>
          <w:b/>
          <w:bCs/>
        </w:rPr>
        <w:t>应急准备</w:t>
      </w:r>
      <w:bookmarkEnd w:id="59"/>
      <w:bookmarkEnd w:id="60"/>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（1）应急预案编制。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危险化学品使用单位应按照《生产经营单位生产安全事故编制导则》（GB/T 26939）要求，组织编制《生产安全事故应急预案》应急预案编制应注重系统性和可操作性，做到与地方政府相关部门和单位应急预案相衔接。应急预案编制应遵循以人为本、依法依规、符合实际、注重实效的原则，清晰界定本单位的响应分级标准，预案力求简明化、图表化、流程化。</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生产安全事故应急预案体系主要由综合预案、专项预案和现场处置方案构成。编制的综合预案、专项预案和现场处置方案。企业综合应急预案及上级安全监管部门应急预案相衔接，并定期组织演练、评估，根据评估结果修订完善应急预案。涉及重点监管的危险化学品安全措施和应急处置原则，应符合《国家安全监管总局关于公布首批重点监管的危险化学品名录的通知》（安监总管三〔2011〕95号）、国家安全监管总局办公厅关于印发《首批重点监管的危险化学品安全措施和应急处置原则》（安监总厅管三〔2011〕142号）、《国家安全监管总局关于公布第二批重点监管危险化学品名录的通知》（安监总管三〔2013〕12号）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综合预案。生产安全事故综合应急预案是生产经营单位为应对各种生产安全事故而制定的综合性工作方案，是本单位应对生产安全事故的总体工作程序、措施和应急预案体系的总纲。主要要素包括：总则、应急组织机构及职责、应急响应、后期处置、应急保障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专项预案。专项应急预案是生产经营单位为应对某一种或多种类型生产安全事故，或者针对重要生产设施、重大危险源、重大活动防止生产安全事故而制定的专项工作方案。专项应急预案的结构主要包括：适用范围、应急组织机构及职责、响应启动、处置措施、应急保障。专项应急预案与综合应急预案中的应急组织机构、应急响应程序相近时，可不编写专项应急预案，相应的应急处置措施并入综合应急预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3）现场处置方案。现场处置方案是生产经营单位根据不同生产安全事故类别，针对具体的场所、装置或者设施所制定的应急处置措施。现场处置方案应满足以下要求：a）具体、简单、针对性强；b）应重点规范事故风险描述、应急工作职责、应急处置措施和注意事项，应体现自救互救、信息报告和先期处置的特点；c）应根据风险评估及危险性控制措施逐一编制，做到事故相关员工应知应会，熟练掌握，并通过应急演练，做到迅速反应、正确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4）现场应急卡。根据</w:t>
      </w:r>
      <w:bookmarkStart w:id="61" w:name="_Hlk218673704"/>
      <w:r>
        <w:rPr>
          <w:rFonts w:hint="eastAsia" w:ascii="Times New Roman" w:hAnsi="Times New Roman"/>
        </w:rPr>
        <w:t>《生产经营单位生产安全事故应急处置卡编制指南》（YJ/T 32-2025）的要求</w:t>
      </w:r>
      <w:bookmarkEnd w:id="61"/>
      <w:r>
        <w:rPr>
          <w:rFonts w:hint="eastAsia" w:ascii="Times New Roman" w:hAnsi="Times New Roman"/>
        </w:rPr>
        <w:t>编制重点岗位、危险工艺《现场应急卡》，明确现场应急处置措施。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（2）应急预案评审与备案。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应急预案应经评审或论证，并经批准实施，现行有效版本应发放至本单位有关部门、岗位和相关应急救援队伍。</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both"/>
        <w:textAlignment w:val="auto"/>
        <w:rPr>
          <w:rFonts w:ascii="Times New Roman" w:hAnsi="Times New Roman"/>
        </w:rPr>
      </w:pPr>
      <w:r>
        <w:rPr>
          <w:rFonts w:hint="eastAsia" w:ascii="Times New Roman" w:hAnsi="Times New Roman"/>
        </w:rPr>
        <w:t>应急预案评审合格后，由单位主要负责人签发实施；按《生产安全事故应急预案管理办法》（应急管理部2号令）要求进行备案。应定期评估应急预案，及时根据评估结果或实际情况的变化进行修订和完善，并按照有关规定将修订的应急预案及时报当地主管部门及上级管理部门备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（3）应急物资的配备。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单位应根据可能发生的事故种类特点，按照规定设置应急设施，配备应急装备，储备应急物资，建立管理台账，安排专人管理，并定期检查、维护、保养，确保其完好、可靠。</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单位应建立应急救援通讯网络。应急救援通讯网络包括：</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1）设置固定应急值守报警电话并保持24小时畅通；</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2）明确应急救援指挥和救援人员电话；</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3）明确外部救援单位联络电话。</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（4）应急预案培训。</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单位应组织各部门开展应急预案相关培训，使员工了解相关应急预案内容，熟悉应急职责、应急程序和现场处置方案。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（5）应急演练</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单位应按照《生产安全事故应急演练基本规范》（YJ/T 9007）的规定定期组织开展生产安全事故应急演练。</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应急演练应重点关注效果，做到一线员工参与应急演练全覆盖。具体要求为：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1）应急演练按照演练内容可分为综合预案演练和单项（专项预案及现场处置方案）演练，按照演练形式分为现场演练和桌面演练；</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2）每年至少组织一次综合预案演练或者专项预案演练；</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3）每半年至少组织一次现场处置方案演练；</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各部门应按照《生产安全事故应急演练基本规范》（YJ/T  9007）和《生产安全事故应急演练实施与评估》（DB11/T 1583）的规定对各类演练进行总结和评估，根据评估结论和演练发现的问题，修订、完善应急预案，改进应急准备工作。应急演练进行总结和评估的具体要求为：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（1）口头点评。应急演练结束后，评估人员或评估组负责人在演练现场对演练中发现的问题、不足及取得的成效进行口头点评；</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书面评估。评估人员针对演练中观察、记录以及收集的各种信息资料，依据评估标准对应急演练活动全过程进行科学分析和客观评价，并撰写书面评估报告。评估报告重点对演练活动的组织和实施、演练目标的实现、参演员工的表现以及演练中暴露的问题进行评估；</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color w:val="000000"/>
          <w:szCs w:val="21"/>
        </w:rPr>
      </w:pPr>
      <w:r>
        <w:rPr>
          <w:rFonts w:hint="eastAsia" w:ascii="Times New Roman" w:hAnsi="Times New Roman"/>
        </w:rPr>
        <w:t>（3）演练总结。应急演练结束后，应根据演练记录、演练评估报告、应急预案、现场总结等材料，对演练进行全面总结，并形</w:t>
      </w:r>
      <w:r>
        <w:rPr>
          <w:rFonts w:hint="eastAsia" w:ascii="Times New Roman" w:hAnsi="Times New Roman"/>
          <w:color w:val="000000"/>
          <w:szCs w:val="21"/>
        </w:rPr>
        <w:t>成演练书面总结报告。报告可对应急预案的适用性、应急演练准备、策划等工作进行简要总结分析。演练总结的内容主要包括：应急预案的实用性、应急演练基本概要；预案及演练发现的问题，取得的经验和教训；应急管理工作建议。</w:t>
      </w:r>
      <w:r>
        <w:rPr>
          <w:rFonts w:hint="eastAsia" w:ascii="Times New Roman" w:hAnsi="Times New Roman"/>
        </w:rPr>
        <w:t>开展演练后，要形成演练记录。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（6）应急预案修订。</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应急预案编制单位应当建立应急预案定期评估制度，对预案内容的针对性和实用性进行分析，并对应急预案是否需要修订作出结论。若在潜在事件和突发事故发生后或者单位发生重大变化时，应根据评估结果或实际情况的变化或应急演练中发现应急预案存在问题时，及时修订和完善应急预案，实现可持续改进。</w:t>
      </w:r>
    </w:p>
    <w:p>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firstLine="640" w:firstLineChars="0"/>
        <w:jc w:val="both"/>
        <w:textAlignment w:val="auto"/>
        <w:outlineLvl w:val="2"/>
        <w:rPr>
          <w:rFonts w:ascii="Times New Roman" w:hAnsi="Times New Roman" w:cs="仿宋_GB2312"/>
          <w:b/>
          <w:bCs/>
        </w:rPr>
      </w:pPr>
      <w:bookmarkStart w:id="62" w:name="_Toc225353451"/>
      <w:bookmarkStart w:id="63" w:name="_Toc224910868"/>
      <w:r>
        <w:rPr>
          <w:rFonts w:hint="eastAsia" w:ascii="Times New Roman" w:hAnsi="Times New Roman" w:cs="仿宋_GB2312"/>
          <w:b/>
          <w:bCs/>
        </w:rPr>
        <w:t>应急响应及处置</w:t>
      </w:r>
      <w:bookmarkEnd w:id="62"/>
      <w:bookmarkEnd w:id="63"/>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应急响应。发生事故后，事故现场首先发现事故的人员应立即向上一级领导报告事故情况，相关负责人应根据单位《生产安全事故应急预案》中的预案响应分级要求，立即启动应急响应程序，并做到响应有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（2）应急处置。启动应急响应程序后，应即刻采取发出警报、报告事故、减轻危害、请求救援、控制危险源、救护伤员、疏散人员等各种应急处置措施，力求最大限度地减少人员伤亡及财产损失。</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对可能引发次生事故灾害的，还应及时报告地方政府相关主管部门。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启动应急救援预案后，应对事故及事故现场抢救、警戒、救援情况进行记录，并在应急救援工作结束后形成书面总结报告。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（3）应急善后和应急评估。</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应急善后主要包括如下内容。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1）清理事故现场，消除危害后果。对事故造成的对人体、土壤、水源、空气的危害，迅速采取封闭、隔离、洗消等措施，对事故外溢的有毒有害物质和可能对人和环境继续造成危害的物质，应及时组织人员或请专业机构人员进行清除，收集后的有毒有害物质应纳入危险化学品废弃物一并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2）对环境造成损害的致因物质进行监测与监控，并采取适当的措施，直至符合国家环境保护标准；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3）初步了解发生原因和事故性质，估算事故影响范围和危险程度，查明人员伤亡情况，为开展好事故调查奠定基础。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4）应急评估。应急善后结束后，应对应急准备、应急处置、应急善后工作进行评估，还应主动配合有关地方政府部门开展应急处置评估。</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both"/>
        <w:textAlignment w:val="auto"/>
        <w:rPr>
          <w:rFonts w:ascii="Times New Roman" w:hAnsi="Times New Roman"/>
          <w:szCs w:val="32"/>
        </w:rPr>
      </w:pPr>
      <w:r>
        <w:rPr>
          <w:rFonts w:hint="eastAsia" w:ascii="Times New Roman" w:hAnsi="Times New Roman"/>
          <w:szCs w:val="32"/>
        </w:rPr>
        <w:br w:type="page"/>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both"/>
        <w:textAlignment w:val="auto"/>
        <w:outlineLvl w:val="0"/>
        <w:rPr>
          <w:rFonts w:ascii="Times New Roman" w:hAnsi="Times New Roman" w:eastAsia="黑体" w:cs="黑体"/>
          <w:color w:val="000000" w:themeColor="text1"/>
          <w:szCs w:val="32"/>
          <w14:textFill>
            <w14:solidFill>
              <w14:schemeClr w14:val="tx1"/>
            </w14:solidFill>
          </w14:textFill>
        </w:rPr>
      </w:pPr>
      <w:bookmarkStart w:id="64" w:name="_Toc225353452"/>
      <w:r>
        <w:rPr>
          <w:rFonts w:hint="eastAsia" w:ascii="Times New Roman" w:hAnsi="Times New Roman" w:eastAsia="黑体" w:cs="黑体"/>
          <w:color w:val="000000" w:themeColor="text1"/>
          <w:szCs w:val="32"/>
          <w14:textFill>
            <w14:solidFill>
              <w14:schemeClr w14:val="tx1"/>
            </w14:solidFill>
          </w14:textFill>
        </w:rPr>
        <w:t>第三章  化工和危险化学品生产经营企业重大生产安全事故隐患判定准则</w:t>
      </w:r>
      <w:bookmarkEnd w:id="64"/>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ascii="Times New Roman" w:hAnsi="Times New Roman"/>
        </w:rPr>
      </w:pPr>
      <w:r>
        <w:rPr>
          <w:rFonts w:hint="eastAsia" w:ascii="Times New Roman" w:hAnsi="Times New Roman"/>
        </w:rPr>
        <w:t>根据《化工和危险化学品生产经营企业重大生产安全事故隐患判定准则》（AQ 3067-2026）对危险化学品使用单位（主要为化工（含医药）单位）的重大生产安全事故隐患进行判定。</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297"/>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29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19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重点从业人员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两重点一重大”生产装置或储存设施的企业（加油站除外）主要负责人，主管生产、设备、技术、安全的负责人，专职安全生产管理人员不具备化学、化工、安全等相关专业大专及以上学历，且不具备化工类中级及以上职称。</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危险化学品重大危险源（以下简称“重大危险源”）或重点监管的危险化工工艺生产装置、储存设施操作人员，不具备高中及以上学历且未达到化工类中等及以上职业教育水平；涉及爆炸危险性化学品的生产装置或储存设施的操作人员，不具备化工类大专及以上学历。</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特种作业人员未持证上岗。</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重大危险源主要负责人、技术负责人、操作负责人未按照AQ 3072的要求履责。</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设计与规划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生产装置或储存设施未经正规设计且未按照要求开展安全设计诊断；建设项目周边条件，主要技术、工艺路线、产品方案或者装置规模发生重大变化未重新进行安全设施设计；设计单位资质不满足相关规定要求。</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涉及“两重点一重大”的生产装置或储存设施外部安全防护距离不符合GB 36894、GB/T 37243的要求。</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地区架空电力线路穿越生产区且不符合标准规范要求。</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甲、乙类火灾危险性、爆炸危险性、急性毒性（类别1、类别2）化学品或构成爆炸性粉尘环境的厂房（含装置或车间）或仓库内设置办公室、休息室、外操室（含人员固定操作岗位）、巡检室等人员聚集场所。</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3067-2026）第5.2.7条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硝化工艺装置未按照AQ 3062的要求实现全流程自动化控制；硝化反应器未设置紧急冷却系统（绝热硝化、微通道反应器除外）；热媒温度超过物料T</w:t>
            </w:r>
            <w:r>
              <w:rPr>
                <w:rFonts w:hint="eastAsia" w:ascii="Times New Roman" w:hAnsi="Times New Roman" w:cs="楷体_GB2312"/>
                <w:color w:val="000000" w:themeColor="text1"/>
                <w:sz w:val="24"/>
                <w:vertAlign w:val="subscript"/>
                <w14:textFill>
                  <w14:solidFill>
                    <w14:schemeClr w14:val="tx1"/>
                  </w14:solidFill>
                </w14:textFill>
              </w:rPr>
              <w:t>D24</w:t>
            </w:r>
            <w:r>
              <w:rPr>
                <w:rFonts w:hint="eastAsia" w:ascii="Times New Roman" w:hAnsi="Times New Roman" w:cs="楷体_GB2312"/>
                <w:color w:val="000000" w:themeColor="text1"/>
                <w:sz w:val="24"/>
                <w14:textFill>
                  <w14:solidFill>
                    <w14:schemeClr w14:val="tx1"/>
                  </w14:solidFill>
                </w14:textFill>
              </w:rPr>
              <w:t>的，涉及硝化物的蒸馏（精馏）釜、蒸馏（精馏）塔再沸器未配备紧急冷却系统。</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3067-2026）第5.2.10条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3"/>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使用淘汰落后安全生产工艺技术设备目录中的工艺、技术、设施、设备。</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新开发的化工工艺未按照要求进行小试、中试、工业化试验，直接进行工业化应用；采用中试、工业化试验装置作为工业化生产装置；国内首次使用的化工工艺未经过省级人民政府有关部门组织的安全可靠性论证。</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3067-2026）第5.3.2条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工艺技术来源不明；国外引进或国内转让的生产工艺技术，未提供工艺技术的设计基础、工艺说明、工艺设备清单、工艺控制方式、控制参数以及过程危险性分析报告等工艺技术资料。</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3067-2026）第5.3.3条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精细化工装置未按照要求开展反应安全风险评估，或反应安全风险评估条件与实际工况不相符；未按照AQ 3062的要求获得原料、催化剂、中间产品、产品、副产物，以及蒸馏（精馏）等后处理过程涉及的各相关物料的热分解起始分解温度、分解热等物料热稳定性数据；工艺控制指标发生变更且超出设计范围、原辅料发生变更或投料顺序发生改变未重新开展反应安全风险评估；未按照反应安全风险评估结论和建议落实安全风险管控措施。</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硝基化合物、有机过氧化物、重氮化合物等涉及爆炸危险性风险的固体物料摩擦感度、撞击感度不明确，且未采取防控措施。</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3067-2026）第5.3.6条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存在可燃或有毒气体泄漏风险的场所未按照设计要求设置气体探测器或气体探测器功能失效；GDS未投入使用。</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3067-2026）第5.4.2条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爆炸危险场所未按照标准规范要求安装使用防爆电气设备。</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3067-2026）第5.4.3条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易挥发性可燃液体物料储罐罐顶的油气收集管道未设置阻爆轰型阻火器；混合后能发生化学反应的气体共用收集系统。</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3067-2026）第5.4.5条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安全阀、爆破片未按照设计要求设置或未正常投用。</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3067-2026）第5.4.6条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3"/>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生产运行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建设项目试生产前未完成“三查四定”；试生产方案未经审查；未进行PSSR即投料开车。</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未制定操作规程和工艺控制指标；未按照操作规程即时响应和处置重要工艺报警或气体检测报警。</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涉及重点监管的危险化工工艺生产装置、构成重大危险源的生产装置或储存设施未实现自动化控制；装备的自动化控制系统未投入使用或功能失效。</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涉及重点监管的危险化工工艺生产装置未实现紧急停车功能；紧急停车系统未投入使用或功能</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重点监管的危险化工工艺生产装置、构成重大危险源的生产装置或储存设施的安全联锁摘除未履行审批手续或摘除后的联锁未按照审批要求恢复；涉及物料发生热分解失控风险的生产装置、储存设施的控制、联锁设施未投入使用或功能失效。</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未按照GB 15603等标准规范要求分区分类储存危险化学品；超量、超品种储存危险化学品；相互禁配物质混放混存。</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生产现场违规存放爆炸危险性化学品。</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涉及甲类、剧毒物料的压力管道、管道元件（弯头、法兰、变径等）采用打“卡具”等临时堵漏措施继续运行。</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可燃液体常压储罐未按照AQ 3063的要求设置氮气密封保护系统或定期检测气相空间可燃气体浓度。</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3067-2026）第5.5.11条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作业安全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未履行审批手续开展特殊作业；动火作业未按照GB 30871的要求进行升级管理。</w:t>
            </w:r>
          </w:p>
        </w:tc>
        <w:tc>
          <w:tcPr>
            <w:tcW w:w="3198"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3067-2026）第5.6.1条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涉及易燃易爆或有毒有害介质的设备、管道动火作业前或受限空间作业前，未采取隔离措施或未确认设备、工艺处置结果满足安全作业要求。</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3067-2026）第5.6.2条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动火作业或受限空间作业未按照要求进行气体分析；受限空间作业未连续监测可燃气体、有毒气体及氧气浓度；特级动火作业未实现全过程视频监控。</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3067-2026）第5.6.3条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未对生产区作业人员进行人厂安全教育；作业前未对特殊作业人员进行安全交底；实施特殊作业时，企业未对作业实施管理和检查。</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3067-2026）第5.6.4条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生产、经营（有储存）、使用危险化学品品种未经许可或超许可范围。</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3067-2026）第5.7.1条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未对物理危险性不明的化学品进行物理危险性鉴定与分类。</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3067-2026）第5.7.2条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异常工况现场处置时，同一装置区内超过6人或无关人员进入处置现场。涉及高危工艺和工艺危险度4级及以上的其他危险化工工艺的精细化工厂房（含装置）内同一时间现场人员超过2人。</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3067-2026）第5.7.4条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未建立变更管理制度；变更前未按照要求开展安全风险评估；变更未履行变更审批程序；变更后未对相关人员开展培训。</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801" w:type="dxa"/>
            <w:vAlign w:val="center"/>
          </w:tcPr>
          <w:p>
            <w:pPr>
              <w:pStyle w:val="22"/>
              <w:numPr>
                <w:ilvl w:val="0"/>
                <w:numId w:val="8"/>
              </w:numPr>
              <w:spacing w:line="400" w:lineRule="exact"/>
              <w:ind w:firstLineChars="0"/>
              <w:jc w:val="center"/>
              <w:rPr>
                <w:rFonts w:ascii="Times New Roman" w:hAnsi="Times New Roman" w:cs="楷体_GB2312"/>
                <w:color w:val="000000" w:themeColor="text1"/>
                <w:sz w:val="24"/>
                <w14:textFill>
                  <w14:solidFill>
                    <w14:schemeClr w14:val="tx1"/>
                  </w14:solidFill>
                </w14:textFill>
              </w:rPr>
            </w:pPr>
          </w:p>
        </w:tc>
        <w:tc>
          <w:tcPr>
            <w:tcW w:w="4297"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未建立与岗位相匹配的全员安全生产责任制，或者未制定实施生产安全事故隐患排查治理制度。</w:t>
            </w:r>
          </w:p>
        </w:tc>
        <w:tc>
          <w:tcPr>
            <w:tcW w:w="3198" w:type="dxa"/>
            <w:vAlign w:val="center"/>
          </w:tcPr>
          <w:p>
            <w:pPr>
              <w:spacing w:line="400" w:lineRule="exact"/>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《化工和危险化学品生产经营企业重大生产安全事故隐患判定准则》（AQ 3067-2026）第5.7.6条</w:t>
            </w:r>
          </w:p>
        </w:tc>
      </w:tr>
    </w:tbl>
    <w:p>
      <w:pPr>
        <w:ind w:firstLine="0" w:firstLineChars="0"/>
        <w:jc w:val="left"/>
        <w:rPr>
          <w:rFonts w:ascii="Times New Roman" w:hAnsi="Times New Roman"/>
          <w:szCs w:val="32"/>
        </w:rPr>
      </w:pPr>
      <w:r>
        <w:rPr>
          <w:rFonts w:ascii="Times New Roman" w:hAnsi="Times New Roman"/>
          <w:szCs w:val="32"/>
        </w:rPr>
        <w:br w:type="page"/>
      </w:r>
    </w:p>
    <w:p>
      <w:pPr>
        <w:spacing w:before="217" w:beforeLines="50" w:after="217" w:afterLines="50"/>
        <w:ind w:firstLine="0" w:firstLineChars="0"/>
        <w:jc w:val="center"/>
        <w:outlineLvl w:val="0"/>
        <w:rPr>
          <w:rFonts w:ascii="Times New Roman" w:hAnsi="Times New Roman" w:eastAsia="黑体" w:cs="黑体"/>
          <w:color w:val="000000" w:themeColor="text1"/>
          <w:szCs w:val="32"/>
          <w14:textFill>
            <w14:solidFill>
              <w14:schemeClr w14:val="tx1"/>
            </w14:solidFill>
          </w14:textFill>
        </w:rPr>
      </w:pPr>
      <w:bookmarkStart w:id="65" w:name="_Toc225353453"/>
      <w:bookmarkStart w:id="66" w:name="_Toc224910869"/>
      <w:r>
        <w:rPr>
          <w:rFonts w:hint="eastAsia" w:ascii="Times New Roman" w:hAnsi="Times New Roman" w:eastAsia="黑体" w:cs="黑体"/>
          <w:color w:val="000000" w:themeColor="text1"/>
          <w:szCs w:val="32"/>
          <w14:textFill>
            <w14:solidFill>
              <w14:schemeClr w14:val="tx1"/>
            </w14:solidFill>
          </w14:textFill>
        </w:rPr>
        <w:t>第四章  重点行业（领域）危险化学品管理要求</w:t>
      </w:r>
      <w:bookmarkEnd w:id="65"/>
      <w:bookmarkEnd w:id="66"/>
    </w:p>
    <w:p>
      <w:pPr>
        <w:ind w:firstLine="640"/>
        <w:rPr>
          <w:rFonts w:ascii="Times New Roman" w:hAnsi="Times New Roman"/>
        </w:rPr>
      </w:pPr>
      <w:r>
        <w:rPr>
          <w:rFonts w:hint="eastAsia" w:ascii="Times New Roman" w:hAnsi="Times New Roman"/>
        </w:rPr>
        <w:t>汇聚科研、教育、卫生、体育、医药制造、电力、水处理、消毒产品生产、电子通信制造、工业企业中重点行业（领域）前文以外的专项危险化学品管控要求，并按照常用化学品进行分类，分为常用化学品气体管理、实验室化学品管理、水处理行业次氯酸钠管理三大类。</w:t>
      </w:r>
    </w:p>
    <w:p>
      <w:pPr>
        <w:numPr>
          <w:ilvl w:val="0"/>
          <w:numId w:val="9"/>
        </w:numPr>
        <w:ind w:firstLine="643"/>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67" w:name="_Toc225353454"/>
      <w:bookmarkStart w:id="68" w:name="_Toc224910870"/>
      <w:bookmarkStart w:id="69" w:name="_Hlk195799909"/>
      <w:r>
        <w:rPr>
          <w:rFonts w:hint="eastAsia" w:ascii="Times New Roman" w:hAnsi="Times New Roman" w:eastAsia="楷体_GB2312" w:cs="楷体_GB2312"/>
          <w:b/>
          <w:bCs/>
          <w:color w:val="000000" w:themeColor="text1"/>
          <w:szCs w:val="32"/>
          <w14:textFill>
            <w14:solidFill>
              <w14:schemeClr w14:val="tx1"/>
            </w14:solidFill>
          </w14:textFill>
        </w:rPr>
        <w:t>常用化学品气体管理要求</w:t>
      </w:r>
      <w:bookmarkEnd w:id="67"/>
      <w:bookmarkEnd w:id="68"/>
    </w:p>
    <w:p>
      <w:pPr>
        <w:numPr>
          <w:ilvl w:val="0"/>
          <w:numId w:val="10"/>
        </w:numPr>
        <w:ind w:firstLine="643"/>
        <w:outlineLvl w:val="2"/>
        <w:rPr>
          <w:rFonts w:ascii="Times New Roman" w:hAnsi="Times New Roman" w:cs="仿宋_GB2312"/>
          <w:b/>
          <w:bCs/>
        </w:rPr>
      </w:pPr>
      <w:bookmarkStart w:id="70" w:name="_Toc224910871"/>
      <w:bookmarkStart w:id="71" w:name="_Toc225353455"/>
      <w:r>
        <w:rPr>
          <w:rFonts w:hint="eastAsia" w:ascii="Times New Roman" w:hAnsi="Times New Roman" w:cs="仿宋_GB2312"/>
          <w:b/>
          <w:bCs/>
        </w:rPr>
        <w:t>低温液态气体管理要求</w:t>
      </w:r>
      <w:bookmarkEnd w:id="70"/>
      <w:bookmarkEnd w:id="71"/>
    </w:p>
    <w:p>
      <w:pPr>
        <w:ind w:firstLine="640"/>
        <w:rPr>
          <w:rFonts w:ascii="Times New Roman" w:hAnsi="Times New Roman"/>
        </w:rPr>
      </w:pPr>
      <w:r>
        <w:rPr>
          <w:rFonts w:hint="eastAsia" w:ascii="Times New Roman" w:hAnsi="Times New Roman"/>
        </w:rPr>
        <w:t>低温液态气体是指：液氧、液氮、液氩等低温液态气体，常用于教育、卫生、科研、医药制造、电力、水处理、电子通讯制造等多个领域之中。本表管理要求适用于贮存液氧、液氮、液氩的固定式低温液体容器（以下简称容器），运输液氧、液氮、液氩的汽车罐车（以下简称罐车）及罐式集装箱（以下简称罐箱）。二氧化碳、氪、氙等非易燃低温液体贮运设备可参照使用本表贮运氧、氮、类低温液体的内容。本表不适用于贮存液化天然气的容器、罐车及罐箱。</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398"/>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39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9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使用单位必须制定安全使用操作规程。</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《低温液体贮运设备使用安全规则》（JB/T 6898-2015）第4.5.12条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操作人员独立上岗操作前，必须进行安全教育培训，经考核合格后持安全操作证上岗。操作人员应熟悉低温液体的特性及其危害；操作人员应熟悉产品使用说明书，设备工艺流程，设备上各种阀门、仪表及其作用和操作程序；在发生故障及意外事故时必须能独立采取应急安全措施。</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《低温液体贮运设备使用安全规则》（JB/T 6898-2015）第4.5.13条、第4.5.14条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液体二氧化碳/氮气气瓶的充装、标志、储存和使用应符合《气瓶安全监察规定》和《固定式压力容器安全技术监察规程》的规定。</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《工业液体二氧化碳》GB/T 6052-2011）第5节</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《工业氮》（GB/T 3864-2025）第5节</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《气瓶安全监察规定》</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《固定式压力容器安全技术监察规程》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气瓶颜色标志应符合GB 7144的规定。安全标志应符合GB 15258的规定。</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《工业液体二氧化碳》（GB/T 6052-2011）第5节</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《工业氮》（GB/T 3864-2025）第5节</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《气瓶颜色标志》（GB/T 7144-2016）</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《化学品安全标签编写规定》（GB 15258-2009）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二氧化碳/氮气用完后余压应不低于0.2MPa。</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《工业液体二氧化碳》（GB/T 6052-2011）第5节</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《工业氮》（GB/T 3864-2025）第5节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危险化学品生产企业应向用户提供安全技术说明书其内容应符合GB/T 16483的规定。</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《化学品安全技术说明书内容和项目顺序》（GB/T 16483-2008）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液体二氧化碳气瓶应竖放在通风、阴凉、干燥处，避免受热和日光暴晒。</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《工业液体二氧化碳》（GB/T 6052-2011）第5节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容器应储存在阴凉干燥处。容器运输过程中，应轻装轻卸，不得侧放和倒置。</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《大口径液氮容器》（GBT 14174-2012）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安装低温固定容器场所必须有良好的通风条件或设置换气通风装置，并能安全排放液体、气体；安装场所必须设有安全出口，周围设置符合GB 2894的安全标志；安装容器的基础必须坚实牢固，并应防火耐热。</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6898-2015）第4.2.2条、第4.2.3条、第4.2.4条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液氮、液氩容器宜安置在室外。若安装在室内，气体紧急放空口必须引出室外安全处，放空口宜设在高出操作面3m以上的安全处。</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6898-2015）第4.3.3条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容器不准安装在出入口、通道、楼梯间或距它们5m范围内。</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罐车充卸时，操作人员必须在现场；充卸操作应按操作规程进行，防止低温液体外溢；罐车在连接充罐输液管前必须处于制动状态，防止移动并设置防滑块；罐车在充装过程中应采取相应安全措施，防止意外拉托。车充罐结束后应先确认输液管脱开，然后才能离开；如果充罐工作中断时间过长（过夜或遇节假日中断），应解脱输液管连接。罐车在充罐装卸作业时，汽车发动机必须关闭。</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6898-2015）第4.4.6条～第4.4.9条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固定容器的充满率应符合TSG R0004的规定。</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6898-2015）第4.5.3条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当设备上的阀门和仪表、管道连接接头等处被冻结时，严禁用铁锤敲打或明火加热，宜用70-80℃干净无油的热空气、热氮气或温水进行融化解冻。</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6898-2015）第4.5.5条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设备必须按铭牌上标明的介质专用。</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6898-2015）第4.5.6条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严禁设备的使用压力超过容器的工作压力。</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6898-2015）第4.5.8条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应定期测量真空绝热容器的保温层真空度，至少每年测量一次；当真空粉末绝热贮槽的真空度下降至65Pa时应分析原因，停止使用。当表面结霜时，应分析原因严重时停止使用。</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6898-2015）第4.5.9条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应向堆积绝热容器的绝热层充入无油干燥氮气，并保持正压。应定期检验其安全阀，内、外筒呼吸阀，定期检查定压排气调节阀，内、外筒间密封气调节阀。</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6898-2015）第4.5.10条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容器以及压力表、液面指示计、安全装置应按TSGR 0004、TSGR 0005及TSG 70001的规定进行定期检查和校验。</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6898-2015）第4.6.1条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操作人员在充灌或处理低温液体时应戴上干净易脱的低温防护手套和护目镜。</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6898-2015）第4.7.1条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在进入通风不良且有发生窒息危险场所处理液氮、液氩及其气体时必须分析大气含氧量，当含量低于19.5%（体积分数）时，操作员必须戴上自供式防护面具，并需在有专人监护下进行操作处理。</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 使用安全规则》（JB/T 6898-2015）第4.7.3条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管道输送的氮气应符合《压力管道安全管理与监察规定》。</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《工业氮》（GB/T 3864-2025）第5.6条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1" w:type="dxa"/>
            <w:vAlign w:val="center"/>
          </w:tcPr>
          <w:p>
            <w:pPr>
              <w:pStyle w:val="22"/>
              <w:numPr>
                <w:ilvl w:val="0"/>
                <w:numId w:val="11"/>
              </w:numPr>
              <w:ind w:firstLineChars="0"/>
              <w:jc w:val="center"/>
              <w:rPr>
                <w:rFonts w:ascii="Times New Roman" w:hAnsi="Times New Roman" w:cs="楷体_GB2312"/>
                <w:color w:val="000000" w:themeColor="text1"/>
                <w:sz w:val="24"/>
                <w14:textFill>
                  <w14:solidFill>
                    <w14:schemeClr w14:val="tx1"/>
                  </w14:solidFill>
                </w14:textFill>
              </w:rPr>
            </w:pPr>
          </w:p>
        </w:tc>
        <w:tc>
          <w:tcPr>
            <w:tcW w:w="439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工业管道附属的安全阀等安全附件应符合《工业管道安全技术规程》（TSG 31）的规定。且安全阀应在检验有效期内，铅封完好。</w:t>
            </w:r>
          </w:p>
        </w:tc>
        <w:tc>
          <w:tcPr>
            <w:tcW w:w="309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《工业管道安全技术规程》（TSG 31-2025）</w:t>
            </w:r>
          </w:p>
        </w:tc>
      </w:tr>
    </w:tbl>
    <w:p>
      <w:pPr>
        <w:numPr>
          <w:ilvl w:val="0"/>
          <w:numId w:val="10"/>
        </w:numPr>
        <w:ind w:firstLine="643"/>
        <w:outlineLvl w:val="2"/>
        <w:rPr>
          <w:rFonts w:ascii="Times New Roman" w:hAnsi="Times New Roman" w:cs="仿宋_GB2312"/>
          <w:b/>
          <w:bCs/>
        </w:rPr>
      </w:pPr>
      <w:bookmarkStart w:id="72" w:name="_Toc225353456"/>
      <w:bookmarkStart w:id="73" w:name="_Toc224910872"/>
      <w:r>
        <w:rPr>
          <w:rFonts w:hint="eastAsia" w:ascii="Times New Roman" w:hAnsi="Times New Roman" w:cs="仿宋_GB2312"/>
          <w:b/>
          <w:bCs/>
        </w:rPr>
        <w:t>特殊气体管理要求</w:t>
      </w:r>
      <w:bookmarkEnd w:id="72"/>
      <w:bookmarkEnd w:id="73"/>
    </w:p>
    <w:p>
      <w:pPr>
        <w:ind w:firstLine="640"/>
        <w:rPr>
          <w:rFonts w:ascii="Times New Roman" w:hAnsi="Times New Roman"/>
        </w:rPr>
      </w:pPr>
      <w:r>
        <w:rPr>
          <w:rFonts w:hint="eastAsia" w:ascii="Times New Roman" w:hAnsi="Times New Roman"/>
        </w:rPr>
        <w:t>特殊气体是指，电子产品生产外延、化学气相沉积、刻蚀、掺杂等工艺中使用的自燃性、易燃性、剧毒性、毒性、腐蚀性、氧化性、惰性等特殊气体。常用于电子通信制造等行业领域中。</w:t>
      </w:r>
    </w:p>
    <w:p>
      <w:pPr>
        <w:ind w:firstLine="640"/>
        <w:rPr>
          <w:rFonts w:ascii="Times New Roman" w:hAnsi="Times New Roman"/>
        </w:rPr>
      </w:pPr>
      <w:r>
        <w:rPr>
          <w:rFonts w:hint="eastAsia" w:ascii="Times New Roman" w:hAnsi="Times New Roman"/>
        </w:rPr>
        <w:t>自燃性气体：也称作发火气体，是指在空气中等于或低于54℃时可能自燃的易燃气体。</w:t>
      </w:r>
    </w:p>
    <w:p>
      <w:pPr>
        <w:ind w:firstLine="640"/>
        <w:rPr>
          <w:rFonts w:ascii="Times New Roman" w:hAnsi="Times New Roman"/>
        </w:rPr>
      </w:pPr>
      <w:r>
        <w:rPr>
          <w:rFonts w:hint="eastAsia" w:ascii="Times New Roman" w:hAnsi="Times New Roman"/>
        </w:rPr>
        <w:t>易燃性气体：一种在20℃和标准压力101.3kPa状态时空气混合有一定易燃范围的气体。</w:t>
      </w:r>
    </w:p>
    <w:p>
      <w:pPr>
        <w:ind w:firstLine="640"/>
        <w:rPr>
          <w:rFonts w:ascii="Times New Roman" w:hAnsi="Times New Roman"/>
        </w:rPr>
      </w:pPr>
      <w:r>
        <w:rPr>
          <w:rFonts w:hint="eastAsia" w:ascii="Times New Roman" w:hAnsi="Times New Roman"/>
        </w:rPr>
        <w:t>剧毒性气体：半致死浓度（空气中吸入4h）小于或等于100mL/m</w:t>
      </w:r>
      <w:r>
        <w:rPr>
          <w:rFonts w:hint="eastAsia" w:ascii="Times New Roman" w:hAnsi="Times New Roman"/>
          <w:vertAlign w:val="superscript"/>
        </w:rPr>
        <w:t>3</w:t>
      </w:r>
      <w:r>
        <w:rPr>
          <w:rFonts w:hint="eastAsia" w:ascii="Times New Roman" w:hAnsi="Times New Roman"/>
        </w:rPr>
        <w:t>的气体。</w:t>
      </w:r>
    </w:p>
    <w:p>
      <w:pPr>
        <w:ind w:firstLine="640"/>
        <w:rPr>
          <w:rFonts w:ascii="Times New Roman" w:hAnsi="Times New Roman"/>
        </w:rPr>
      </w:pPr>
      <w:r>
        <w:rPr>
          <w:rFonts w:hint="eastAsia" w:ascii="Times New Roman" w:hAnsi="Times New Roman"/>
        </w:rPr>
        <w:t>毒性气体：半致死浓度（空气中吸入4h）大于100mLm</w:t>
      </w:r>
      <w:r>
        <w:rPr>
          <w:rFonts w:hint="eastAsia" w:ascii="Times New Roman" w:hAnsi="Times New Roman"/>
          <w:vertAlign w:val="superscript"/>
        </w:rPr>
        <w:t>3</w:t>
      </w:r>
      <w:r>
        <w:rPr>
          <w:rFonts w:hint="eastAsia" w:ascii="Times New Roman" w:hAnsi="Times New Roman"/>
        </w:rPr>
        <w:t>但不超过2500mL/m</w:t>
      </w:r>
      <w:r>
        <w:rPr>
          <w:rFonts w:hint="eastAsia" w:ascii="Times New Roman" w:hAnsi="Times New Roman"/>
          <w:vertAlign w:val="superscript"/>
        </w:rPr>
        <w:t>3</w:t>
      </w:r>
      <w:r>
        <w:rPr>
          <w:rFonts w:hint="eastAsia" w:ascii="Times New Roman" w:hAnsi="Times New Roman"/>
        </w:rPr>
        <w:t>的气体。</w:t>
      </w:r>
    </w:p>
    <w:p>
      <w:pPr>
        <w:ind w:firstLine="640"/>
        <w:rPr>
          <w:rFonts w:ascii="Times New Roman" w:hAnsi="Times New Roman"/>
        </w:rPr>
      </w:pPr>
      <w:r>
        <w:rPr>
          <w:rFonts w:hint="eastAsia" w:ascii="Times New Roman" w:hAnsi="Times New Roman"/>
        </w:rPr>
        <w:t>腐蚀性气体：对材料或人体组织通过接触产生化学反应引起可见破坏或不可逆变化的气体。</w:t>
      </w:r>
    </w:p>
    <w:p>
      <w:pPr>
        <w:ind w:firstLine="640"/>
        <w:rPr>
          <w:rFonts w:ascii="Times New Roman" w:hAnsi="Times New Roman"/>
        </w:rPr>
      </w:pPr>
      <w:r>
        <w:rPr>
          <w:rFonts w:hint="eastAsia" w:ascii="Times New Roman" w:hAnsi="Times New Roman"/>
        </w:rPr>
        <w:t>氧化性气体：一般通过提供氧气，比空气更能导致和促使其他物质燃烧的任何气体。</w:t>
      </w:r>
    </w:p>
    <w:p>
      <w:pPr>
        <w:ind w:firstLine="640"/>
        <w:rPr>
          <w:rFonts w:ascii="Times New Roman" w:hAnsi="Times New Roman"/>
        </w:rPr>
      </w:pPr>
      <w:r>
        <w:rPr>
          <w:rFonts w:hint="eastAsia" w:ascii="Times New Roman" w:hAnsi="Times New Roman"/>
        </w:rPr>
        <w:t>惰性气体：在一般情况下不会与其他物质产生化学反应的气体。</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7"/>
        <w:gridCol w:w="4284"/>
        <w:gridCol w:w="7"/>
        <w:gridCol w:w="319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vAlign w:val="center"/>
          </w:tcPr>
          <w:p>
            <w:pPr>
              <w:spacing w:line="240" w:lineRule="auto"/>
              <w:ind w:firstLine="0" w:firstLineChars="0"/>
              <w:jc w:val="right"/>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291" w:type="dxa"/>
            <w:gridSpan w:val="2"/>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204" w:type="dxa"/>
            <w:gridSpan w:val="2"/>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特种气体、大宗气体管路、生命安全系统、安装和验收应符合GB 50646和GB 50724的规定。</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气体压力表、流量表表盘应标出最大压力、流量值。</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生产过程中使用和产生易与空气、水或相互间发生剧烈反应的气体时，在进行通风系统设计时要防止相互反应气体混合，易燃易爆气体的排风装置不应形成网状结构，应设置阻火和泄爆装置，管道内壁材料应为符合安全要求的不发火材料，管道应进行可靠的防静电接地重要部位宜设置可燃气体检测报警装置和惰性气体抑爆装置。</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含有挥发性气体、蒸气的各类管道不宜从仪表控制室和劳动者经常停留及通过的辅助用室的空中和地下通过：若需通过时，应严格密闭，并应具备抗压、耐腐蚀等性能，以防止有害气体及蒸气逸散至空内。有毒物质输送管道宜集中布置形成管廊，且管廊不宜设置在人员集中区域周边。有毒物质输送管道不应穿越办公室、休息室、宿舍、人员密集厂房、餐厅、经常有人来往的通道（含地道、通廊）等建筑物。</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1322.57-2019）第3.2.1.1条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特种气体、大宗气体管路、生命安全系统、安装和验收应符合GB 50646和GB 50724的规定。</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1322.57-2019）第3.2.1.1条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输送有毒、有害、易燃、易爆、高温、高压或有腐蚀性气体及液体的管道、管件、阀门，其材质、连接方法等，应分别有密封、耐压、防腐蚀、防静电等相应措施。</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1322.57-2019）第3.3.1.2.7条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管道阀门应悬挂阀门开关标识牌，阀门处应标明闭合方向。</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1322.57-2019）第3.3.1.2.10条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特种气体、大宗气体管道输送系统应包括特种气体储存、分配管道系统、工艺设备和尾气处理系统的管道以及管件、阀门、过滤器、减压装置、压力释放装置、压力表（传感器）等部件。</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生产厂房内特种气体管道的干管，应敷设在技术夹层或技术夹道内，当与水电管线共架时，当相对密度小于0.75的气体管道宜设在水、电管线下部；相对密度大于0.75的特气管道宜设在水、电管线上部。</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生产车间内的可燃和有毒特气管道应明敷，穿过生产区墙壁与楼板处的管段应设置套管，套管内的管道不应有焊缝，套管与管道之间应采用密封措施。可燃、毒性、腐蚀性气体管道的机械连接处，应置于抽风罩内。</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可燃特气与毒性特气管道不应穿过不使用此类气体的房间，当必须穿过时应设套管及双层管，特气管道不应穿过生活间、办公室。</w:t>
            </w:r>
          </w:p>
        </w:tc>
        <w:tc>
          <w:tcPr>
            <w:tcW w:w="3204" w:type="dxa"/>
            <w:gridSpan w:val="2"/>
            <w:vAlign w:val="center"/>
          </w:tcPr>
          <w:p>
            <w:pPr>
              <w:wordWrap w:val="0"/>
              <w:spacing w:line="240" w:lineRule="auto"/>
              <w:ind w:firstLine="0" w:firstLineChars="0"/>
              <w:rPr>
                <w:rFonts w:ascii="Times New Roman" w:hAnsi="Times New Roman"/>
                <w:sz w:val="24"/>
              </w:rPr>
            </w:pPr>
            <w:r>
              <w:rPr>
                <w:rFonts w:hint="eastAsia" w:ascii="Times New Roman" w:hAnsi="Times New Roman"/>
                <w:sz w:val="24"/>
              </w:rPr>
              <w:t>1.《安全生产等级评定技术规范 第57部分：电子通信制造企业》（DB11/T 1322.57-2019）第3.3.1.3.1条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特气管道不应出现不易吹除的盲管等死区，避免U型弯。</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可燃性、氧化性特种气体管道，应设置导出静电的接地设施。</w:t>
            </w:r>
          </w:p>
        </w:tc>
        <w:tc>
          <w:tcPr>
            <w:tcW w:w="3204" w:type="dxa"/>
            <w:gridSpan w:val="2"/>
            <w:vAlign w:val="center"/>
          </w:tcPr>
          <w:p>
            <w:pPr>
              <w:wordWrap w:val="0"/>
              <w:spacing w:line="240" w:lineRule="auto"/>
              <w:ind w:firstLine="0" w:firstLineChars="0"/>
              <w:rPr>
                <w:rFonts w:ascii="Times New Roman" w:hAnsi="Times New Roman"/>
                <w:sz w:val="24"/>
              </w:rPr>
            </w:pPr>
            <w:r>
              <w:rPr>
                <w:rFonts w:hint="eastAsia" w:ascii="Times New Roman" w:hAnsi="Times New Roman"/>
                <w:sz w:val="24"/>
              </w:rPr>
              <w:t>1.《安全生产等级评定技术规范 第57部分：电子通信制造企业》（DB11/T 1322.57-2019）第3.3.1.3.1条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室外布置的特种气体管道应架空布置。</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工艺和吹扫气体的管道和管件应采用奥氏体不锈钢无缝钢管；腐蚀性气体管道，宜采用二次真空电弧熔炼的奥氏体不锈钢及镍基合金材料的无缝钢管；对于强腐蚀性、自燃性和剧毒性危险性气体，宜采用双套管设计。</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特气管道应采用全自动轨道焊接。阀件及管件处应采用面密封连接，不应采用螺纹及法兰连接。</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特气阀门应采用隔膜阀及波纹管阀，不应采用球阀、旋塞阀等阀门。</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特种气体管道应以不同颜色、字体等标识气体名称、主要危险特性和流向。</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特种气体相对密度小于等于0.75时，特种气体探测器应同时设置在释放源上方和厂房最高点易积气处。当相对密度大于0.75时，特种气体探测器应设置在释放源下方离地面0.5m处。</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自燃、可燃、毒性气体的储存、分配、使用场所内及相关建筑主入口、内通道等处应设置灯光闪烁报警装置，灯光颜色应与其他灯光报警装置相区别。</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气体探测系统确认气体泄漏时，启动泄漏现场的声光报警装置，该声光报警应有别于火灾报警装置。</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地震探测装置探测到里氏5级以上地震，且两台地震探测装置同时报警时，特种气体管理控制系统确认收到的信号后，启动现场的声光报警装置。</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室外大宗硅烷系统的钢瓶区域内应设置紫外、红外火焰探测器；室内硅烷输送系统应采用火焰探测器及感温探测器。火焰探测器及感温探测器应与报警系统和烷气源的紧急切断阀联动。使用易燃、自燃性气体的阀门箱宜设置防爆紫外、红外火焰探测器。</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高纯氧气管道及附件应符合下列要求：（1）管道、阀门及附件应严格脱脂；（2）应设置静电导除装置；（3）厂房入口的管道上应设置自动切断阀。</w:t>
            </w:r>
          </w:p>
        </w:tc>
        <w:tc>
          <w:tcPr>
            <w:tcW w:w="3204" w:type="dxa"/>
            <w:gridSpan w:val="2"/>
            <w:vAlign w:val="center"/>
          </w:tcPr>
          <w:p>
            <w:pPr>
              <w:wordWrap w:val="0"/>
              <w:spacing w:line="240" w:lineRule="auto"/>
              <w:ind w:firstLine="0" w:firstLineChars="0"/>
              <w:rPr>
                <w:rFonts w:ascii="Times New Roman" w:hAnsi="Times New Roman"/>
                <w:sz w:val="24"/>
              </w:rPr>
            </w:pPr>
            <w:r>
              <w:rPr>
                <w:rFonts w:hint="eastAsia" w:ascii="Times New Roman" w:hAnsi="Times New Roman"/>
                <w:sz w:val="24"/>
              </w:rPr>
              <w:t>1.《安全生产等级评定技术规范 第57部分：电子通信制造企业》（DB11/T 1322.57-2019）第3.3.1.3.1条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50472-2008）第10.2.6条《安全生产等级评定技术规范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气体压力表、流量表表盘应标出最大压力、流量值。</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生产过程中使用和产生易与空气、水或相互间发生剧烈反应的气体时，在进行通风系统设计时要防止相互反应气体混合，易燃易爆气体的排风装置不应形成网状结构，应设置阻火和泄爆装置，管道内壁材料应为符合安全要求的不发火材料，管道应进行可靠的防静电接地重要部位宜设置可燃气体检测报警装置和惰性气体抑爆装置。</w:t>
            </w:r>
          </w:p>
        </w:tc>
        <w:tc>
          <w:tcPr>
            <w:tcW w:w="3204" w:type="dxa"/>
            <w:gridSpan w:val="2"/>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《安全生产等级评定技术规范 第57部分：电子通信制造企业》（DB11/T 1322.57-2019）第3.3.1.3.1条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特种气体系统的气瓶柜、气瓶架的设置：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（1）不相容气体瓶严禁放置于同一气瓶柜或气瓶架中：（2）不相容的特种气体的气瓶架应布置在不同房间里当布置在同一房间时，不相容特种气体的气瓶柜、气瓶架之间的距离应大于6m；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（3）气瓶柜闭门时的排风换气次数不得低于300次，且气瓶柜应保持负压；</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（4）自燃、可燃、毒性、腐蚀性气瓶柜应在排风出口设置气体泄漏探测器；</w:t>
            </w:r>
          </w:p>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（5）气瓶柜门应具备自动关闭功能，并应配备防爆玻璃观察窗；气瓶柜应采取防震措施。</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可燃、自燃特种气体的气瓶柜应符合：</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（1）硅烷气瓶柜闭门时的排风换气次数不得低于1200次，且应连续监控气瓶柜的负压；</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（2）自燃特种气体的气瓶柜应设置紫外、红外火焰探测器及水喷淋系统；</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（3）可燃特种气体的气瓶应设置水喷淋系统；</w:t>
            </w:r>
          </w:p>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（4）自燃、可燃特种气体的气瓶柜应在气瓶之间设置隔离钢板。</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特种气体系统吹扫氮气的设置：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（1）特种气体系统的吹扫氮气应与独立的氮气源连接，不得与公用氮气或工艺氮气系统相连；</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（2）不相容性特种气体系统的吹扫氮气不得共用同一氮气源；</w:t>
            </w:r>
          </w:p>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（3）吹扫氮气管线应设置止回阀。</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特种气体排气与废气处理的设置：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（1）特种气体系统的排气管应设置氮气稀释与连续吹扫；</w:t>
            </w:r>
          </w:p>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（2）不相容性特种气体的排气不得接入同一排气主管。</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生产厂房内的可燃和毒性特种气体管道应明敷，穿过生产区墙壁与楼板处的管段应设置套管，套管内的管道不得有焊缝，套管与管道之间应采用密封措施。可燃、毒性、腐蚀性气体管道的机械连接处，应置于排风罩内。</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特种气体和吹扫气体的管道和关键应采用奥氏体超低碳不锈钢无缝钢管。</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自燃、可燃、氧化性特种气体管道，应设置静电泄放的接地设施。</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室外布置的特种气体管道应架空布置。</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当特种气体为硅烷、磷烷、砷烷时，应采用双层管道设计。特种气体采用双层管道输送时，双层管道的外层宜采用SS304奥氏体不锈钢管，内层管道应与所输送特种气体的性质匹配。</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《发光二极管工厂设计规范》（GB 51209-2016）第8.3.11条，第8.3.12条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洁净厂房内特种气体的储存分配间应采用耐火极限不低于2.0h不燃烧体的隔墙与洁净室（区）分隔，隔墙上的门窗应为甲级防火门窗。</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《电子工业洁净厂房设计规范》（GB 50472-2008）第10.4.2条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洁净室（区）内可燃或有毒的特种气体分配系统设置：（1）特种气体钢瓶（含硅烷或硅烷混合物）应设置在具有连续机械排风的特气柜中；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（2）排风机、泄报警、自动切断阀均应设置应急电源；（3）一个特气分配系统供多台生产设备使用时，应设置多路阀门箱。</w:t>
            </w:r>
          </w:p>
          <w:p>
            <w:pPr>
              <w:wordWrap w:val="0"/>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（4）可燃性、氧化性特种气体管道设置应符合《电子工业洁净厂房设计规范》（GB 50472-2008）第10.2和10.3节的有关规定。</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《电子工业洁净厂房设计规范》（GB 50472-2008）第10.4.3条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numPr>
                <w:ilvl w:val="0"/>
                <w:numId w:val="12"/>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291" w:type="dxa"/>
            <w:gridSpan w:val="2"/>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硅烷或硅烷混合物的气瓶应存放在洁净厂房建筑外的储存区内。储存区设置应：</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（1）储存区应至少三面敞开，气瓶应固定在钢制框架上；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（2）气瓶或气瓶组与周围的构筑物或围栏的间距应大于3.0m；</w:t>
            </w:r>
          </w:p>
          <w:p>
            <w:pPr>
              <w:spacing w:line="240" w:lineRule="auto"/>
              <w:ind w:firstLine="0" w:firstLineChars="0"/>
              <w:rPr>
                <w:rFonts w:ascii="Times New Roman" w:hAnsi="Times New Roman"/>
                <w:sz w:val="24"/>
              </w:rPr>
            </w:pPr>
            <w:r>
              <w:rPr>
                <w:rFonts w:hint="eastAsia" w:ascii="Times New Roman" w:hAnsi="Times New Roman" w:cs="楷体_GB2312"/>
                <w:color w:val="000000" w:themeColor="text1"/>
                <w:sz w:val="24"/>
                <w14:textFill>
                  <w14:solidFill>
                    <w14:schemeClr w14:val="tx1"/>
                  </w14:solidFill>
                </w14:textFill>
              </w:rPr>
              <w:t>（3）储存区顶棚的高度应大于3.5m。</w:t>
            </w:r>
          </w:p>
        </w:tc>
        <w:tc>
          <w:tcPr>
            <w:tcW w:w="3204" w:type="dxa"/>
            <w:gridSpan w:val="2"/>
            <w:vAlign w:val="center"/>
          </w:tcPr>
          <w:p>
            <w:pPr>
              <w:spacing w:line="240" w:lineRule="auto"/>
              <w:ind w:firstLine="0" w:firstLineChars="0"/>
              <w:rPr>
                <w:rFonts w:ascii="Times New Roman" w:hAnsi="Times New Roman"/>
                <w:sz w:val="24"/>
              </w:rPr>
            </w:pPr>
            <w:r>
              <w:rPr>
                <w:rFonts w:hint="eastAsia" w:ascii="Times New Roman" w:hAnsi="Times New Roman"/>
                <w:sz w:val="24"/>
              </w:rPr>
              <w:t>《电子工业洁净厂房设计规范》（GB 50472-2008）第10.4.5条</w:t>
            </w:r>
          </w:p>
        </w:tc>
      </w:tr>
    </w:tbl>
    <w:p>
      <w:pPr>
        <w:numPr>
          <w:ilvl w:val="0"/>
          <w:numId w:val="10"/>
        </w:numPr>
        <w:ind w:firstLine="643"/>
        <w:outlineLvl w:val="2"/>
        <w:rPr>
          <w:rFonts w:ascii="Times New Roman" w:hAnsi="Times New Roman" w:cs="仿宋_GB2312"/>
          <w:b/>
          <w:bCs/>
        </w:rPr>
      </w:pPr>
      <w:bookmarkStart w:id="74" w:name="_Toc225353457"/>
      <w:bookmarkStart w:id="75" w:name="_Toc224910873"/>
      <w:r>
        <w:rPr>
          <w:rFonts w:hint="eastAsia" w:ascii="Times New Roman" w:hAnsi="Times New Roman" w:cs="仿宋_GB2312"/>
          <w:b/>
          <w:bCs/>
        </w:rPr>
        <w:t>大宗气体</w:t>
      </w:r>
      <w:bookmarkEnd w:id="74"/>
      <w:bookmarkEnd w:id="75"/>
    </w:p>
    <w:p>
      <w:pPr>
        <w:ind w:firstLine="640"/>
        <w:rPr>
          <w:rFonts w:ascii="Times New Roman" w:hAnsi="Times New Roman"/>
        </w:rPr>
      </w:pPr>
      <w:r>
        <w:rPr>
          <w:rFonts w:hint="eastAsia" w:ascii="Times New Roman" w:hAnsi="Times New Roman"/>
        </w:rPr>
        <w:t>大宗气体是指，适用于电子工业中使用的氮气、氢气、氧气、氩气、氦气等气体。</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634"/>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34"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100"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22"/>
              <w:numPr>
                <w:ilvl w:val="0"/>
                <w:numId w:val="13"/>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34"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大宗气体管道系统要求：（1）氢气、氧气管道的终端或最高点应设置放散管，放散管应引至室外并高出建筑的屋脊1m，氢气放散管道上应设置阻火器。（2）洁净室内的氢气管道应明敷，穿过洁净室的墙壁或楼板处的管段应设置套管，套管内的管道不应有焊缝。套管与管道之间应采取密封措施；（3）氢气管道不得穿过使用氢气的房间，当必须穿过时应设套管或使用双层管。</w:t>
            </w:r>
          </w:p>
        </w:tc>
        <w:tc>
          <w:tcPr>
            <w:tcW w:w="3100"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1.《发光二极管工厂设计规范》（GB 51209-2016）第8.2.1条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50472-2008）第10.1.5条、第10.1.6条、第10.2.2条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pStyle w:val="22"/>
              <w:numPr>
                <w:ilvl w:val="0"/>
                <w:numId w:val="13"/>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34"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高纯气体管道要求：（1）管道布置不应出现不易吹除的“盲管”等死空间；（2）管道系统应设置吹扫口和取样口。</w:t>
            </w:r>
          </w:p>
        </w:tc>
        <w:tc>
          <w:tcPr>
            <w:tcW w:w="3100"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1.《发光二极管工厂设计规范》（GB 51209-2016）第8.2.2条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22"/>
              <w:numPr>
                <w:ilvl w:val="0"/>
                <w:numId w:val="13"/>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34"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设有氢气等可燃气体装置的气体纯化间或气体入口室的火灾危险性按甲类确定：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（1）应靠外墙设置，并应设置防爆泄压设施；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（2）氢气等可燃气体引入管道上应设置自动切断阀；（3）应具有机械通风装置，并应设置事故排风装置；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（4）应设置气体泄漏报警装置，并应与事故排风装置联锁。</w:t>
            </w:r>
          </w:p>
        </w:tc>
        <w:tc>
          <w:tcPr>
            <w:tcW w:w="3100"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1.《发光二极管工厂设计规范》（GB 51209-2016）第8.2.3条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50472-2008）第10.1.8条、第10.2.5条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22"/>
              <w:numPr>
                <w:ilvl w:val="0"/>
                <w:numId w:val="13"/>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34"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气体管道连接应符合：</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（1）管道连接应采用焊接，不锈钢管宜采用自动氩弧焊或等离子熔透对焊接；</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（2）管道与设备或阀门的连接，宜采用表面密封的接头或双卡套，接头或双卡套的密封材料宜采用金属垫或聚四氟乙烯垫；</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（3）管道与设备的连接应符合设备连接的要求，当采用软管连接时，应采用技术软管。</w:t>
            </w:r>
          </w:p>
        </w:tc>
        <w:tc>
          <w:tcPr>
            <w:tcW w:w="3100"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1.《发光二极管工厂设计规范》（GB 51209-2016）第8.2.5条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2.《电子工业洁净厂房设计规范》（GB 50472-2008）第10.2.9条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22"/>
              <w:numPr>
                <w:ilvl w:val="0"/>
                <w:numId w:val="13"/>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34"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各种常用气体的气瓶库应集中设置在洁净厂房外。当日用气量不超过1瓶时，气瓶可设置在洁净室（区）内，但应采取不积尘和易于清洁的措施。</w:t>
            </w:r>
          </w:p>
        </w:tc>
        <w:tc>
          <w:tcPr>
            <w:tcW w:w="310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《电子工业洁净厂房设计规范》（GB 50472-2008）第10.2.7条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pStyle w:val="22"/>
              <w:numPr>
                <w:ilvl w:val="0"/>
                <w:numId w:val="13"/>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34"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爆炸危险区域内的电气设备及配电线路敷设应满足防爆要求。</w:t>
            </w:r>
          </w:p>
        </w:tc>
        <w:tc>
          <w:tcPr>
            <w:tcW w:w="310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《爆炸危险环境电力装置设计规范》（GB 50058-2014）</w:t>
            </w:r>
          </w:p>
        </w:tc>
      </w:tr>
    </w:tbl>
    <w:p>
      <w:pPr>
        <w:numPr>
          <w:ilvl w:val="0"/>
          <w:numId w:val="10"/>
        </w:numPr>
        <w:ind w:firstLine="643"/>
        <w:outlineLvl w:val="2"/>
        <w:rPr>
          <w:rFonts w:ascii="Times New Roman" w:hAnsi="Times New Roman" w:cs="仿宋_GB2312"/>
          <w:b/>
          <w:bCs/>
        </w:rPr>
      </w:pPr>
      <w:bookmarkStart w:id="76" w:name="_Toc224910874"/>
      <w:bookmarkStart w:id="77" w:name="_Toc225353458"/>
      <w:r>
        <w:rPr>
          <w:rFonts w:hint="eastAsia" w:ascii="Times New Roman" w:hAnsi="Times New Roman" w:cs="仿宋_GB2312"/>
          <w:b/>
          <w:bCs/>
        </w:rPr>
        <w:t>氧气</w:t>
      </w:r>
      <w:bookmarkEnd w:id="76"/>
      <w:bookmarkEnd w:id="77"/>
    </w:p>
    <w:p>
      <w:pPr>
        <w:ind w:firstLine="640"/>
        <w:rPr>
          <w:rFonts w:ascii="Times New Roman" w:hAnsi="Times New Roman"/>
        </w:rPr>
      </w:pPr>
      <w:r>
        <w:rPr>
          <w:rFonts w:hint="eastAsia" w:ascii="Times New Roman" w:hAnsi="Times New Roman"/>
        </w:rPr>
        <w:t>医疗卫生机构、科研机构、工业企业和电子制造企业等单位使用氧气，氧气站的主要储存方式为氧气瓶或者液氧储罐。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588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spacing w:line="240" w:lineRule="auto"/>
              <w:ind w:firstLine="0" w:firstLineChars="0"/>
              <w:jc w:val="right"/>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5882"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2184"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（一）一般要求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氧气站火灾危险性为乙类的建筑物及氧气贮罐与其他各类建筑物、构筑物之间的防火间距不应小于表3.0.4的规定。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rPr>
              <w:drawing>
                <wp:inline distT="0" distB="0" distL="0" distR="0">
                  <wp:extent cx="3609340" cy="3394075"/>
                  <wp:effectExtent l="0" t="0" r="0" b="0"/>
                  <wp:docPr id="8631519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3151958" name="图片 1"/>
                          <pic:cNvPicPr>
                            <a:picLocks noChangeAspect="true"/>
                          </pic:cNvPicPr>
                        </pic:nvPicPr>
                        <pic:blipFill>
                          <a:blip r:embed="rId17"/>
                          <a:stretch>
                            <a:fillRect/>
                          </a:stretch>
                        </pic:blipFill>
                        <pic:spPr>
                          <a:xfrm>
                            <a:off x="0" y="0"/>
                            <a:ext cx="3614621" cy="3398771"/>
                          </a:xfrm>
                          <a:prstGeom prst="rect">
                            <a:avLst/>
                          </a:prstGeom>
                        </pic:spPr>
                      </pic:pic>
                    </a:graphicData>
                  </a:graphic>
                </wp:inline>
              </w:drawing>
            </w:r>
          </w:p>
        </w:tc>
        <w:tc>
          <w:tcPr>
            <w:tcW w:w="2184" w:type="dxa"/>
            <w:vAlign w:val="center"/>
          </w:tcPr>
          <w:p>
            <w:pPr>
              <w:wordWrap w:val="0"/>
              <w:spacing w:line="240" w:lineRule="auto"/>
              <w:ind w:firstLine="0" w:firstLineChars="0"/>
              <w:rPr>
                <w:rFonts w:ascii="Times New Roman" w:hAnsi="Times New Roman"/>
                <w:sz w:val="24"/>
              </w:rPr>
            </w:pPr>
            <w:r>
              <w:rPr>
                <w:rFonts w:hint="eastAsia" w:ascii="Times New Roman" w:hAnsi="Times New Roman"/>
                <w:sz w:val="24"/>
              </w:rPr>
              <w:t>《氧气站设计规范》（GB 50030-2013）第3.0.4条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制氧站房、灌氧站房、氧气压缩机间布置成独立建筑物，但可与不低于其耐火等级的除火灾危险性属甲、乙类的生产车间，以及无明火或散发火花作业的其他生产车间毗连建造，其毗连的墙应为无门、窗、洞的防火墙，并应设不少于一个直通室外的安全出口。</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《氧气站设计规范》（GB 50030-2013）第3.0.10条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液氢贮罐和输送设备的液体接口下方周围5m范围内不应有可燃物，不应铺设沥青路面，在机动输送液氧设备下方的不燃材料地面不应小于车辆的全长。</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《氧气站设计规范》（GB 50030-2013）第3.0.14条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氧气站的乙类生产场所不得设置在地下室或半地下室。</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《氧气站设计规范》（GB 50030-2013）第3.0.15条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与氧气接触的仪表和使用的工具必须无油脂。</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《氧气站设计规范》（GB 50030-2013）第8.0.7条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积聚液氧、液体空气的各类设备、氧气压缩机、氧气灌充台和氧气管道应设导除静电的接地装置，接地电阻不应大于10Ω。</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《氧气站设计规范》（GB 50030-2013）第8.0.8条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制氧站房、灌氧站房、氧气压缩机间、氧气储罐间、液氧储罐间、氢气瓶间、液氧系统和氧气汇流排间等严禁采用明火或电加热散热器采暖。</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《氧气站设计规范》（GB 50030-2013）第10.0.1条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液氧贮槽安装场所附近必须有充足的消防水源场所应有灭火器材，场所周围5m内不得有易燃易爆物，保持场地清洁干净。</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《低温液体贮运设备使用安全规则》（JB/T 6898-2015）第4.2.5条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（二）液氧储罐站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jc w:val="center"/>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液氧贮罐站应远离热源、火源和易燃、易爆源。</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《综合医院建筑设计规范》（GB51039-2014）第5.24.5条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液氧贮罐站应符合下列要求：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（1）贮罐站应设置防火围堰，围堰的有效容积不应小于围堰最大液氧贮罐的容积，且高度不应低于0.9m；（2）氧气储罐及液氧贮罐本体应设置标识和警示标志，周围应设置安全标识。</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液氧贮罐处的实体围墙高度不应低于2.5m；当围墙外为道路或开阔地时，贮罐与实体围墙的间距不应小于1m；围墙外为建（构）筑物时，贮罐与实体围墙的间距不应小于5m。</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50751-2012）第4.6.4条第二款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液氧贮罐应符合下列要求：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（1）单罐容积不应大于5m</w:t>
            </w:r>
            <w:r>
              <w:rPr>
                <w:rFonts w:ascii="Times New Roman" w:hAnsi="Times New Roman" w:cs="Calibri"/>
                <w:color w:val="000000" w:themeColor="text1"/>
                <w:sz w:val="24"/>
                <w14:textFill>
                  <w14:solidFill>
                    <w14:schemeClr w14:val="tx1"/>
                  </w14:solidFill>
                </w14:textFill>
              </w:rPr>
              <w:t>³</w:t>
            </w:r>
            <w:r>
              <w:rPr>
                <w:rFonts w:hint="eastAsia" w:ascii="Times New Roman" w:hAnsi="Times New Roman" w:cs="楷体_GB2312"/>
                <w:color w:val="000000" w:themeColor="text1"/>
                <w:sz w:val="24"/>
                <w14:textFill>
                  <w14:solidFill>
                    <w14:schemeClr w14:val="tx1"/>
                  </w14:solidFill>
                </w14:textFill>
              </w:rPr>
              <w:t>，总容积不宜大于20m</w:t>
            </w:r>
            <w:r>
              <w:rPr>
                <w:rFonts w:ascii="Times New Roman" w:hAnsi="Times New Roman" w:cs="Calibri"/>
                <w:color w:val="000000" w:themeColor="text1"/>
                <w:sz w:val="24"/>
                <w14:textFill>
                  <w14:solidFill>
                    <w14:schemeClr w14:val="tx1"/>
                  </w14:solidFill>
                </w14:textFill>
              </w:rPr>
              <w:t>³</w:t>
            </w:r>
            <w:r>
              <w:rPr>
                <w:rFonts w:hint="eastAsia" w:ascii="Times New Roman" w:hAnsi="Times New Roman" w:cs="楷体_GB2312"/>
                <w:color w:val="000000" w:themeColor="text1"/>
                <w:sz w:val="24"/>
                <w14:textFill>
                  <w14:solidFill>
                    <w14:schemeClr w14:val="tx1"/>
                  </w14:solidFill>
                </w14:textFill>
              </w:rPr>
              <w:t>；（2）相邻储罐之间的距离不应小于最大储罐直径的0.75倍。</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《建筑设计防火规范》（GB 50016-2014）（2018年版）第4.3.4条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液氧贮罐与医疗卫生机构外建筑的防火间距应符合下列要求：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（1）液氧贮罐与建筑物、储罐、堆场等的防火间距不应小于下表的规定；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（2）总容积小于等于3m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的液氧贮罐与其使用建筑的防火间距应符合下列要求：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1）当设置在独立的一、二级耐火等级的专用建筑物内时，其防火间距不应小于10m；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2）当设置在独立的一、二级耐火等级的专用建筑物内，且面向使用建筑物一侧采用无门窗洞口的防火墙隔开时，其防火间距不限；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3）当低温储存的液氧储罐采取了防火措施时，其防火间距不应小于5m。</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1.《医用气体工程技术规范》（GB 50751-2012）第4.6.4条第一款</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2.《建筑设计防火规范》（GB 50016-2014）（2018年版）第4.3.3条、第4.3.4条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液氧贮罐与医疗卫生机构内部建（构）筑物之间的防火间距应不小于下表的规定。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drawing>
                <wp:inline distT="0" distB="0" distL="0" distR="0">
                  <wp:extent cx="2645410" cy="2288540"/>
                  <wp:effectExtent l="0" t="0" r="2540" b="0"/>
                  <wp:docPr id="2115046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504620" name="图片 1"/>
                          <pic:cNvPicPr>
                            <a:picLocks noChangeAspect="true"/>
                          </pic:cNvPicPr>
                        </pic:nvPicPr>
                        <pic:blipFill>
                          <a:blip r:embed="rId18"/>
                          <a:stretch>
                            <a:fillRect/>
                          </a:stretch>
                        </pic:blipFill>
                        <pic:spPr>
                          <a:xfrm>
                            <a:off x="0" y="0"/>
                            <a:ext cx="2666499" cy="2306622"/>
                          </a:xfrm>
                          <a:prstGeom prst="rect">
                            <a:avLst/>
                          </a:prstGeom>
                        </pic:spPr>
                      </pic:pic>
                    </a:graphicData>
                  </a:graphic>
                </wp:inline>
              </w:drawing>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注：当面向液氧贮罐的建筑外墙为防火墙时，液氧贮罐与一、二级建筑物墙壁或突出部分的防火间距不应小于5m，与三、四级建筑物墙壁或突出部分的防火间距不应小于7.5m。</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50751-2012）第4.6.4条第三款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液氧贮罐周围5m范围内不应有可燃物和沥青路面。</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1.《医用气体工程技术规范》（GB 50751-2012）第4.6.3条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2.《氧气站设计规范》（GB 50030-2013）第3.0.4条、第3.0.14条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3.《建筑设计防火规范》（GB 50016-2014）（2018年版）第4.3.5条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液氧贮罐、低温液体贮槽宜室外布置，它与各类建筑物、构筑物的防火间距应符合表3.0.4的规定，当液氧贮罐的容积不超过3m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时，与所有使用建筑的防火间距可减为10m。当液氧贮罐、低温液体贮槽确需室内布置时，宜设置在单独的房间内，且液氧贮罐的总几何容积不得超过10m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，并应符合下列规定：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1当设置在独立的一、二级耐火等级的专用建筑物内，且与使用建筑一侧为无门、窗、洞的防火墙时，其防火间距不应小于6m；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2当设置在一、二级耐火等级的贮罐间内，且一面贴邻使用建筑物外墙时，应采用无门、窗、洞的耐火极限不低于2.0h的不燃烧体墙分隔，并应设直通室外的出口。</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50030-2013）第3.0.16条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液氧贮罐和汽化器的周围宜设围墙或栅栏，并应设明显的禁火标志。</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50030-2013）第3.0.17条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numPr>
                <w:ilvl w:val="255"/>
                <w:numId w:val="0"/>
              </w:numPr>
              <w:wordWrap w:val="0"/>
              <w:spacing w:line="240" w:lineRule="auto"/>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（三）医用分子筛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医用分子筛制氧站应布置为独立单层建筑物，建筑围护结构上的门窗不应采用木质、塑钢等可燃材料制作。与其他建筑毗连时，站房应至少设置1个直通室外的门。</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numPr>
                <w:ilvl w:val="255"/>
                <w:numId w:val="0"/>
              </w:numPr>
              <w:wordWrap w:val="0"/>
              <w:spacing w:line="240" w:lineRule="auto"/>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（四）汇流排间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汇流排间应防止阳光直射，地坪应平整、耐磨、防滑、受撞击不产生火花，并应有防倾倒的设施。</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汇流排间不应与医用空气压缩机、真空汇或医用分子筛制氧机设置在同一房间内。</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汇流排间内气体贮量不宜超过24h用气量。</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50751-2012）第4.6.13条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numPr>
                <w:ilvl w:val="255"/>
                <w:numId w:val="0"/>
              </w:numPr>
              <w:wordWrap w:val="0"/>
              <w:spacing w:line="240" w:lineRule="auto"/>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（五）灌瓶间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灌瓶间的窗玻璃宜采用磨砂玻璃或涂白漆等措施，防止阳光直接照射。</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50030-2013）第7.0.7条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灌瓶间的充灌台应设置高度不小于2m、厚度大于或等于200mm的钢筋混凝土防护墙。气瓶装卸平台应设置大于平台宽度的雨篷，雨篷和支撑应采用不燃烧体。</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50030-2013）第7.0.8条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灌瓶间的地坪应平整、耐磨和防滑。</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50030-2013）第7.0.9条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灌瓶间应设置压缩机紧急停车按钮。</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50030-2013）第8.0.5条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numPr>
                <w:ilvl w:val="255"/>
                <w:numId w:val="0"/>
              </w:numPr>
              <w:wordWrap w:val="0"/>
              <w:spacing w:line="240" w:lineRule="auto"/>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（六）氧气管道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厂区管道架空敷设时，应符合下列规定：（1）氧气管道应敷设在不燃烧体的支架上；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除氧气管道专用的导电线路外，其他导电线路不得与氧气管道敷设在同一支架上；（3）当沿建筑物的外墙或屋顶上敷设时，该建筑物应为一、二级耐火等级，并应是与氧气生产或使用有关的车间建筑物；（4）氧气管道、管架与建筑物、构筑物、铁路、道路等之间的最小净距应符合下表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drawing>
                <wp:inline distT="0" distB="0" distL="0" distR="0">
                  <wp:extent cx="3325495" cy="2118995"/>
                  <wp:effectExtent l="0" t="0" r="8255" b="0"/>
                  <wp:docPr id="157489137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4891374" name="图片 1"/>
                          <pic:cNvPicPr>
                            <a:picLocks noChangeAspect="true"/>
                          </pic:cNvPicPr>
                        </pic:nvPicPr>
                        <pic:blipFill>
                          <a:blip r:embed="rId19"/>
                          <a:stretch>
                            <a:fillRect/>
                          </a:stretch>
                        </pic:blipFill>
                        <pic:spPr>
                          <a:xfrm>
                            <a:off x="0" y="0"/>
                            <a:ext cx="3329317" cy="2122009"/>
                          </a:xfrm>
                          <a:prstGeom prst="rect">
                            <a:avLst/>
                          </a:prstGeom>
                        </pic:spPr>
                      </pic:pic>
                    </a:graphicData>
                  </a:graphic>
                </wp:inline>
              </w:drawing>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注：1）表中水平距离：管架从最外边线算起；道路为城市型时，自路面边缘算起；道路为公路型时，自路肩边缘算起；铁路自轨外侧或按建筑限算起；人行道自外沿算起。</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2）表中垂直距离：管线自防护设施的外缘算起，管架自最低部分算起，铁路自轨面算起，道路自路拱算起，人行道自路面算起。</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3）当有大件运输要求或在检修期间有大型起吊设施通过的道路，其最小垂直净距应根据需要确定。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4）表中与建筑物的最小水平净距的规定，不适用于沿氧气生产车间或氧气用户车间建筑物外墙敷设的管道。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5）与架空电力线路的距离应符合现行国家标准《66kV 及以下架空电力线路设计规范》GB 50061的有关规定。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（5）氧气管道与其他气体、液体管道共架敷设时，宜布置在其他管道外侧，并宜布置在燃油管道的上面。各种管线之间的最小净距应符合下表的规定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rPr>
              <w:drawing>
                <wp:inline distT="0" distB="0" distL="0" distR="0">
                  <wp:extent cx="2310130" cy="1403985"/>
                  <wp:effectExtent l="0" t="0" r="0" b="5715"/>
                  <wp:docPr id="9034527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3452712" name="图片 1"/>
                          <pic:cNvPicPr>
                            <a:picLocks noChangeAspect="true"/>
                          </pic:cNvPicPr>
                        </pic:nvPicPr>
                        <pic:blipFill>
                          <a:blip r:embed="rId20"/>
                          <a:stretch>
                            <a:fillRect/>
                          </a:stretch>
                        </pic:blipFill>
                        <pic:spPr>
                          <a:xfrm>
                            <a:off x="0" y="0"/>
                            <a:ext cx="2310147" cy="1404000"/>
                          </a:xfrm>
                          <a:prstGeom prst="rect">
                            <a:avLst/>
                          </a:prstGeom>
                        </pic:spPr>
                      </pic:pic>
                    </a:graphicData>
                  </a:graphic>
                </wp:inline>
              </w:drawing>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注：1）氧气管道与同一使用目的的燃气管道平行敷设时，最小平行净距可减小到0.25m。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2）氧气管道的阀门及管件接头与燃气、燃油管道上的阀门及管件接头，应沿管道轴线方向错开一定距离；当必须设置在一处时，则应适当扩大管道之间的净距。</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3）电气设备与氧气的引出口不能满足上述距离要求时，可将两者安装在同一柱子的相对侧面；当为空腹柱子时，应在柱子上装设不燃烧体隔板局部隔开。</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4）公称直径小于或等于80mm的氧气管道，与不燃介质管道的最小平行净距可小于0.25m，但不得小于0.15m。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5）与滑触线的净距系指氧气管在其下方时的要求，此时在氧气管及滑触线之间宜设隔离网。</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（6）氧气管道上设有阀门时，应设置操作平台；</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（7）寒冷地区的含湿气体管道应采取防护措施。</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50030-2013）第11.0.2条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厂区管道直接埋地敷设或采用不通行地沟敷设时，应符合下列规定：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（1）氧气管道严禁埋设在不使用氧气的建筑物、构筑物或露天堆场下面或穿过烟道；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（2）氧气管道采用不通行地沟敷设时，沟上应设防止可燃物料、火花和雨水侵入的不燃烧体盖板；严禁氧气管道与油品管道、腐蚀性介质管道和各种导电线路敷设在同一地沟内，并不得与该类管线地沟相通；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（3）直接埋地或不通行地沟敷设的氧气管道上不应装设阀门或法兰连接点，当必须设阀门时，应设独立阀门井；</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（4）氧气管道不应与燃气管道同沟敷设，当氧气管道与同一使用目的燃气管道同沟敷设时，沟内应填满沙子，并严禁与其他地沟直接相通。</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50030-2013）第11.0.3条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车间内氧气管道的敷设应符合下列规定：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（1）氧气管道不得穿过生活间、办公室；</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（2）车间内氧气管道宜沿墙、柱或专设的支架架空敷设，其高度应不妨碍交通和便于检修；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（3）进入用户车间的氧气主管应在车间入口处装设切断阀、压力表，并宜在适当位置设放散管；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（4）氧气管道的放散管应引至室外，并应高出附近操作面4m以上的无明火场所；</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（5）氧气管道不得穿过高温作业及火焰区域。当必须穿过时，应在该管段增设隔热措施，其管壁温度不应超过70℃；</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（6）穿过墙壁、楼板的氧气管道应敷设在套管内；套管内不得有焊缝，管子与套管间的间隙应采用不燃烧的软质材料填实；</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（7）氧气管道不应穿过不使用氧气的房间。当必须通过不使用氧气的房间时，其在房间内的管段上不得设有阀门、法兰和螺纹连接，并应采取防止氧气泄漏的措施；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（8）供切割、焊接用氧的管道与切割、焊接工具或设备用软管连接时，供氧嘴头及切断阀应设置在用不燃烧材料制作的保护箱内。</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50030-2013）第11.0.4条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氧气管道应设置导除静电的接地装置。</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《氧气站设计规范》（GB 50030-2013）第11.0.17条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numPr>
                <w:ilvl w:val="255"/>
                <w:numId w:val="0"/>
              </w:numPr>
              <w:wordWrap w:val="0"/>
              <w:spacing w:line="240" w:lineRule="auto"/>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（七）液氧罐车及罐箱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液氧罐车及罐箱必须有导静电接地装置。</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《低温液体贮运设备使用安全规则》（JB/T 6898-2015）第4.4.5条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罐车、罐箱在连接充罐输液管前必须处于制动状态，防止移动，并应设置防滑块。罐车、罐箱在充装过程中应采取相应安全措施，防止意外拉脱。</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《低温液体贮运设备使用安全规则》（JB/T 6898-2015）第4.4.7条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罐车、罐箱在充罐装卸作业时，汽车发动机必须关闭。</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《低温液体贮运设备使用安全规则》（JB/T 6898-2015）第4.4.9条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pStyle w:val="22"/>
              <w:numPr>
                <w:ilvl w:val="0"/>
                <w:numId w:val="15"/>
              </w:numPr>
              <w:ind w:firstLine="480"/>
              <w:rPr>
                <w:rFonts w:ascii="Times New Roman" w:hAnsi="Times New Roman" w:eastAsia="仿宋_GB2312" w:cs="楷体_GB2312"/>
                <w:color w:val="000000" w:themeColor="text1"/>
                <w:sz w:val="24"/>
                <w14:textFill>
                  <w14:solidFill>
                    <w14:schemeClr w14:val="tx1"/>
                  </w14:solidFill>
                </w14:textFill>
              </w:rPr>
            </w:pPr>
          </w:p>
        </w:tc>
        <w:tc>
          <w:tcPr>
            <w:tcW w:w="588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罐车、罐箱宜设置防错装接头。</w:t>
            </w:r>
          </w:p>
        </w:tc>
        <w:tc>
          <w:tcPr>
            <w:tcW w:w="2184"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《低温液体贮运设备使用安全规则》（JB/T 6898-2015）第4.4.11条</w:t>
            </w:r>
          </w:p>
        </w:tc>
      </w:tr>
    </w:tbl>
    <w:p>
      <w:pPr>
        <w:numPr>
          <w:ilvl w:val="0"/>
          <w:numId w:val="10"/>
        </w:numPr>
        <w:ind w:firstLine="643"/>
        <w:outlineLvl w:val="2"/>
        <w:rPr>
          <w:rFonts w:ascii="Times New Roman" w:hAnsi="Times New Roman" w:cs="仿宋_GB2312"/>
          <w:b/>
          <w:bCs/>
        </w:rPr>
      </w:pPr>
      <w:bookmarkStart w:id="78" w:name="_Toc224910875"/>
      <w:bookmarkStart w:id="79" w:name="_Toc225353459"/>
      <w:r>
        <w:rPr>
          <w:rFonts w:hint="eastAsia" w:ascii="Times New Roman" w:hAnsi="Times New Roman" w:cs="仿宋_GB2312"/>
          <w:b/>
          <w:bCs/>
        </w:rPr>
        <w:t>氨气</w:t>
      </w:r>
      <w:bookmarkEnd w:id="78"/>
      <w:bookmarkEnd w:id="79"/>
    </w:p>
    <w:p>
      <w:pPr>
        <w:ind w:firstLine="640"/>
        <w:rPr>
          <w:rFonts w:ascii="Times New Roman" w:hAnsi="Times New Roman"/>
        </w:rPr>
      </w:pPr>
      <w:r>
        <w:rPr>
          <w:rFonts w:hint="eastAsia" w:ascii="Times New Roman" w:hAnsi="Times New Roman"/>
        </w:rPr>
        <w:t>发电企业、冷库等单位使用氨气、氨水和液氨用于制冷和烟气脱硝。</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395"/>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395"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452"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（一）一般要求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液氨场所应与生活区、办公区分开布置。员工宿舍不应与液氨场所设置在同一座建筑物内。</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1014-2021）第4.1.2条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 7015-2018）第5.7条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构成液氨重大危险源的液氨场所，应在明显位置悬挂“重大危险源安全警示牌”。</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1014-2021）第4.4.1.7条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7015-2018）第7.6条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eastAsia="FZSSK--GBK1-0" w:cs="FZSSK--GBK1-0"/>
                <w:kern w:val="0"/>
                <w:sz w:val="21"/>
                <w:szCs w:val="21"/>
              </w:rPr>
            </w:pPr>
            <w:r>
              <w:rPr>
                <w:rFonts w:hint="eastAsia" w:ascii="Times New Roman" w:hAnsi="Times New Roman" w:cs="楷体_GB2312"/>
                <w:color w:val="000000" w:themeColor="text1"/>
                <w:sz w:val="24"/>
                <w14:textFill>
                  <w14:solidFill>
                    <w14:schemeClr w14:val="tx1"/>
                  </w14:solidFill>
                </w14:textFill>
              </w:rPr>
              <w:t>用氨厂房、液氨钢瓶储存仓库、储罐区与建筑物的防火间距应符合GB 50016中的火灾危险性场所与建筑物的防火间距的要求，且液氨钢瓶储存仓库、氨制冷机房、充装间的耐火等级不应低于二级。</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能发生氨泄漏的非冷库库房的液氨场所应设置固定式氨气体浓度报警仪（有毒气体探测器），室内可能发生氨泄漏的非冷库库房的液氨场所尚应设置事故排风机。冷库氨气体浓度报警仪和事故排风机的设置尚应符合AQ7015和GB50072的要求。</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液氨钢瓶储存仓库、氨制冷机房、充装间、用氨生产车间的氨气体浓度报警仪应与相应的事故排风机联锁，并保证排风机的可靠供电。</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依法办理压力容器和压力管道等特种设备的使用登记，压力容器、压力管道应由具有相关资质的检验机构定期检验，安全附件（压力表、安全阀等）应由具有相关资质的检验机构定期校验，并出具有效检测合格报告，不具备有效检测合格报告的设备设施不应使用。</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液氨场所应设置视频监控报警系统。视频图像信息保存期限不应少于90d。视频监控报警系统应符合DB11/T 384的有关要求。</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1014-2021）第4.5.2.1条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泄漏报警与视频监控报警等信号应传输至本单位的控制室，安全监控信号应满足异地调用需要。</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1014-2021）第4.5.2.2条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构成液氨重大危险源的储存、装卸和使用装置、设施应配备温度、压力、液位等信息的不间断采集和监测系统，并应设置压力和液位超限报警装置。系统应具备信息远传、连续记录、信息存储等功能，记录的电子数据的保存时间不少于90d。</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1014-2021）第4.4.2.5条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7015-2018）第7.3条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液氨场所应设置风向标。风向标应设在液氨场所内人员容易看到的高处。</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应针对漏氨重点部位，特别是管道法兰、阀门法兰和设备法兰等，制定检修维护计划，并建立相应记录。记录中应明确检查部位、方法、人员、周期等内容。</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液氨场所应设置符合GB 50057 规定的防雷装置和GB12158规定的防静电装置：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（1）非冷库液氨场所的液氨储罐、充装系统管道、阀门等金属设备设施应设置符合GB 12158规定的防静电装置；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（2）对氨制冷机房内的制冷管道、水管等各种金属干管应做等电位联结。氨制冷机组及贮氨器、低压循环桶、中间冷却器、卧式蒸发器和氨液分离器等制冷辅助设备宜做等电位联结；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（3）防雷防静电装置应定期检验，并具有有效期内的检测合格报告。检测报告存档备查。</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配备至少1名特种设备安全管理人员和1名在班液氨岗位安全生产管理人员。冷库企业的液氨岗位安全生产管理人员应具备“制冷设备维修工”或“制冷工”三级以上（含三级）的职业资格，且持“制冷设备维修工”或“制冷工”三级以上（含三级）职业资格的人员应不少于1人。</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构成液氨重大危险源的企业，液氨储存设施操作人员应具备高中及以上学历或化工类中等教育及以上职业教育水平。</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1014-2021）第4.2.3条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氨的安全阀排放气应经处理后排放。</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《石油化工企业设计防火规范》（GB 50160-2008）（2018年版）第5.5.10条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包装间、分割间、产品整理间等人员较多的生产场所的空调系统不应采用氨直接蒸发制冷系统。</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7015-2018）第5.8条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（二）液氨储罐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液氨储罐的储存系数不应大于0.8。</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1014-2021）第5.4.1条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室外储罐应设置固定消防水喷淋系统。室外储罐区外部应设置消火栓，并配备移动式喷雾水枪。构成液氨重大危险源的储罐区尚应设置具有水雾喷射功能的消防水炮。喷淋与水雾喷射范围应能满足覆盖所有可能漏氨的部位，特别是管道法兰、阀门法兰和设备法兰等连接密封部位。</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1014-2021）第5.4.4条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室外储罐区应设置消防车道，构成重大危险源的罐区宜设置环形消防车道。</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1014-2021）第5.4.7条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室外储罐区四周应设置闭合的不燃烧实体围堤，围堤内区域应做防渗处理。围堤的有效容量不应小于其中最大储罐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的容量。</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1014-2021）第5.4.7条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液氨的实瓶不应露天堆放。室外储罐应设置防止阳光直射的遮阳棚。</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1014-2021）第5.4.6条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构成液氨重大危险源的储罐进出液管线应设置切断阀，切断阀宜为具有远程控制功能的紧急切断阀。</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1.《石油化工企业设计防火规范》（GB 50160-2008）（2018版）第6.5.5条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2.《液氨使用与储存安全技术规范》（DB11/T 1014-2021）第5.4.3条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（三）制冷系统场所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氨制冷设备应统一编号；标识清楚；并应由专人管理且分工明确、职责清楚。在用、备用氨制冷设备、附件及相关控制元件和铭牌等应完好。</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《氨制冷企业安全规范》（AQ 7015-2018）第6.1条和第6.3条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安装有氨制冷设备的制冷机房、设备间、库房、车间等均应在明显位置设置警示标识和中文警示说明。警示说明应载明产生职业中毒危害的种类、后果、预防和应急救治措施等内容。并应在进入该房间或区域前，设置“非专业操作人员免进”警示牌。</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《氨制冷企业安全规范》（AQ 7015-2018）第7.4条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制冷系统加氨站、集油器放油口、调节站操作阀组、紧急泄氨器、空气分离器、贮氨器、配电柜等关键操作部位应设置指导操作用标示牌。</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《氨制冷企业安全规范》（AQ 7015-2018）第7.5条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氨制冷机房与其控制室贴邻建造时，应采用耐火极限不低于3.00h的防火隔墙隔开，并设置独立的安全出口。氨制冷机房与其控制室之间隔墙上的观察窗应为甲级固定防火窗，观察窗的位置应便于室内人员巡视氨制冷机房设备运转情况，且确保24h有人值守；当确需设置连通门时，应采用开向制冷机房的甲级防火门。</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《液氨使用与储存安全技术规范》（DB11/1014-2021）第5.1.2条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变配电所与氨制冷机房及其控制室、冷库或加工车间贴邻建造时，其共用的隔墙应为防火墙。变配电室门口应设置挡板，门、窗、自然通风的孔洞用金属网和建筑材料封闭。</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《液氨使用与储存安全技术规范》（DB11/T 1014-2021）第5.1.4条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氨制冷机房及其控制室和变配电所安全出口的门应采用平开门，并向疏散方向开启。</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《液氨使用与储存安全技术规范》（</w:t>
            </w:r>
            <w:r>
              <w:rPr>
                <w:rFonts w:hint="eastAsia" w:ascii="Times New Roman" w:hAnsi="Times New Roman" w:cs="楷体_GB2312"/>
                <w:color w:val="000000" w:themeColor="text1"/>
                <w:sz w:val="24"/>
                <w14:textFill>
                  <w14:solidFill>
                    <w14:schemeClr w14:val="tx1"/>
                  </w14:solidFill>
                </w14:textFill>
              </w:rPr>
              <w:t>DB11/T 1014-2021</w:t>
            </w:r>
            <w:r>
              <w:rPr>
                <w:rFonts w:hint="eastAsia" w:ascii="Times New Roman" w:hAnsi="Times New Roman"/>
                <w:sz w:val="24"/>
              </w:rPr>
              <w:t>）第5.1.3条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1.氨制冷机房应设置氨气浓度报警装置。氨气浓度传感器应安装在氨制冷机组、氨泵及贮氨器的上方。当空气中氨气浓度达到150 mL/m2时，应自动发出报警信号，并应自动开启制冷机房内的防爆型事故排风机。</w:t>
            </w:r>
          </w:p>
          <w:p>
            <w:pPr>
              <w:spacing w:line="240" w:lineRule="auto"/>
              <w:ind w:firstLine="0" w:firstLineChars="0"/>
              <w:rPr>
                <w:rFonts w:ascii="Times New Roman" w:hAnsi="Times New Roman"/>
                <w:sz w:val="24"/>
              </w:rPr>
            </w:pPr>
            <w:r>
              <w:rPr>
                <w:rFonts w:hint="eastAsia" w:ascii="Times New Roman" w:hAnsi="Times New Roman"/>
                <w:sz w:val="24"/>
              </w:rPr>
              <w:t>2.当制冷机房空气中氨气浓度达到其爆炸下限的25%时，氨气指示报警设备发出的报警信号，应启动声光报警装置对机房室内外都发出警报，还应作为制冷机房事故排风机强制开启的信号和紧急切断制冷机房供电电源的联动信号。氨气浓度探（检）测器宜安装在机房事排风机的吸入口附近或机房内最高点气体易于积聚处。</w:t>
            </w:r>
          </w:p>
          <w:p>
            <w:pPr>
              <w:spacing w:line="240" w:lineRule="auto"/>
              <w:ind w:firstLine="0" w:firstLineChars="0"/>
              <w:rPr>
                <w:rFonts w:ascii="Times New Roman" w:hAnsi="Times New Roman"/>
                <w:sz w:val="24"/>
              </w:rPr>
            </w:pPr>
            <w:r>
              <w:rPr>
                <w:rFonts w:hint="eastAsia" w:ascii="Times New Roman" w:hAnsi="Times New Roman"/>
                <w:sz w:val="24"/>
              </w:rPr>
              <w:t>3.安装在制冷机房的声光报警装置应按爆炸性气体环境进行设计。</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1.《冷库设计规范》（GB50072-2021）第7.4.1条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氨制冷机房应设置事故排风机，事故排风量应按183m</w:t>
            </w:r>
            <w:r>
              <w:rPr>
                <w:rFonts w:hint="eastAsia" w:ascii="Times New Roman" w:hAnsi="Times New Roman"/>
                <w:sz w:val="24"/>
                <w:vertAlign w:val="superscript"/>
              </w:rPr>
              <w:t>3</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·h）进行计算确定，且最小排风量不应小于34000 m</w:t>
            </w:r>
            <w:r>
              <w:rPr>
                <w:rFonts w:hint="eastAsia" w:ascii="Times New Roman" w:hAnsi="Times New Roman"/>
                <w:sz w:val="24"/>
                <w:vertAlign w:val="superscript"/>
              </w:rPr>
              <w:t>3</w:t>
            </w:r>
            <w:r>
              <w:rPr>
                <w:rFonts w:hint="eastAsia" w:ascii="Times New Roman" w:hAnsi="Times New Roman"/>
                <w:sz w:val="24"/>
              </w:rPr>
              <w:t>/h。事故排风机的电机应选用防爆型，排风口应位于侧墙高处或屋顶。在控制室排风机控制柜上和制冷机房门口外墙上应安装人工启停控制按钮，并应设事故电源供电。</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1.《液氨使用与储存安全技术规范》（DB11/T 1014-2021）第5.1.5条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 GB/T 28009-2011《冷库安全规程》第7.2条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氨制冷机房门口外侧便于操作的位置，应设置切断氨压缩机电源和氨泵电源的事故总开关。</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1.《液氨使用与储存安全技术规范》（DB11/T 1014-2021）第5.1.6条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2.《冷库安全规程》（GB/T 28009-2011）第7.1条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制冷系统加氨站应设在机房外，并留有足够的操作空间和通畅的应急通道。</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设于室外的氨制冷机组、贮氨器应有通风良好的遮阳设施。设于室外的贮氨器、冷凝器、油分离器、集油器等制冷设备及加氨站，应有防止非操作人员进入的围栏并设有危险作业场所等安全警示标识。</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冷库库房外部、氨制冷机房外部应按GB 50016、GB 50974的有关要求设置消火栓，并配备移动式喷雾水枪。冷库库房内应设应急照明与呼叫报警装置。室外消火栓的保护半径不应小于150 m，消火栓应与氨制冷机房门口保持一定的安全距离，不宜小于5m，并不大于15m。冷库库房内的消火栓应设置在穿堂或楼梯间内，当其环境温度低于0℃时，室内消火栓系统可采用干式系统，但应在首层入口处设置快速接口和止回阀，管道最高处应设置自动排气阀。</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z w:val="24"/>
              </w:rPr>
              <w:t>液氨场所应急照明系统的灯具、开关和配电线路的防爆应符合GB50058和DB11/T1320的有关要求；应急照明灯具和灯光疏散指示标志应设置备用电源，照明持续时间不应小于30min。</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1.《液氨使用与储存安全技术规范》（DB11/T 1014-2021）第4.4.1.11条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2.《冷库安全规程》（GB28009-2011）第7.3条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低压循环贮液器、氨液分离器和中间冷却器应设高液位报警装置，报警信号应引至控制室。</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《液氨使用与储存安全技术规范》（DB11/T 1014-2021）第5.1.8条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冷凝器应设冷凝压力超压报警装置。水冷冷凝器应设断水报警装置；蒸发式冷凝器应增设压力表、安全阀及风机故障报警装置。</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《氨制冷企业安全规范》（AQ 7015-2018）第5.12条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氨制冷机房内的储氨器上方宜设置固定消防水喷淋系统喷淋范围内不宜设置无防潮设施的电器设备。</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《液氨使用与储存安全技术规范》（DB11/T 1014-2021）第5.1.9条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冷凝器、贮液器、排液器、低压循环桶、中间冷却器等附属制冷设备，均应安装安全阀，确保达到整定压力时安全阀能自动开启。水冷冷凝器应设断水报警装置；蒸发式冷凝器应增设压力表、安全阀及风机故障报警装置。2.安全阀应设置泄压管，制冷系统的安全总泄压管出口应高于周围50m内最高建筑物的屋脊5m，并应采取防止雷击、防止雨水和杂物落入泄压管内措施。</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1.《液氨使用与储存安全技术规范》（DB11/T 1014-2021）第5.1.11条、第5.1.12条</w:t>
            </w:r>
          </w:p>
          <w:p>
            <w:pPr>
              <w:spacing w:line="240" w:lineRule="auto"/>
              <w:ind w:firstLine="0" w:firstLineChars="0"/>
              <w:rPr>
                <w:rFonts w:ascii="Times New Roman" w:hAnsi="Times New Roman"/>
                <w:sz w:val="24"/>
              </w:rPr>
            </w:pPr>
            <w:r>
              <w:rPr>
                <w:rFonts w:hint="eastAsia" w:ascii="Times New Roman" w:hAnsi="Times New Roman"/>
                <w:sz w:val="24"/>
              </w:rPr>
              <w:t>2. 《冷库设计规范》（GB 50072-2021）第6.7.13条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每台氨制冷压缩机组及每台氨泵均应在启动控制柜（箱）上安装电流表，每台氨制冷机组控制台上应安装紧急停车按钮/开关。各制冷机压缩机组、制（载）冷剂泵均应在控制箱（柜）上安装电流表，制冷压缩机组控制台上应设有紧急停机按钮或者开关。</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1.《冷库设计规范》（GB 50072-2021）第7.2.3条</w:t>
            </w:r>
          </w:p>
          <w:p>
            <w:pPr>
              <w:spacing w:line="240" w:lineRule="auto"/>
              <w:ind w:firstLine="0" w:firstLineChars="0"/>
              <w:rPr>
                <w:rFonts w:ascii="Times New Roman" w:hAnsi="Times New Roman"/>
                <w:sz w:val="24"/>
              </w:rPr>
            </w:pPr>
            <w:r>
              <w:rPr>
                <w:rFonts w:hint="eastAsia" w:ascii="Times New Roman" w:hAnsi="Times New Roman"/>
                <w:sz w:val="24"/>
              </w:rPr>
              <w:t>2.《冷库安全规程》（GB/T 28009-2011）第7.1条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氨制冷机房内不得存放冷冻油及其他易燃易爆物品，不应使用明火、电炉等。</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1.《冷库安全规程》（GB/T 28009-2011）第11.2.2条</w:t>
            </w:r>
          </w:p>
          <w:p>
            <w:pPr>
              <w:spacing w:line="240" w:lineRule="auto"/>
              <w:ind w:firstLine="0" w:firstLineChars="0"/>
              <w:rPr>
                <w:rFonts w:ascii="Times New Roman" w:hAnsi="Times New Roman"/>
                <w:sz w:val="24"/>
              </w:rPr>
            </w:pPr>
            <w:r>
              <w:rPr>
                <w:rFonts w:hint="eastAsia" w:ascii="Times New Roman" w:hAnsi="Times New Roman"/>
                <w:sz w:val="24"/>
              </w:rPr>
              <w:t>2.《氨制冷企业安全规范》（AQ 7015-2018）第9.8条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氨制冷系统及其阀门、管道安装要求：</w:t>
            </w:r>
          </w:p>
          <w:p>
            <w:pPr>
              <w:spacing w:line="240" w:lineRule="auto"/>
              <w:ind w:firstLine="0" w:firstLineChars="0"/>
              <w:rPr>
                <w:rFonts w:ascii="Times New Roman" w:hAnsi="Times New Roman"/>
                <w:sz w:val="24"/>
              </w:rPr>
            </w:pPr>
            <w:r>
              <w:rPr>
                <w:rFonts w:hint="eastAsia" w:ascii="Times New Roman" w:hAnsi="Times New Roman"/>
                <w:sz w:val="24"/>
              </w:rPr>
              <w:t>（1）新建（含改、扩建）氨制冷快速冻结装置的热氨融霜应采用自动控制融霜。热氨融霜供气管道应设置融霜压力控制及紧急切断装置。紧急切断装置应采用自动控制，并在人员密集区域需融霜的快速冻结装置30m以外便于操作的位置或快速冻结装置附近的安全出口门外设置关闭热氨融霜紧急切断装置的人工启动按钮。</w:t>
            </w:r>
          </w:p>
          <w:p>
            <w:pPr>
              <w:spacing w:line="240" w:lineRule="auto"/>
              <w:ind w:firstLine="0" w:firstLineChars="0"/>
              <w:rPr>
                <w:rFonts w:ascii="Times New Roman" w:hAnsi="Times New Roman"/>
                <w:sz w:val="24"/>
              </w:rPr>
            </w:pPr>
            <w:r>
              <w:rPr>
                <w:rFonts w:hint="eastAsia" w:ascii="Times New Roman" w:hAnsi="Times New Roman"/>
                <w:sz w:val="24"/>
              </w:rPr>
              <w:t>（2）氨制冷系统应采用专用钢制阀门，不应使用灰铸铁阀门。已建成投产的制冷系统若采用球墨铸铁阀门的，应符合压力管道安全技术规范要求。</w:t>
            </w:r>
          </w:p>
          <w:p>
            <w:pPr>
              <w:spacing w:line="240" w:lineRule="auto"/>
              <w:ind w:firstLine="0" w:firstLineChars="0"/>
              <w:rPr>
                <w:rFonts w:ascii="Times New Roman" w:hAnsi="Times New Roman"/>
                <w:sz w:val="24"/>
              </w:rPr>
            </w:pPr>
            <w:r>
              <w:rPr>
                <w:rFonts w:hint="eastAsia" w:ascii="Times New Roman" w:hAnsi="Times New Roman"/>
                <w:sz w:val="24"/>
              </w:rPr>
              <w:t>（3）制冷管道穿过建筑物的沉降缝、伸缩缝、墙及楼板时，应采取防变形的措施。</w:t>
            </w:r>
          </w:p>
          <w:p>
            <w:pPr>
              <w:spacing w:line="240" w:lineRule="auto"/>
              <w:ind w:firstLine="0" w:firstLineChars="0"/>
              <w:rPr>
                <w:rFonts w:ascii="Times New Roman" w:hAnsi="Times New Roman"/>
                <w:sz w:val="24"/>
              </w:rPr>
            </w:pPr>
            <w:r>
              <w:rPr>
                <w:rFonts w:hint="eastAsia" w:ascii="Times New Roman" w:hAnsi="Times New Roman"/>
                <w:sz w:val="24"/>
              </w:rPr>
              <w:t>（4）管道、线缆等穿过保温墙体、屋面时，应采取可靠的防火和防止产生冷桥的措施。</w:t>
            </w:r>
          </w:p>
          <w:p>
            <w:pPr>
              <w:spacing w:line="240" w:lineRule="auto"/>
              <w:ind w:firstLine="0" w:firstLineChars="0"/>
              <w:rPr>
                <w:rFonts w:ascii="Times New Roman" w:hAnsi="Times New Roman"/>
                <w:sz w:val="24"/>
              </w:rPr>
            </w:pPr>
            <w:r>
              <w:rPr>
                <w:rFonts w:hint="eastAsia" w:ascii="Times New Roman" w:hAnsi="Times New Roman"/>
                <w:sz w:val="24"/>
              </w:rPr>
              <w:t>（5）连接氨制冷压缩机和设备的管道应有足够补偿变形的弯头，供液管无气囊、吸气管无液囊。</w:t>
            </w:r>
          </w:p>
          <w:p>
            <w:pPr>
              <w:spacing w:line="240" w:lineRule="auto"/>
              <w:ind w:firstLine="0" w:firstLineChars="0"/>
              <w:rPr>
                <w:rFonts w:ascii="Times New Roman" w:hAnsi="Times New Roman"/>
                <w:sz w:val="24"/>
              </w:rPr>
            </w:pPr>
            <w:r>
              <w:rPr>
                <w:rFonts w:hint="eastAsia" w:ascii="Times New Roman" w:hAnsi="Times New Roman"/>
                <w:sz w:val="24"/>
              </w:rPr>
              <w:t>（6）快速冻结装置回气集管端部封头等部位的焊缝质量应符合SBJ 12及相关标准的要求。</w:t>
            </w:r>
          </w:p>
        </w:tc>
        <w:tc>
          <w:tcPr>
            <w:tcW w:w="3452" w:type="dxa"/>
            <w:vAlign w:val="center"/>
          </w:tcPr>
          <w:p>
            <w:pPr>
              <w:spacing w:line="240" w:lineRule="auto"/>
              <w:ind w:firstLine="0" w:firstLineChars="0"/>
              <w:rPr>
                <w:rFonts w:ascii="Times New Roman" w:hAnsi="Times New Roman"/>
                <w:sz w:val="24"/>
              </w:rPr>
            </w:pPr>
            <w:r>
              <w:rPr>
                <w:rFonts w:hint="eastAsia" w:ascii="Times New Roman" w:hAnsi="Times New Roman"/>
                <w:sz w:val="24"/>
              </w:rPr>
              <w:t>《氨制冷企业安全规范》（AQ 7015-2018）第5.13条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制冷系统用压力容器、加氨站集管，以及氨液体、气体分配站集管和空气分离器的回气管，均应安装氨专用压力表。安装位置距操作者直线距离不应超过3m，且应清晰可见。压力表选用精度应符合以下规定：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（1）位于制冷系统高压侧的压力表或者真空压力表不应低于1.5级；</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（2）位于制冷系统低压侧的真空压力表不应低于2.5级；</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（3）压力表或真空压力表的量程不得小于工作压力的1.5倍，不得大于工作压力的3倍。</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7015-2018）第7.8条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压力容器液位计应有保护装置，显示面应无损且清洁、有效；安装位置应便于操作人员观察，液位计最高和最低液位应有明显标记。</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《氨制冷企业安全规范》（AQ 7015-2018）第7.9条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氨罐车装卸应采用金属万向管道充装系统，禁止使用软管装卸。</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1.《首批重点监管的危险化学品安全措施和事故应急处置原则》（安监总厅管三〔2011〕142号）</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2.《液氨使用与储存安全技术规范》（DB11/T 1014-2021）5.2.2条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（四）气瓶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实瓶区宜设置固定消防水喷淋系统。钢瓶储存区外部应设置消火栓，并配备移动式喷雾水枪。喷淋与水雾喷射范围应能满足覆盖实瓶区。</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1014-2021）第5.3.5条、第5.3.6条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spacing w:line="240" w:lineRule="auto"/>
              <w:ind w:firstLine="0" w:firstLineChars="0"/>
              <w:jc w:val="center"/>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（五）泄漏处置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液氨场所应配备日常检维修作业所需的有效的防护器具，至少应包括过滤式防毒面具（配氨气专用滤毒罐）、橡胶手套、胶靴、化学安全防护眼镜，防护器具应满足在岗人员一人一具。</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1014-2021）第4.6.1条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液氨场所应配备事故应急工作所需的有效的防护器具，至少应包括正压式空气呼吸器、隔离式防护服，其中正压式空气呼吸器应至少配备两套。构成重大危险源的液氨场所尚应配备长管式防毒面具、重型防护服。</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1014-2021）第4.6.2条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日常检维修防护器具与事故应急防护器具应分开放置，并有专人负责保管，定期校验和维护。</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1014-2021）第4.6.3条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液氨场所应设置洗眼器、淋洗器等防护设施。</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1014-2021）第4.6.4条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液氨场所应配备在保质期内的酸性饮料或食醋、2%硼酸溶液、生理盐水等应急抢救物品。</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1014-2021）第4.6.5条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企业应设置对事故状态下泄漏的液氨和消防废水进行收集与储存的事故储存设施，包括事故应急池、备用输转罐、罐区围堤或装置围堰等。</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（六）液氨管道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液氨管道不得采用软管连接。</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《石油化工企业设计防火规范（2018版）》（GB 50160-2008）第7.2.18条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制冷系统用阀门应采用专用钢制阀门，不应使用灰铸铁阀门。</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《液氨使用与储存安全技术规范（DB11/T 1014-2021）第4.4.1.5条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2"/>
              <w:numPr>
                <w:ilvl w:val="0"/>
                <w:numId w:val="16"/>
              </w:numPr>
              <w:ind w:firstLineChars="0"/>
              <w:jc w:val="center"/>
              <w:rPr>
                <w:rFonts w:ascii="Times New Roman" w:hAnsi="Times New Roman" w:cs="楷体_GB2312"/>
                <w:color w:val="000000" w:themeColor="text1"/>
                <w:sz w:val="24"/>
                <w14:textFill>
                  <w14:solidFill>
                    <w14:schemeClr w14:val="tx1"/>
                  </w14:solidFill>
                </w14:textFill>
              </w:rPr>
            </w:pPr>
          </w:p>
        </w:tc>
        <w:tc>
          <w:tcPr>
            <w:tcW w:w="439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输送氨的管道不应靠近热源敷设；管道采用地上敷设时，应在人员活动较多和易遭车辆、外来物撞击的地段，采取保护措施并设置明显的警示标志；氨管道架空敷设时，管道应敷设在非燃烧体的支架或栈桥上。在已敷设的氨管道下面，不得修建与氨管道无关的建筑物和堆放易燃物品。</w:t>
            </w:r>
          </w:p>
        </w:tc>
        <w:tc>
          <w:tcPr>
            <w:tcW w:w="3452"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首批重点监管的危险化学品安全措施和事故应急处置原则》（安监总厅管三〔2011〕142号）</w:t>
            </w:r>
          </w:p>
        </w:tc>
      </w:tr>
    </w:tbl>
    <w:p>
      <w:pPr>
        <w:numPr>
          <w:ilvl w:val="0"/>
          <w:numId w:val="10"/>
        </w:numPr>
        <w:ind w:firstLine="643"/>
        <w:outlineLvl w:val="2"/>
        <w:rPr>
          <w:rFonts w:ascii="Times New Roman" w:hAnsi="Times New Roman" w:cs="仿宋_GB2312"/>
          <w:b/>
          <w:bCs/>
        </w:rPr>
      </w:pPr>
      <w:bookmarkStart w:id="80" w:name="_Toc224910876"/>
      <w:bookmarkStart w:id="81" w:name="_Toc225353460"/>
      <w:r>
        <w:rPr>
          <w:rFonts w:hint="eastAsia" w:ascii="Times New Roman" w:hAnsi="Times New Roman" w:cs="仿宋_GB2312"/>
          <w:b/>
          <w:bCs/>
        </w:rPr>
        <w:t>氢气</w:t>
      </w:r>
      <w:bookmarkEnd w:id="80"/>
      <w:bookmarkEnd w:id="81"/>
    </w:p>
    <w:p>
      <w:pPr>
        <w:ind w:firstLine="640"/>
        <w:rPr>
          <w:rFonts w:ascii="Times New Roman" w:hAnsi="Times New Roman"/>
        </w:rPr>
      </w:pPr>
      <w:r>
        <w:rPr>
          <w:rFonts w:hint="eastAsia" w:ascii="Times New Roman" w:hAnsi="Times New Roman"/>
        </w:rPr>
        <w:t>科研、新能源、工业等企业使用氢气用于储能、高纯度保护气。</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4499"/>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499"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13"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（一）一般要求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氢气站、供氢站内有爆炸危险房间或区域未按规范要求划分爆炸危险等级，应符合GB 50177规范规定。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氢气灌（充）装站、供氢站、实瓶间、空瓶间周边至少10 m内不得有明火。</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1.《氢气站设计规范》（GB 50177-2005）第1.0.3条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2.《氢气使用安全技术规程》（GB 4962-2008）第4.1.8条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氢气站、供氢站、氢气罐与建筑物、构筑物的防火间距，不应小于下表的（GB 50177）规定。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drawing>
                <wp:inline distT="0" distB="0" distL="0" distR="0">
                  <wp:extent cx="1866265" cy="1144905"/>
                  <wp:effectExtent l="0" t="0" r="635" b="0"/>
                  <wp:docPr id="160510723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5107238" name="图片 1"/>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1884627" cy="1156762"/>
                          </a:xfrm>
                          <a:prstGeom prst="rect">
                            <a:avLst/>
                          </a:prstGeom>
                          <a:noFill/>
                          <a:ln>
                            <a:noFill/>
                          </a:ln>
                        </pic:spPr>
                      </pic:pic>
                    </a:graphicData>
                  </a:graphic>
                </wp:inline>
              </w:drawing>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drawing>
                <wp:inline distT="0" distB="0" distL="0" distR="0">
                  <wp:extent cx="2485390" cy="709930"/>
                  <wp:effectExtent l="0" t="0" r="0" b="0"/>
                  <wp:docPr id="47299197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2991977" name="图片 2"/>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2514672" cy="718729"/>
                          </a:xfrm>
                          <a:prstGeom prst="rect">
                            <a:avLst/>
                          </a:prstGeom>
                          <a:noFill/>
                          <a:ln>
                            <a:noFill/>
                          </a:ln>
                        </pic:spPr>
                      </pic:pic>
                    </a:graphicData>
                  </a:graphic>
                </wp:inline>
              </w:drawing>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50177-2005）第3.0.2条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氢气站、供氢站、氢气罐与铁路、道路的防火间距，应符合GB 50177规定。</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50177-2005）第3.0.3条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氢气罐或罐区之间的防火间距，不符合规范要求。</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50177-2005）第3.0.4条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氢气压缩机安全保护装置的设置，应符合下列规定：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（1）压缩机出口与第1个切断阀之间应设安全阀；</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（2）压缩机进、出口应设高低压报警和超限停机装置；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（3）润滑油系统应设油压过低或油温过高的报警装置；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（4）压缩机的冷却水系统应设温度或压力饱和停机装置；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（5）压缩机进、出口管路应设有置换吹扫口。</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50177-2005）第4.0.8条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氢气站、供氢站的氢气罐安全设施设置，应符合下列规定：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（1）应设有安全泄压装置，如安全阀等；</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（2）氢气罐顶部最高点，应设氢气放空管；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（3）应设压力测量仪表；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（4）应设氮气吹扫换接口。</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50177-2005）第4.0.10条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各类制氢系统中，设备及其管道内的冷凝水，应经各自的专用疏水装置或排水水封排至室外。水封上的气体放空管，应分别接至室外安全处。</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50177-2005）第4.0.11条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制氢系统、供氢系统，应设有含氧量小于0.5%的氮气置换吹扫设施。</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50177-2005）第4.0.15条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氢气站工艺装置内的设备、建筑物平面布置的防火间距不应小于GB 50177表6.0.2的规定。</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50177-2005）第6.0.2条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氢气站工艺装置内兼作消防车道的道路，应符合下列规定。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（1）道路应相互贯通。当装置宽度小于或等于60m，且装置外两侧设有消防车道时，可不设贯通式道路；</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（2）道路的宽度不应小于4m，路面上的净空高度不应小于4.5m。</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50177-2005）第6.0.3条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氢气站内未将有爆炸危险的房间集中布置。有爆炸危险房间不应与无爆炸危险房间直接相通。必须相通时，应以走廊相连或设置双门斗。</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50177-2005）第6.0.5条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当氢气站内同时设有氢气压缩机和氧气压缩机时，不应将氧气压缩机与氢气压缩机设置在同一房间内。</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50177-2005）第6.0.10条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氢气站、供氢站内有爆炸危险房间应按现行国家标准《建筑设计防火规范》GB 50016的规定，设置泄压设施。</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50177-2005）第7.0.3条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1.有爆炸危险房间与无爆炸危险房间之间，应采用耐火极限不低于3.0h的不燃烧体防爆防护墙隔开。当设置双门斗相通时，门的耐火极限不应低于1.2h。</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2.有爆炸危险房间与无爆炸危险房间之间，当必须穿过管线时，应采用不燃烧体材料填塞空隙。</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50177-2005）第7.0.6条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有爆炸危险房间或区域内的电气设施，应符合现行国家标准《爆炸危险环境电力装置设计规范》GB 50058的规定。</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50177-2005）第8.0.2条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有爆炸危险环境的电气设施选型，设置低于氢气爆炸混合物的级别、组别（ⅡCT1）。有爆炸危险环境的电气设计和电气设备、线路接地，应按现行国家标准《爆炸危险环境电力装置设计规范》GB 50058的规定执行。</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50177-2005）第8.0.3条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在有爆炸危险环境内的电缆及导线敷设，应符合现行国家标准《电力工程电缆设计规范》GB 50217的规定。敷设导线或电缆用的保护钢管，应在下列各处做隔离密封：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（1）导线或电缆引向电气设备接头部件前；</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（2）相邻的环境之间。</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50177-2005）第8.0.5条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有爆炸危险房间内，应设氢气检漏报警装置，应与相应的事故排风机联锁。当空气中氢气浓度达到0.4%（体积比）时，事故排风机应自动开启。</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50177-2005）第8.0.6条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氢气有可能积聚处或氢气浓度可能增加处应设置固定式可燃气体检测报警仪，可燃气体检测报警仪应设在监测点（释放源）上方或厂房顶端，其安装高度宜高出释放源0.5m～2m且周围应留有不小于0.3 m的净空。可燃气体检测报警仪的有效覆盖水平平面半径，室内宜为7.5m，室外宜为15 m。</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）第4.1.7条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对水电解制氢装置，应设置氧中氢含量和氢中氧含在线分析仪，当回收氧气时，应设氧中氢含量超量报警装置。</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50177-2005）第8.0.7条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的防雷分类低于第二类防雷建筑。其防雷设施不能防直击雷、防雷电感应和防雷电波侵入。防直击雷的防雷接闪器，应使被保护的氢气站建筑物、构筑物、通风风帽、氨气放空管等突出屋面的物体均处于保护范围内。</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50177-2005）第9.0.2条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防雷装置应每年检测一次。所有防雷防静电接地装置应定期检测，接地电阻每年检测不少于一次，对爆炸危险环境场所的防雷装置应每半年检测一次。</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）第4.1.12条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氢气站、供氢站内的设备、管道、构架、电缆金属外皮钢屋架和突出屋面的放空管、风管等应接到防雷电感应接地装置上。管道法兰、阀门等连接处，应采用金属线跨接。</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50177-2005）第9.0.4条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室外架空敷设氢气管道应与防雷电感应的接地装置相连。距建筑100m内管道，应每隔25m左右接地一次，其冲击接地电阻不应大于20Ω。埋地氢气管道，在进出建筑物处应与防雷电感应的接地装置相连。</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50177-2005）第9.0.5条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有爆炸危险环境内可能产生静电危险的物体应采取防静电措施。在进出氢气站和供氢站处、不同爆炸危险环境边界、管道分岔处及长距离无分支管道应每隔50～80m处设防静电接地，其接地电阻不应大于10Ω。</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50177-2005）第9.0.6条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等有爆炸危险的露天钢质封闭容器，当其壁厚大于4mm时可不装设接闪器，但应设置可靠接地，接地点不应小于2处，两接地点间距不宜大于30m，冲击接地电阻不应大于10Ω。氢气放散管的保护应符合现行国家标准《建筑物防雷设计规范》GB 50057的要求。</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50177-2005）第9.0.7条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有爆炸危险房间的自然通风换气次数，每小时少于3次；事故排风装置换气次数不应每小时少于12次，应与氢气检漏装置联锁。</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50177-2005）第11.0.5条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有爆炸危险房间，事故排风机的选型，应符合现行国家标准《爆炸危险环境电力装置设计规范》GB50058的规定，不应低于氢气爆炸混合物的级别、组别（ⅡCT1）。</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50177-2005）第11.0.7条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氢气放空管，应设阻火器。阻火器应设在管口处。放空管的设置，应符合下列规定：（1）应引至室外，放空管管口应高出屋脊1m；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（2）应有防雨雪侵入和杂物堵塞的措施；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（3）压力大于0.1MPa时，阻火器后的管材，应采用不锈钢管。</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50177-2005）第12.0.9条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氢气站、供氢站和车间内氢气管道敷设时，应符合下列规定：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（1）严禁穿过生活间、办公室，并不得穿过不使用氢气的房间；</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（2）接至用氢设备的支管，应设切断阀，有明火的用氢设备还应设阻火器。</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50177-2005）第12.0.10条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厂区内氢气管道直接埋地敷设时，应符合下列规定：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（1）不得敷设在露天堆场下面或穿过热力沟。当必须穿过热力沟时，应设套管。套管和套管内的管段不应有焊缝；</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（2）敷设在铁路或不便开挖的道路下面时，应加设套管。套管的两端伸出铁路路基、道路路肩或延伸至排水沟沟边均为1m。套管内的管段不应有焊缝；套管的端部应设检漏管。</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50177-2005）第12.0.12条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厂区内氢气管道明沟敷设时，应符合下列规定：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（1）管道支架应采用不燃烧体；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（2）在寒冷地区，湿氢管道应采取防冻措施；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（3）不应与其他管道共沟敷设。</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《氢气站设计规范》（GB 50177-2005）第12.0.13条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氢气储存容器应与氧气、压缩空气、卤素、氧化剂及其他助燃性气瓶隔离存放。</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）第4.1.10条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充（灌）装站、汇流排间、空瓶和实瓶的布置应符合下列要求：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（1）汇流排间、空瓶和实瓶应分开放置。若空瓶和实瓶储存在封闭或半敞开式建筑物内，汇流排间应通过门洞与空瓶间或实瓶间相通，但各自应有独立的出入口；</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（2）当实瓶数量不超过60瓶时，空瓶、实瓶和汇流排可布置在同一房间内，但实瓶、空瓶应分开存放，且实瓶与空瓶之间的间距不小于0.3 m。空（实）瓶与汇流排之间的间距不宜小于2 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（3）汇流排间、空瓶间和实瓶间不应与仪表室、配电室和生活间直接相通，应用无门、窗、洞的防火墙隔开。如需连通，应设双门斗间，门采用自动关闭（如弹簧门），且耐火极限不低于0.9 h；</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（4）空瓶间和实瓶间应有支架，栅栏等防止倒瓶的设施；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（5）汇流排间、空瓶间和实瓶间内通道的净宽应根据气瓶的搬运方式确定，一般不宜小于1.5m；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（6）汇流排间应尽量宽敞。汇流排应靠墙布置，并设固定气瓶的框架；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（7）实瓶间应有遮阳措施，防止阳光直射气瓶；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（8）空瓶间和实瓶间宜设气瓶装卸平台。平台上的雨篷和支撑应采用阻燃材料；</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（9）氢气充（灌）装间不应存放实瓶，空瓶数量不应超过汇流排待充瓶位的数量。</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）第4.1.15条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1.应按GB2894的规定在供氢站、氢气罐、充（灌）装站和汇流排间周围设置安全标识。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2.氢气设施及管道未按照GB 7231、GB 2893和GB 2894的规定涂安全色，并设安全标志和标识。</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）第4.1.16 条、第4.4.18条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（二）氢气气瓶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氢气瓶体应根据GB 7144涂为淡绿色，20 MPa气瓶无淡黄色色环，应用红漆涂有“氢气”字样，由充装单位名称。应经常保持漆色和字样鲜明。</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）第6.3.3条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因生产需要在室内（现场）使用氢气瓶，其数量超过5瓶，室内（现场）的通风条件应符合《氢气使用安全技术规程》GB4692-2008第4.1.5条要求，或者其布置应符合如下要求：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（1）氢气瓶与盛有易燃易爆可燃物质及氧化性气体的容器和气瓶的间距不应小于8m；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（2）与明火或普通电气设备的间距不应小于10m；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（3）与空调装置、空气压缩机和通风设备（非防爆）等吸风口的间距不应小于20m；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（4）与其他可燃性气体储存地点的间距不应小于20m。</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w:t>
            </w:r>
            <w:r>
              <w:rPr>
                <w:rFonts w:ascii="Times New Roman" w:hAnsi="Times New Roman" w:cs="楷体_GB2312"/>
                <w:color w:val="000000" w:themeColor="text1"/>
                <w:sz w:val="24"/>
                <w14:textFill>
                  <w14:solidFill>
                    <w14:schemeClr w14:val="tx1"/>
                  </w14:solidFill>
                </w14:textFill>
              </w:rPr>
              <w:t>GB 4962-2008</w:t>
            </w:r>
            <w:r>
              <w:rPr>
                <w:rFonts w:hint="eastAsia" w:ascii="Times New Roman" w:hAnsi="Times New Roman" w:cs="楷体_GB2312"/>
                <w:color w:val="000000" w:themeColor="text1"/>
                <w:sz w:val="24"/>
                <w14:textFill>
                  <w14:solidFill>
                    <w14:schemeClr w14:val="tx1"/>
                  </w14:solidFill>
                </w14:textFill>
              </w:rPr>
              <w:t>）第6.3.5条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氢气瓶使用时应采用《氢气使用安全技术规程》GB4692-2008第4.1.15 d规定的方式固定，防止倾倒。气瓶、管路、阀门和接头未固定，有松动位移，管路和阀门应有防止碰撞的防护装置。</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4962-2008）第6.3.10条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将气瓶内的气体用尽，瓶内应至少保留0.05MPa以上的压力，以防空气进入气瓶。</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4962-2008）第6.3.12条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应根据《气瓶安全监察规程》的规定，对氢气瓶定期（每3年）进行检验，气瓶上有无检验钢印及检验色标。</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4962-2008）第6.3.15条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气瓶集装装置应防止管路和阀门受到碰撞的防护装置；气瓶、管路、阀门和接头应经常维修保养，有松动移位及泄漏。</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4962-2008）第6.3.16条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（三）氢气储罐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应安装放空阀、压力表、安全阀，压力表应每半年校验一次，安全阀应每年至少校验一次，确保可靠。立式或卧式变压定容积氢气罐安全阀应设置在容器便于操作位置，且应安装两台相同泄放量且可并联或切换的安全阀，确保安全阀检验时不影响罐内的氢气使用。</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4962-2008）第6.4.1条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氢气罐放空阀、安全阀和置换排放管道系统应设排放管，并应连接装有阻火器或有蒸汽稀释、氮气密封、末端应设置火炬燃烧的总排放管。惰性气体吹扫置换接口应参照6.2.4要求执行。</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4962-2008）第6.4.2条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氢气罐的地面应设置不低于相邻散发可燃气体、可燃蒸气的甲、乙类生产单元的地面，或应设高度不低于1 m的实体围墙予以隔离。罐区应设有防撞围墙或围栏，应设置明显的禁火标志。</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4962-2008）第6.4.3条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氢气罐应安装防雷装置。防雷装置应每年检测一次，应建立设备档案。</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4962-2008）6.4.6条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氢气罐检修或检验作业应参照GB 4962-2008 第4.3.2、第4.3.6条要求执行。进入罐内作业应佩戴氧含量报警仪，有人监护和其他有效的安全防护措施。</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4962-2008）6.4.7条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氢气罐应有静电接地设施。所有防静电设施应定期检查、维修，应建立设备档案。</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 4962-2008）第6.4.8条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（四）氢气气柜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氢气柜钟罩高度位置应标尺显示高低（储量），应每小时检查一次，应设置超高、过低位置报警装置。</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氢气柜水封应保证有足够的水位，应能防止氢气柜因缺水而逸出气体。应有防止水封结冰的措施</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氢气柜正常使用时应保持一定的氢气量，应防止储气过量或抽空。</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氢气柜应安装在避雷保护区域内，应安装安全阀、压力超高自动排放装置等安全设施，应设置自动切断装置以确保氢气柜泄漏时能自动切断气源。</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进出氢气柜的氢气管道上应设置安全水封。</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氢气柜应设置自动水雾喷淋系统。</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22"/>
              <w:numPr>
                <w:ilvl w:val="0"/>
                <w:numId w:val="17"/>
              </w:numPr>
              <w:ind w:firstLineChars="0"/>
              <w:jc w:val="center"/>
              <w:rPr>
                <w:rFonts w:ascii="Times New Roman" w:hAnsi="Times New Roman" w:cs="楷体_GB2312"/>
                <w:color w:val="000000" w:themeColor="text1"/>
                <w:sz w:val="24"/>
                <w14:textFill>
                  <w14:solidFill>
                    <w14:schemeClr w14:val="tx1"/>
                  </w14:solidFill>
                </w14:textFill>
              </w:rPr>
            </w:pPr>
          </w:p>
        </w:tc>
        <w:tc>
          <w:tcPr>
            <w:tcW w:w="4499"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进入氢气柜检修应排净水封内的水，排水前应打开钟罩顶部的排空阀，其他检修作业应参照氢气罐GB 4962-2008第6.4.6条的要求。氢气柜静电接地设施应参照氢气罐GB4692-2008 第6.4.7条的要求</w:t>
            </w:r>
          </w:p>
        </w:tc>
        <w:tc>
          <w:tcPr>
            <w:tcW w:w="3013"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《氢气使用安全技术规程》（GB4692-2008）第6.5.11条</w:t>
            </w:r>
          </w:p>
        </w:tc>
      </w:tr>
    </w:tbl>
    <w:p>
      <w:pPr>
        <w:numPr>
          <w:ilvl w:val="0"/>
          <w:numId w:val="10"/>
        </w:numPr>
        <w:ind w:firstLine="643"/>
        <w:outlineLvl w:val="2"/>
        <w:rPr>
          <w:rFonts w:ascii="Times New Roman" w:hAnsi="Times New Roman" w:cs="仿宋_GB2312"/>
          <w:b/>
          <w:bCs/>
        </w:rPr>
      </w:pPr>
      <w:bookmarkStart w:id="82" w:name="_Toc225353461"/>
      <w:bookmarkStart w:id="83" w:name="_Toc224910877"/>
      <w:r>
        <w:rPr>
          <w:rFonts w:hint="eastAsia" w:ascii="Times New Roman" w:hAnsi="Times New Roman" w:cs="仿宋_GB2312"/>
          <w:b/>
          <w:bCs/>
        </w:rPr>
        <w:t>液氯</w:t>
      </w:r>
      <w:bookmarkEnd w:id="82"/>
      <w:bookmarkEnd w:id="83"/>
    </w:p>
    <w:p>
      <w:pPr>
        <w:ind w:firstLine="640"/>
        <w:rPr>
          <w:rFonts w:ascii="Times New Roman" w:hAnsi="Times New Roman"/>
        </w:rPr>
      </w:pPr>
      <w:r>
        <w:rPr>
          <w:rFonts w:hint="eastAsia" w:ascii="Times New Roman" w:hAnsi="Times New Roman"/>
        </w:rPr>
        <w:t>电子制造等企业使用氯气和液氯储罐主要用于高纯度清洗、蚀刻和化学气相沉积（CVD）等关键工艺环节。</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655"/>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55"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2860"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使用液氯的设备（容器、反应器、塔器等）涉及制造，符合压力容器的有关规定，液氯、氯气管道的使用、检验和维修改造，应符合压力管道的有关规定。</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《液氯使用安全技术要求》（AQ 3014-2008）第3.3条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用氯设备应使用与氯气不发生化学反应的润滑剂。设备、阀门和管道连接、安装前，要经清洗、干燥处理，定期清除滞留在反应设备和管道内的反应生成物，消除堵塞。阀门要逐只做耐压试验。使用前，应按规定进行气密试验并合格。</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1.《液氯使用安全技术要求》（AQ 3014-2008）第6.1.2条和第6.1.3条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液氯使用单位应遵照下列要求规定设置明显的安全标志，并符合GB 2894的规定。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drawing>
                <wp:inline distT="0" distB="0" distL="0" distR="0">
                  <wp:extent cx="1552575" cy="1998980"/>
                  <wp:effectExtent l="0" t="0" r="0" b="1270"/>
                  <wp:docPr id="3844407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444073" name="图片 3"/>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1558313" cy="2006765"/>
                          </a:xfrm>
                          <a:prstGeom prst="rect">
                            <a:avLst/>
                          </a:prstGeom>
                          <a:noFill/>
                          <a:ln>
                            <a:noFill/>
                          </a:ln>
                        </pic:spPr>
                      </pic:pic>
                    </a:graphicData>
                  </a:graphic>
                </wp:inline>
              </w:drawing>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drawing>
                <wp:inline distT="0" distB="0" distL="0" distR="0">
                  <wp:extent cx="1752600" cy="1409065"/>
                  <wp:effectExtent l="0" t="0" r="0" b="635"/>
                  <wp:docPr id="8443413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434135" name="图片 4"/>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1767240" cy="1420948"/>
                          </a:xfrm>
                          <a:prstGeom prst="rect">
                            <a:avLst/>
                          </a:prstGeom>
                          <a:noFill/>
                          <a:ln>
                            <a:noFill/>
                          </a:ln>
                        </pic:spPr>
                      </pic:pic>
                    </a:graphicData>
                  </a:graphic>
                </wp:inline>
              </w:drawing>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《液氯使用安全技术要求》（AQ 3014-2008）第3.5条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液氯使用场所应保持干燥、通风，应设置泄漏检测报警装置。液氯使用单位的库房不应存放易燃物质和与氯气易发生化学反应的物品。</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《液氯使用安全技术要求》（AQ 3014-2008）第4.1条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不应使用烃类和酒精清洗氯气系统设备、阀门、管道以及加氯机等。</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《液氯使用安全技术要求》（AQ 3014-2008）第6.1.5条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液氯储存、充装和气化岗位的作业人员应取得特殊作业人员资格证书。</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《特种作业人员安全技术培训考核管理规定》（国家安全监管总局令第30号）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使用氯气场所的卫生和环境条件应符合GBZ 1和GBZ2.1中的有关规定，作业场所空气中氯气含量最高允许浓度为1mg/m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《液氯使用安全技术要求》（AQ 3014-2008）第4.2条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半敞开式厂房应设置氯气捕集设施，与事故氯吸收装置相连接，配备移动式非金属软管，移动式非金属软管长度应能延伸到所有可能发生泄漏的部位。敞开式、半敞开式厂房应实现自然通风，不能自然通风的厂房应配备机械通风设施。</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11984-2024）第4.3.11条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工作场所应设置事故通风装置及与通风系统相联锁的泄漏报警装置；通风装置的控制分别设置在室内室外便于操作地点；排风口设置尽可能避免影响作业人员。</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《氯职业危害防护导则》（GBZ/T 275-2016）第6.1.5条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禁止液氯＞1000kg的容器直接液氯气化，禁止液氯贮槽（罐）、罐车或半挂车槽罐直接作为液氯气化器使用。</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（《关于氯气安全设施和应急技术的指导意见》（中国氯碱工业协会〔2010〕协字第070号）第三条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氯气作为生产原料时，宜使用盘管式或套管式气化器的液氯全气化工艺，液氯气化温度不得低于71℃，建议热水控制温度75～85℃；采用特种气化器（蒸汽加热），温度不得大于121℃，气化压力与进料调节阀联锁控制，气化温度与蒸汽调节阀联锁控制。</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（《关于氯气安全设施和应急技术的指导意见》（中国氯碱工业协会〔2010〕协字第070号）第三条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（二）液氯储罐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液氯储罐厂房应符合以下要求：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a）设置门槛，与厂房形成围堰，或在储罐周围设置围堰，围堰内有效容积不应小于单台最大液氯储罐的容积，且门槛或围堰高度不低于300mm；</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b）围堰内地面设置不低于3‰坡度，低洼处设置集液池，在其上部设置固定式吸风罩；</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c）储罐周围设置地沟，且不与外界相连。</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液氯储罐区应设置SIS，实现紧急切断功能，切换时实现远程自动化操作，并应符合以下要求：1）每台储罐液氯进出口管道设置手动阀和两道远程切断阀，两道远程切断阀中一道接入BPCS，另一道接入SIS：</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2）构成一级、二级重大危险源的应配备独立于BPCS的SIS：</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3）设置压力、温度、液位的就地及远传仪表；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4）液位监测配备两种及以上不同原理的仪表；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5）就地液位计不应选用钛材质，远传液位计采用不与液氯接触的防泄漏型；</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6）设置高、低液位报警和高高、低低液位联锁；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7）设置1台最大容积的液氯储罐为空罐，作为事故状态下应急备用接收罐。</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液氯储罐事故氯吸收装置应符合以下要求。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a）独立设置并采用二级吸收工艺。</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b）碱吸收、热交换等能力与液氯泄漏量相匹配。液氯泄漏量综合考虑堵漏和倒罐作业时长、泄漏管径和速率等因素。</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c）具备24h连续运行能力，碱液循环吸收罐具备切换、备用和配液的条件；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d）循环吸收液氢氧化钠浓度为15%~20%，且出塔时温度不大于45°C。设置循环吸收液氢氧化钠浓度和温度在线监测设施，定期进行分析检测，氢氧化钠浓度低于5%前及时置换或更新。</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e）风机具备手动和自动启动功能。在厂房内外易于操作处分别设置手动开关，并能实现远程启动；自动启动与封闭式（半敞开式）厂房内氯气探测器联锁。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f）尾气排放口设置氯气探测器。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g）循环泵、事故氯风机设置备用设备，用电负荷为一级负荷中特别重要的负荷。</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h）液氯充装、罐式专用车辆和钢瓶泄漏处置的氯气可并入事故氯吸收装置，单独设置符合上述要求。</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液氯储罐进出口管道应设置柔性连接或者弹簧支吊架。</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液氯储罐的储存系数不应大于0.8。</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液氯储罐气、液相工艺接管，应设置两道阀门，并定期检查。</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液氯罐式集装箱、罐式专用车辆不应作为固定储罐使用。</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液氯储罐厂房、瓶库20m范围内，不应堆放易燃和可燃物品。</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（三）液氯钢瓶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液氯钢瓶的搬运、储存应按 GB/T34525的规定执行</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液氯钢瓶不应露天存放，应储存在专用仓库内。</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空瓶和重瓶应分区存放，有明显分区标志，各分区留有便于检查或泄漏应急处置的通道，并设置巡回检查路线标志</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液氯钢瓶不应与其他介质气瓶混放。液氯钢瓶场所不应存放其他危险化学品和杂物，应配备移动式负压罩、负压处置房等两种及以上应急处置设施。</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充装量为50kg和100kg的液氯钢瓶应直立放置，并有防倾倒措施；充装量为500kg和1 000kg的钢瓶，应横向卧放，瓶阀朝向应一致；钢瓶堆垛不大于2层，并有防滚滑安全措施。</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吊运液氯钢瓶时采用的起重机械应符合以下要求：a）起重量大于重瓶重量的1倍以上；b）起重行车设置行程及高度限位保护，桥式、门式起重机安装两种不同形式的高度限位装置；c）起重机械的防脱钩设施完好并采用双制动装置；d）不应使用电磁起重机、金属链绳吊运。</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不应使用叉车装卸钢瓶。</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液氯钢瓶应保证安全附件完好，异常的钢瓶应进行标记并与供应厂家联系处置。</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11984-2024）第6.2.8条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（四）应急处置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企业编制的生产安全事故应急预案应符合GB/T 29639的规定，并定期组织演练。</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企业应建立、健全应急组织和专（兼）职应急救援队伍，按GB 30077的规定配备相应的防护装备及</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企业应至少配备</w:t>
            </w:r>
            <w:r>
              <w:rPr>
                <w:rFonts w:ascii="Times New Roman" w:hAnsi="Times New Roman" w:cs="楷体_GB2312"/>
                <w:color w:val="000000" w:themeColor="text1"/>
                <w:sz w:val="24"/>
                <w14:textFill>
                  <w14:solidFill>
                    <w14:schemeClr w14:val="tx1"/>
                  </w14:solidFill>
                </w14:textFill>
              </w:rPr>
              <w:t>4</w:t>
            </w:r>
            <w:r>
              <w:rPr>
                <w:rFonts w:hint="eastAsia" w:ascii="Times New Roman" w:hAnsi="Times New Roman" w:cs="楷体_GB2312"/>
                <w:color w:val="000000" w:themeColor="text1"/>
                <w:sz w:val="24"/>
                <w14:textFill>
                  <w14:solidFill>
                    <w14:schemeClr w14:val="tx1"/>
                  </w14:solidFill>
                </w14:textFill>
              </w:rPr>
              <w:t>套气密型化学防护服、</w:t>
            </w:r>
            <w:r>
              <w:rPr>
                <w:rFonts w:ascii="Times New Roman" w:hAnsi="Times New Roman" w:cs="楷体_GB2312"/>
                <w:color w:val="000000" w:themeColor="text1"/>
                <w:sz w:val="24"/>
                <w14:textFill>
                  <w14:solidFill>
                    <w14:schemeClr w14:val="tx1"/>
                  </w14:solidFill>
                </w14:textFill>
              </w:rPr>
              <w:t>4</w:t>
            </w:r>
            <w:r>
              <w:rPr>
                <w:rFonts w:hint="eastAsia" w:ascii="Times New Roman" w:hAnsi="Times New Roman" w:cs="楷体_GB2312"/>
                <w:color w:val="000000" w:themeColor="text1"/>
                <w:sz w:val="24"/>
                <w14:textFill>
                  <w14:solidFill>
                    <w14:schemeClr w14:val="tx1"/>
                  </w14:solidFill>
                </w14:textFill>
              </w:rPr>
              <w:t>套正压空气呼吸器</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每套正压空气呼吸器至少配</w:t>
            </w:r>
            <w:r>
              <w:rPr>
                <w:rFonts w:ascii="Times New Roman" w:hAnsi="Times New Roman" w:cs="楷体_GB2312"/>
                <w:color w:val="000000" w:themeColor="text1"/>
                <w:sz w:val="24"/>
                <w14:textFill>
                  <w14:solidFill>
                    <w14:schemeClr w14:val="tx1"/>
                  </w14:solidFill>
                </w14:textFill>
              </w:rPr>
              <w:t>1</w:t>
            </w:r>
            <w:r>
              <w:rPr>
                <w:rFonts w:hint="eastAsia" w:ascii="Times New Roman" w:hAnsi="Times New Roman" w:cs="楷体_GB2312"/>
                <w:color w:val="000000" w:themeColor="text1"/>
                <w:sz w:val="24"/>
                <w14:textFill>
                  <w14:solidFill>
                    <w14:schemeClr w14:val="tx1"/>
                  </w14:solidFill>
                </w14:textFill>
              </w:rPr>
              <w:t>个备用气瓶。</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企业气体防护站</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组</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的设置应按照</w:t>
            </w:r>
            <w:r>
              <w:rPr>
                <w:rFonts w:ascii="Times New Roman" w:hAnsi="Times New Roman" w:cs="楷体_GB2312"/>
                <w:color w:val="000000" w:themeColor="text1"/>
                <w:sz w:val="24"/>
                <w14:textFill>
                  <w14:solidFill>
                    <w14:schemeClr w14:val="tx1"/>
                  </w14:solidFill>
                </w14:textFill>
              </w:rPr>
              <w:t>HG20571</w:t>
            </w:r>
            <w:r>
              <w:rPr>
                <w:rFonts w:hint="eastAsia" w:ascii="Times New Roman" w:hAnsi="Times New Roman" w:cs="楷体_GB2312"/>
                <w:color w:val="000000" w:themeColor="text1"/>
                <w:sz w:val="24"/>
                <w14:textFill>
                  <w14:solidFill>
                    <w14:schemeClr w14:val="tx1"/>
                  </w14:solidFill>
                </w14:textFill>
              </w:rPr>
              <w:t>的规定执行。</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氯气泄漏事故现场应急处置时</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按照</w:t>
            </w:r>
            <w:r>
              <w:rPr>
                <w:rFonts w:ascii="Times New Roman" w:hAnsi="Times New Roman" w:cs="楷体_GB2312"/>
                <w:color w:val="000000" w:themeColor="text1"/>
                <w:sz w:val="24"/>
                <w14:textFill>
                  <w14:solidFill>
                    <w14:schemeClr w14:val="tx1"/>
                  </w14:solidFill>
                </w14:textFill>
              </w:rPr>
              <w:t>HG/T</w:t>
            </w:r>
            <w:r>
              <w:rPr>
                <w:rFonts w:hint="eastAsia" w:ascii="Times New Roman" w:hAnsi="Times New Roman" w:cs="楷体_GB2312"/>
                <w:color w:val="000000" w:themeColor="text1"/>
                <w:sz w:val="24"/>
                <w14:textFill>
                  <w14:solidFill>
                    <w14:schemeClr w14:val="tx1"/>
                  </w14:solidFill>
                </w14:textFill>
              </w:rPr>
              <w:t xml:space="preserve"> </w:t>
            </w:r>
            <w:r>
              <w:rPr>
                <w:rFonts w:ascii="Times New Roman" w:hAnsi="Times New Roman" w:cs="楷体_GB2312"/>
                <w:color w:val="000000" w:themeColor="text1"/>
                <w:sz w:val="24"/>
                <w14:textFill>
                  <w14:solidFill>
                    <w14:schemeClr w14:val="tx1"/>
                  </w14:solidFill>
                </w14:textFill>
              </w:rPr>
              <w:t>4684</w:t>
            </w:r>
            <w:r>
              <w:rPr>
                <w:rFonts w:hint="eastAsia" w:ascii="Times New Roman" w:hAnsi="Times New Roman" w:cs="楷体_GB2312"/>
                <w:color w:val="000000" w:themeColor="text1"/>
                <w:sz w:val="24"/>
                <w14:textFill>
                  <w14:solidFill>
                    <w14:schemeClr w14:val="tx1"/>
                  </w14:solidFill>
                </w14:textFill>
              </w:rPr>
              <w:t>的要求进行断源和堵漏</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ascii="Times New Roman" w:hAnsi="Times New Roman" w:cs="楷体_GB2312"/>
                <w:color w:val="000000" w:themeColor="text1"/>
                <w:sz w:val="24"/>
                <w14:textFill>
                  <w14:solidFill>
                    <w14:schemeClr w14:val="tx1"/>
                  </w14:solidFill>
                </w14:textFill>
              </w:rPr>
              <w:t>a）</w:t>
            </w:r>
            <w:r>
              <w:rPr>
                <w:rFonts w:hint="eastAsia" w:ascii="Times New Roman" w:hAnsi="Times New Roman" w:cs="楷体_GB2312"/>
                <w:color w:val="000000" w:themeColor="text1"/>
                <w:sz w:val="24"/>
                <w14:textFill>
                  <w14:solidFill>
                    <w14:schemeClr w14:val="tx1"/>
                  </w14:solidFill>
                </w14:textFill>
              </w:rPr>
              <w:t>倒罐时始终保持液相至液相的操作，接收罐气相管</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阀</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排氯气至事故氯吸收装置，形成倒罐压差；倒罐泵的用电负荷为一级负荷中特别重要的负荷</w:t>
            </w:r>
            <w:r>
              <w:rPr>
                <w:rFonts w:ascii="Times New Roman" w:hAnsi="Times New Roman" w:cs="楷体_GB2312"/>
                <w:color w:val="000000" w:themeColor="text1"/>
                <w:sz w:val="24"/>
                <w14:textFill>
                  <w14:solidFill>
                    <w14:schemeClr w14:val="tx1"/>
                  </w14:solidFill>
                </w14:textFill>
              </w:rPr>
              <w:t>；</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ascii="Times New Roman" w:hAnsi="Times New Roman" w:cs="楷体_GB2312"/>
                <w:color w:val="000000" w:themeColor="text1"/>
                <w:sz w:val="24"/>
                <w14:textFill>
                  <w14:solidFill>
                    <w14:schemeClr w14:val="tx1"/>
                  </w14:solidFill>
                </w14:textFill>
              </w:rPr>
              <w:t>b）</w:t>
            </w:r>
            <w:r>
              <w:rPr>
                <w:rFonts w:hint="eastAsia" w:ascii="Times New Roman" w:hAnsi="Times New Roman" w:cs="楷体_GB2312"/>
                <w:color w:val="000000" w:themeColor="text1"/>
                <w:sz w:val="24"/>
                <w14:textFill>
                  <w14:solidFill>
                    <w14:schemeClr w14:val="tx1"/>
                  </w14:solidFill>
                </w14:textFill>
              </w:rPr>
              <w:t>倒罐同时捕集和吸收厂房内泄漏氯气</w:t>
            </w:r>
            <w:r>
              <w:rPr>
                <w:rFonts w:ascii="Times New Roman" w:hAnsi="Times New Roman" w:cs="楷体_GB2312"/>
                <w:color w:val="000000" w:themeColor="text1"/>
                <w:sz w:val="24"/>
                <w14:textFill>
                  <w14:solidFill>
                    <w14:schemeClr w14:val="tx1"/>
                  </w14:solidFill>
                </w14:textFill>
              </w:rPr>
              <w:t>；</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ascii="Times New Roman" w:hAnsi="Times New Roman" w:cs="楷体_GB2312"/>
                <w:color w:val="000000" w:themeColor="text1"/>
                <w:sz w:val="24"/>
                <w14:textFill>
                  <w14:solidFill>
                    <w14:schemeClr w14:val="tx1"/>
                  </w14:solidFill>
                </w14:textFill>
              </w:rPr>
              <w:t>c）</w:t>
            </w:r>
            <w:r>
              <w:rPr>
                <w:rFonts w:hint="eastAsia" w:ascii="Times New Roman" w:hAnsi="Times New Roman" w:cs="楷体_GB2312"/>
                <w:color w:val="000000" w:themeColor="text1"/>
                <w:sz w:val="24"/>
                <w14:textFill>
                  <w14:solidFill>
                    <w14:schemeClr w14:val="tx1"/>
                  </w14:solidFill>
                </w14:textFill>
              </w:rPr>
              <w:t>在操作人员不进入氯气厂房的情况下远程完成倒罐操作</w:t>
            </w:r>
            <w:r>
              <w:rPr>
                <w:rFonts w:ascii="Times New Roman" w:hAnsi="Times New Roman" w:cs="楷体_GB2312"/>
                <w:color w:val="000000" w:themeColor="text1"/>
                <w:sz w:val="24"/>
                <w14:textFill>
                  <w14:solidFill>
                    <w14:schemeClr w14:val="tx1"/>
                  </w14:solidFill>
                </w14:textFill>
              </w:rPr>
              <w:t>；</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ascii="Times New Roman" w:hAnsi="Times New Roman" w:cs="楷体_GB2312"/>
                <w:color w:val="000000" w:themeColor="text1"/>
                <w:sz w:val="24"/>
                <w14:textFill>
                  <w14:solidFill>
                    <w14:schemeClr w14:val="tx1"/>
                  </w14:solidFill>
                </w14:textFill>
              </w:rPr>
              <w:t>d）</w:t>
            </w:r>
            <w:r>
              <w:rPr>
                <w:rFonts w:hint="eastAsia" w:ascii="Times New Roman" w:hAnsi="Times New Roman" w:cs="楷体_GB2312"/>
                <w:color w:val="000000" w:themeColor="text1"/>
                <w:sz w:val="24"/>
                <w14:textFill>
                  <w14:solidFill>
                    <w14:schemeClr w14:val="tx1"/>
                  </w14:solidFill>
                </w14:textFill>
              </w:rPr>
              <w:t>倒罐结束后立即关闭接收罐排气阀</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事故罐与氯气系统立即隔离并进行处置。</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紧急情况时</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准许通过移动式压力容器装卸方式进行应急处置。</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组织应急疏散时</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集结点应设置在氯气泄漏源扩散区域以外的上风侧</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并根据风向变化及时调整集结点位置。</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进入氯气泄漏事故现场的处置人员应佩戴正压空气呼吸器、气密型化学防护服和呼救、通讯器材。</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若人员吸入氯气</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应迅速将其移至空气新鲜处</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保持呼吸道通畅。呼吸困难时应吸氧</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雾化吸入</w:t>
            </w:r>
            <w:r>
              <w:rPr>
                <w:rFonts w:ascii="Times New Roman" w:hAnsi="Times New Roman" w:cs="楷体_GB2312"/>
                <w:color w:val="000000" w:themeColor="text1"/>
                <w:sz w:val="24"/>
                <w14:textFill>
                  <w14:solidFill>
                    <w14:schemeClr w14:val="tx1"/>
                  </w14:solidFill>
                </w14:textFill>
              </w:rPr>
              <w:t>2%~4%</w:t>
            </w:r>
            <w:r>
              <w:rPr>
                <w:rFonts w:hint="eastAsia" w:ascii="Times New Roman" w:hAnsi="Times New Roman" w:cs="楷体_GB2312"/>
                <w:color w:val="000000" w:themeColor="text1"/>
                <w:sz w:val="24"/>
                <w14:textFill>
                  <w14:solidFill>
                    <w14:schemeClr w14:val="tx1"/>
                  </w14:solidFill>
                </w14:textFill>
              </w:rPr>
              <w:t>碳酸氢钠溶液</w:t>
            </w:r>
            <w:r>
              <w:rPr>
                <w:rFonts w:ascii="Times New Roman" w:hAnsi="Times New Roman" w:cs="楷体_GB2312"/>
                <w:color w:val="000000" w:themeColor="text1"/>
                <w:sz w:val="24"/>
                <w14:textFill>
                  <w14:solidFill>
                    <w14:schemeClr w14:val="tx1"/>
                  </w14:solidFill>
                </w14:textFill>
              </w:rPr>
              <w:t>，</w:t>
            </w:r>
            <w:r>
              <w:rPr>
                <w:rFonts w:hint="eastAsia" w:ascii="Times New Roman" w:hAnsi="Times New Roman" w:cs="楷体_GB2312"/>
                <w:color w:val="000000" w:themeColor="text1"/>
                <w:sz w:val="24"/>
                <w14:textFill>
                  <w14:solidFill>
                    <w14:schemeClr w14:val="tx1"/>
                  </w14:solidFill>
                </w14:textFill>
              </w:rPr>
              <w:t>立即就医。</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《化工企业氯气安全技术规范》（GB 11984-2024）第7.9条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spacing w:line="240" w:lineRule="auto"/>
              <w:ind w:firstLine="0" w:firstLineChars="0"/>
              <w:jc w:val="left"/>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（五）液氯管道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氯气管道禁止穿越除厂区（包括化工园区、工业园区外）的公共区域。</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《化工和危险化学品生产经营单位重大生）产安全事故隐患判定标准》（安监总管三〔2017〕121号）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pStyle w:val="22"/>
              <w:numPr>
                <w:ilvl w:val="0"/>
                <w:numId w:val="18"/>
              </w:numPr>
              <w:ind w:firstLineChars="0"/>
              <w:jc w:val="center"/>
              <w:rPr>
                <w:rFonts w:ascii="Times New Roman" w:hAnsi="Times New Roman" w:cs="楷体_GB2312"/>
                <w:color w:val="000000" w:themeColor="text1"/>
                <w:sz w:val="24"/>
                <w14:textFill>
                  <w14:solidFill>
                    <w14:schemeClr w14:val="tx1"/>
                  </w14:solidFill>
                </w14:textFill>
              </w:rPr>
            </w:pPr>
          </w:p>
        </w:tc>
        <w:tc>
          <w:tcPr>
            <w:tcW w:w="465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液氯管道不得采用软管连接。</w:t>
            </w:r>
          </w:p>
        </w:tc>
        <w:tc>
          <w:tcPr>
            <w:tcW w:w="2860"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《石油化工企业设计防火标准（2018版）》（GB 50160-2008）第7.2.18条</w:t>
            </w:r>
          </w:p>
        </w:tc>
      </w:tr>
    </w:tbl>
    <w:p>
      <w:pPr>
        <w:numPr>
          <w:ilvl w:val="0"/>
          <w:numId w:val="9"/>
        </w:numPr>
        <w:ind w:firstLine="643"/>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84" w:name="_Toc224910878"/>
      <w:bookmarkStart w:id="85" w:name="_Toc225353462"/>
      <w:r>
        <w:rPr>
          <w:rFonts w:hint="eastAsia" w:ascii="Times New Roman" w:hAnsi="Times New Roman" w:eastAsia="楷体_GB2312" w:cs="楷体_GB2312"/>
          <w:b/>
          <w:bCs/>
          <w:color w:val="000000" w:themeColor="text1"/>
          <w:szCs w:val="32"/>
          <w14:textFill>
            <w14:solidFill>
              <w14:schemeClr w14:val="tx1"/>
            </w14:solidFill>
          </w14:textFill>
        </w:rPr>
        <w:t>实验室化学品管理要求</w:t>
      </w:r>
      <w:bookmarkEnd w:id="84"/>
      <w:bookmarkEnd w:id="85"/>
    </w:p>
    <w:p>
      <w:pPr>
        <w:numPr>
          <w:ilvl w:val="0"/>
          <w:numId w:val="19"/>
        </w:numPr>
        <w:ind w:firstLine="643"/>
        <w:outlineLvl w:val="2"/>
        <w:rPr>
          <w:rFonts w:ascii="Times New Roman" w:hAnsi="Times New Roman" w:cs="仿宋_GB2312"/>
          <w:b/>
          <w:bCs/>
        </w:rPr>
      </w:pPr>
      <w:bookmarkStart w:id="86" w:name="_Toc225353463"/>
      <w:bookmarkStart w:id="87" w:name="_Toc224910879"/>
      <w:r>
        <w:rPr>
          <w:rFonts w:hint="eastAsia" w:ascii="Times New Roman" w:hAnsi="Times New Roman" w:cs="仿宋_GB2312"/>
          <w:b/>
          <w:bCs/>
        </w:rPr>
        <w:t>医药制造企业实验室化学品管理要求</w:t>
      </w:r>
      <w:bookmarkEnd w:id="86"/>
      <w:bookmarkEnd w:id="8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7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2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实验工作区和办公休息区应隔开设置。</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实验室的门应向疏散方向开启且采用平开门，不应采用推拉门、卷帘门。</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在可能散发可燃、毒性气体或蒸气的实验室应设防爆型通风设施，并设置事故通风紧急开关。</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使用气体应配置气瓶柜或气瓶防倒链、防倒栏栅等设备。备用气瓶、空瓶不应存放在实验室内。</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实验区内禁止设置氢气、乙炔、环氧乙烷气瓶，必须设置时，应设置在专用防爆柜中，并设置可燃气体浓度检测报警器，其排风管应使用不燃材料。</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自行配制的实验样品，主要成分是危险化学品的，要按照危险化学品进行管理，不应随意放置于实验台。</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自行配制或分装后的包装物应重新粘贴标签，注明化学品成分、浓度等主要信息。</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化学品安全标签脱落后应确认后及时补上，如不能确认，应以废弃化学品处置。</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实验室应有明显的安全警示标志，包括：化学品危险性质的警示标志，禁止、警告、指令、提示等安全标志。</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使用或产生可燃气体、可燃蒸气的实验室，应设置相应的可燃气体浓度检测报警器，并与风机联锁。</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使用或产生有毒有害气体的实验室，应安装相应的有毒有害气体浓度检测报警器，并与风机联锁。</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使用或产生惰性气体的实验室，应设置氧含量浓度检测报警器，并与风机联锁。</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使用强酸、强碱、有化学品烧伤危险或有液体毒害危险的实验室应安装淋洗器，在实验台附近应安装洗眼器，其有效半径不大于15米。</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实验台上易燃液体存放量不应超过一天操作所需数量，剩余化学品应放回适当的储存场所。</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可放置专柜储存危险化学品，但不应替代专用储存室。实验室每个专柜危险化学品的存储量不应超过50L或50kg。每间实验室内存放的除压缩气体和液化气体外的危险化学品总量不应超过100L或100kg，其中易燃易爆性化学品的存放总量不应超过50L或50kg，且单一包装容器不应大于25L或25kg。</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在实验室内方便取用的地点设置急救箱或急救包，并配备应急消防器材。</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实验室应妥善保管化学品安全技术说明书（SDS），方便相关人员查询使用。</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0"/>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在实验室的显著位置张贴或悬挂危险化学品岗位安全操作规程和现场处置方案。</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《化工、医药制造企业危险化学品安全专项整治工作方案》</w:t>
            </w:r>
          </w:p>
        </w:tc>
      </w:tr>
    </w:tbl>
    <w:p>
      <w:pPr>
        <w:numPr>
          <w:ilvl w:val="0"/>
          <w:numId w:val="19"/>
        </w:numPr>
        <w:ind w:firstLine="643"/>
        <w:outlineLvl w:val="2"/>
        <w:rPr>
          <w:rFonts w:ascii="Times New Roman" w:hAnsi="Times New Roman" w:cs="仿宋_GB2312"/>
          <w:b/>
          <w:bCs/>
        </w:rPr>
      </w:pPr>
      <w:bookmarkStart w:id="88" w:name="_Toc225353464"/>
      <w:bookmarkStart w:id="89" w:name="_Toc224910880"/>
      <w:r>
        <w:rPr>
          <w:rFonts w:hint="eastAsia" w:ascii="Times New Roman" w:hAnsi="Times New Roman" w:cs="仿宋_GB2312"/>
          <w:b/>
          <w:bCs/>
        </w:rPr>
        <w:t>科研实验室化学品管理要求</w:t>
      </w:r>
      <w:bookmarkEnd w:id="88"/>
      <w:bookmarkEnd w:id="8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7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2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具有爆炸危险的危险化学品仓库内照明、事故照明设施、电气设备和输配电线路应采用防爆型。</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《安全生产等级评定技术规范第2 部分：安全生产通用要求》（DB11/T 1322.2-2017）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危险化学品仓库应设置通风机；当危险化学品仓库中产生可燃气体或有毒气体且气体浓度可能达到报警设定值时，应按照GB/T 50493的要求设置可燃气体或有毒气体报警系统，并将报警信号传送至有人值守的消防控制室。</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《安全生产等级评定技术规范第2 部分：安全生产通用要求》（DB11/T 1322.2-2017）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危险化学品不应露天存放，根据危险化学品特性应分区、分类、分库储存，禁忌化学品不得混合储存。</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《安全生产等级评定技术规范第2 部分：安全生产通用要求》（DB11/T 1322.2-2017）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气体汇流排间的设置应参照GB 50751的规定。汇流排间不应与空气压缩机、真空汇或分子筛制氧机设置在同一房间内。输送氧气含量超过23.5%的气体汇流排间，当供气量不超过60m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/h时，可设置在耐火等级不低于三级的建筑内，但应靠外墙布置，并应采用耐火极限不低于2.0h的墙和甲级防火门与建筑物的其他部分隔开。</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汇流排间内气体贮量不宜超过24h用气量；汇流排间应防止阳光直射，地坪应平整、耐磨、防滑、受撞击不产生火花，并应有防止瓶倒的设施。</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《医用气体工程技术规范》（GB 50751-2012）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科研单位可根据实际情况设置危险化学品储存场所，危险化学品储存场所包括危险化学品专用仓库、气瓶间、专用储存室等。</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科研单位（机构）实验室危险化学品的存放应符合GB 15603和DB11/T 1191的规定。</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《危险化学品仓库储存通则》（GB15603-2022）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科研单位（机构）专用储存室的设置应符合DB11/T 1322.2的规定。</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《安全生产等级评定技术规范第2 部分：安全生产通用要求》（DB11/T 1322.2-2017）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科研单位（机构）涉及危险化学品的实验室设置应符合以下要求：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（1）有比空气轻的可燃气体产生的实验室不应设吊顶；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（2）实验室工作区和办公休息区应隔开设置；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（3）实验室的门应向疏散方向开启且采用平开门，不应采用推拉门、卷帘门；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（4）建筑设施及其他有关安全、防护、疏散的要求应符合GB 50016的规定。</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实验室危险化学品储存量要求：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（1）每间实验室内存放的除压缩气体和液化气体外的危险化学品总量不应超过100kg（L），其中易燃易爆性化学品的存放总量不应超过50kg（L），且单一包装容器不应大于25kg（L）；</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（2）每间实验室内存放的氧气和可燃气体不应超过1瓶或2天的用量；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（3）实验区内氢气、乙炔、环氧乙烷气瓶应设置在专用防爆柜中，并设置可燃气体检测报警器，其排风管应使用不燃材料；</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（4）实验室内与仪器设备配套使用的气体钢瓶，应控制在最小需求量；</w:t>
            </w:r>
          </w:p>
          <w:p>
            <w:pPr>
              <w:spacing w:line="240" w:lineRule="auto"/>
              <w:ind w:firstLine="0" w:firstLineChars="0"/>
              <w:rPr>
                <w:rFonts w:ascii="Times New Roman" w:hAnsi="Times New Roman" w:cs="FZSSK--GBK1-0"/>
                <w:kern w:val="0"/>
                <w:sz w:val="21"/>
                <w:szCs w:val="21"/>
              </w:rPr>
            </w:pPr>
            <w:r>
              <w:rPr>
                <w:rFonts w:hint="eastAsia" w:ascii="Times New Roman" w:hAnsi="Times New Roman" w:cs="楷体_GB2312"/>
                <w:color w:val="000000" w:themeColor="text1"/>
                <w:sz w:val="24"/>
                <w14:textFill>
                  <w14:solidFill>
                    <w14:schemeClr w14:val="tx1"/>
                  </w14:solidFill>
                </w14:textFill>
              </w:rPr>
              <w:t>（5）实验室内使用气瓶应配置气瓶柜或气瓶防倒链、防倒栏栅等设备。备用气瓶、空瓶不应存放在实验室内。</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使用惰性气体的实验室，应设通风机，应安装环境氧气探测器；可能散发可燃气体、可燃蒸气的实验室，应配备防爆型电气设备，按照GB/T 50493的要求设置可燃气体检测报警系统。且安装高度宜距地坪或楼地板1.5m～2.0m。探测器应具备声光报警功能。报警信号应同时送至24小时有人值班的房间。</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《石油化工可燃气体和有毒气体检测报警设计规范》（GB/T 50493-2019）；《北京市科研单位危险化学品安全管理工作指引（试行）》第八十二条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可燃有毒气体探测器应定期检定或校准，周期一般不超过1年。</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《北京市科研单位危险化学品安全管理工作指引（试行）》第八十三条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可能散发易燃、毒性气体或蒸气的场所应设置防爆型通风设施，机械通风正常通风换气次数不少于6次/h，事故排风换气次数不应少于12次/h；并应在出口处设置紧急启动按钮。</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《北京市科研单位危险化学品安全管理工作指引（试行）》第八十四条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或产生可燃气体、可燃蒸气的实验室，应设置相应的可燃气体检测报警器，并与防爆风机联锁；使用或产生有毒有害气体的实验室，应安装相应的有毒有害气体检测报警器，并与风机联锁；使用或产生惰性气体的实验室，应设置氧含量检测报警器，并与风机联锁。</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《北京市科研单位危险化学品安全管理工作指引（试行）》第三十条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新建、改建、扩建危险化学品专用仓库应按GB 50016和GB 15603的要求进行设计、建设与验收。</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科研单位的危险化学品储存量满足下列任一情况时，应设置危险化学品专用仓库：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（1）易燃液体类危险化学品存放总量0.5t以上；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（2）氧化性物质和有机过氧化物类危险化学品存放总量0.5t以上；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（3）易燃气体存放总量36Nm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（如工作压力15MPa时相当于40L的6瓶）以上；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（4）腐蚀类危险化学品存放总量1t以上；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（5）毒性气体；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（6）非易燃无毒气体存放总量60Nm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（如工作压力15MPa时相当于40L的10瓶）以上。</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科研单位的危险化学品储存量满足下列任一情况时，应设置专用储存室：</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（1）易燃气体类危险化学品存放总量0.5t以下或不超过一昼夜使用量；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（2）氧化性物质和有机过氧化物类危险化学品存放总量0.5t以下或不超过一昼夜使用量；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（3）腐蚀类危险化学品存放总量1t以下或不超过一昼夜使用量。</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危险化学品专用储存室应符合以下要求：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（1）专用储存室应远离食堂、会议室、活动室等人员较为密集的场所。危险化学品专用储存室不应设置在地下或半地下建（构）筑物内；</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专用储存室如设在建筑物内，应选择靠外墙的部位，并设置防火墙、泄压设施；如与其他建筑物贴邻设置时，不应有门、窗相通；泄压设施宜采用轻质屋面板、轻质墙体和易于泄压的门、窗等，泄放口应避开人员密集的场所和人员通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（3）储存有易燃易爆危险化学品的专用储存室外应设置人体静电消除器；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（4）储存室应设通风设施，并在储存间外设置事故通风紧急开关；</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（5）可能产生易燃或有毒气体或蒸气的储存室应安装可燃或有毒气体检测报警器并与防爆风机联锁；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（6）储存有易燃易爆危险化学品的专用储存室内电气设备应符合GB 50058的防爆要求；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（7）储存有易燃易爆危险化学品的专用储存室的门应向疏散方向开启；</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（8）储存有易燃易爆危险化学品的专用储存室地面应平整、耐磨、防滑，不应设地沟、暗道；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（9）储存腐蚀性危险化学品的专用储存室地面应做防腐处理；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（10）专用储存室内储存液体危险化学品的单一包装不宜超过50kg（L）。</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科研单位的气瓶储存量满足下列任一情况时，应设置气瓶间：</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（1）易燃气体存放总量36Nm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（如工作压力15MPa时相当于40L的6瓶）以下，12Nm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（含12Nm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）（如工作压力15MPa时相当于40L的2瓶）以上；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（2）非易燃无毒气体存放总量60Nm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（如工作压力15MPa时相当于40L的10瓶）以下，18Nm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（含18Nm</w:t>
            </w:r>
            <w:r>
              <w:rPr>
                <w:rFonts w:hint="eastAsia" w:ascii="Times New Roman" w:hAnsi="Times New Roman" w:cs="楷体_GB2312"/>
                <w:color w:val="000000" w:themeColor="text1"/>
                <w:sz w:val="24"/>
                <w:vertAlign w:val="superscript"/>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）（如工作压力15MPa时相当于40L的3瓶）以上；</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气瓶间应符合以下要求：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（1）气瓶间应远离食堂、会议室、活动室等人员较为密集的场所，气瓶间不应设置在地下；</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（2）气瓶间应单独设置，与其它建筑物贴邻设置时，不应有门、窗相通；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（3）气体间耐火等级不应低于二级，建筑围护结构上的门窗应向外开启，并不得采用木质、塑钢等可燃材料制作；</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（4）气瓶间应防止阳光直射，地坪应平整、耐磨、防滑、受撞击不产生火花，并应有防止瓶倒的设施；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（5）储存有易燃易爆气体的气瓶间外应设置静电消除器；储存有易燃易爆气体的气瓶间内电气设备应符合GB 50058的防爆要求；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（6）储存有易燃易爆气体的室内气瓶间应安装可燃气体检测报警器并与防爆风机联锁；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（7）储存有惰性气体和氧化性气体的室内气瓶间，应设置氧含量检测报警器；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（8）气瓶应按GB/T 16163和TSG 23中气体特性进行分类，并分区存放，对可燃性、氧化性的气体应分室存放。空瓶与实瓶应分区存放，安全距离不小于1.5m，并有明显分区标识；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（9）气瓶应在检验合格期内，超期服役的气瓶应及时退回气瓶销售企业，或委托有资质的单位进行报废处理；</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危险化学品储存专柜应避免阳光直晒及靠近暖气等热源，保持通风良好，不宜贴邻实验台设置，也不应放置于地下室。</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危险化学品专用储存柜的储存要求：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（1）危险化学品储存柜禁止放置于办公室、通道和露天存放；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（2）需要低温储存的易燃易爆化学品应存放在专用防爆型冰箱内；</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（3）腐蚀性化学品宜单独放在耐腐蚀材料制成的储存柜中；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（4）爆炸性化学品和剧毒化学品应分别单独存放在专用储存柜中，实行“五双”制度管理；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（5）危险化学品储存柜应具有强制通风和吸收净化功能；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（6）存放易燃易爆危险化学品的储存柜应有导出静电的接地装置并可靠接地；</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（7）液体化学试剂应放置在防遗撒托盘上。</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危险化学品专用仓库应符合以下要求：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（1）危险化学品专用仓库应单层且单独设置，不应设在地下或半地下建（构）筑物内；</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（2）甲类仓库、多层乙类仓库和储存可燃液体的多层丙类仓库，其耐火等级不应低于二级。单层乙类仓库，单层丙类仓库，储存可燃固体的多层丙类仓库和多层丁、戊类仓库，其耐火等级不应低于三级；</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（3）甲、乙、丙类仓库内的防火墙，其耐火极限不应低于4.00h；</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（4）危险化学品仓库地面应防潮、平整、坚实、易于清扫，不发生火花，储存腐蚀性危险化学品仓库的地面、踢脚应防腐；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（5）具有爆炸危险的危险化学品专用仓库内，照明、事故照明设施、电气设备和输配电线路应采用防爆型；</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（6）危险化学品仓库内照明设施和电气设备的配电箱及电气开关应设置在仓库外，并应可靠接地，安装过压、过载、触电、漏电保护设施，采取防雨、防潮保护措施；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（7）储存有易燃易爆危险化学品的危险化学品专用仓库入口处应设置人体静电消除器；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（8）危险化学品仓库应设置防爆型通风机；</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（9）储存易燃气体、易燃液体的危险化学品仓库应设置可燃气体报警装置；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（10）危险化学品仓库应设置防雷设施。</w:t>
            </w:r>
          </w:p>
        </w:tc>
        <w:tc>
          <w:tcPr>
            <w:tcW w:w="3027"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危险化学品专用仓库的安全间距应符合GB 50016的规定。</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液氧站的建设与管理应符合《氧气站设计规范》（GB 50030）要求。</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氢气站或供氢站的建设与管理应符合《氢气站设计规范》（GB 50177）要求。氢气使用安全管理应执行《氢气使用安全技术规程》（GB 4962）要求。</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科研单位应参照GB/T 31190制订危险化学品废弃与处置的通用要求，包括分类收集、存放、储存场所的设置要求、回收周期与频率、回收处理企业资质要求等内容。</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科研单位废弃危险化学品应按照GB/T 31190、DB11/T 1368要求分类收集、储存。</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《北京市科研单位危险化学品安全管理工作指引（试行）》第五十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科研单位应针对废弃危险化学品设置专门的储存场所内，并指定专人负责管理。</w:t>
            </w:r>
          </w:p>
        </w:tc>
        <w:tc>
          <w:tcPr>
            <w:tcW w:w="3027" w:type="dxa"/>
            <w:vAlign w:val="center"/>
          </w:tcPr>
          <w:p>
            <w:pPr>
              <w:pStyle w:val="31"/>
              <w:wordWrap w:val="0"/>
              <w:spacing w:line="204" w:lineRule="auto"/>
              <w:ind w:left="114"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sz w:val="24"/>
                <w:lang w:eastAsia="zh-CN"/>
                <w14:textFill>
                  <w14:solidFill>
                    <w14:schemeClr w14:val="tx1"/>
                  </w14:solidFill>
                </w14:textFill>
              </w:rPr>
              <w:t>《北京市科研单位危险化学品安全管理工作指引（试行）》</w:t>
            </w: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第六十条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科研单位产生废弃危险化学品的实验室应设置专用内部暂存区，暂存区内原则上存放本实验室产生的废弃危险化学品，存放两种及以上不相容废弃危险化学品的，应分不同区域暂存。</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《北京市科研单位危险化学品安全管理工作指引（试行）》第六十一条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存放废弃危险化学品的场所、设施，应设置危险废弃物识别标志。</w:t>
            </w:r>
          </w:p>
        </w:tc>
        <w:tc>
          <w:tcPr>
            <w:tcW w:w="3027" w:type="dxa"/>
            <w:vAlign w:val="center"/>
          </w:tcPr>
          <w:p>
            <w:pPr>
              <w:pStyle w:val="31"/>
              <w:wordWrap w:val="0"/>
              <w:spacing w:line="204" w:lineRule="auto"/>
              <w:ind w:left="114"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sz w:val="24"/>
                <w:lang w:eastAsia="zh-CN"/>
                <w14:textFill>
                  <w14:solidFill>
                    <w14:schemeClr w14:val="tx1"/>
                  </w14:solidFill>
                </w14:textFill>
              </w:rPr>
              <w:t>《北京市科研单位危险化学品安全管理工作指引（试行）》</w:t>
            </w: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第六十二条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科研单位应委托有相应资质的单位处置废弃危险化学品。</w:t>
            </w:r>
          </w:p>
        </w:tc>
        <w:tc>
          <w:tcPr>
            <w:tcW w:w="3027" w:type="dxa"/>
            <w:vAlign w:val="center"/>
          </w:tcPr>
          <w:p>
            <w:pPr>
              <w:pStyle w:val="31"/>
              <w:wordWrap w:val="0"/>
              <w:spacing w:line="204" w:lineRule="auto"/>
              <w:ind w:left="114"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《北京市科研单位危险化学品安全管理工作指引（试行）》第六十三条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科研单位废弃危险化学品的储存周期不应大于6个月。</w:t>
            </w:r>
          </w:p>
        </w:tc>
        <w:tc>
          <w:tcPr>
            <w:tcW w:w="3027" w:type="dxa"/>
            <w:vAlign w:val="center"/>
          </w:tcPr>
          <w:p>
            <w:pPr>
              <w:pStyle w:val="31"/>
              <w:wordWrap w:val="0"/>
              <w:spacing w:line="204" w:lineRule="auto"/>
              <w:ind w:left="114"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sz w:val="24"/>
                <w:lang w:eastAsia="zh-CN"/>
                <w14:textFill>
                  <w14:solidFill>
                    <w14:schemeClr w14:val="tx1"/>
                  </w14:solidFill>
                </w14:textFill>
              </w:rPr>
              <w:t>《北京市科研单位危险化学品安全管理工作指引（试行）》</w:t>
            </w: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第六十四条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气瓶应配置气瓶柜或气瓶防倒链、防倒栏栅等设备。应将气瓶设置在避雨通风的安全区域，使用后的残气（或尾气）应通过管路引至室外安全区域排放。排放口应高出10米范围内平台或建筑物楼顶3.5m。气瓶周围要配备相应的安全设施，如有毒气体或可燃气体探测器、烟感、消防水、强排风系统、防爆电器、防盗措施、视频监控等。</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《安全生产等级评定技术规范第2部分：安全生产通用要求》（DB11/T 1322.2-2017）；《北京市科研单位危险化学品安全管理工作指引（试行）》第五十三条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在有毒性、腐蚀性、刺激性危害的环境中，应设置淋洗器、洗眼器等防护设施，其服务半径应不大于15m。</w:t>
            </w:r>
          </w:p>
        </w:tc>
        <w:tc>
          <w:tcPr>
            <w:tcW w:w="3027" w:type="dxa"/>
            <w:vAlign w:val="center"/>
          </w:tcPr>
          <w:p>
            <w:pPr>
              <w:pStyle w:val="31"/>
              <w:wordWrap w:val="0"/>
              <w:spacing w:line="204" w:lineRule="auto"/>
              <w:ind w:left="114"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《安全生产等级评定技术规范第2部分： 安全生产通用要求》（DB11/T 1322.2-2017）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应根据GB 17914、GB 17915和GB 17916中规定的易燃易爆性化学品、腐蚀性化学品和毒害性化学品的灭火方法，针对化学品危险特性，在明显和便于取用的位置定位设置消防器材。</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《易燃易爆性商品储存养护技术条件》（GB 17914-2013）</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《腐蚀性商品储存养护技术条件》（GB 17915-2013）</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《毒害性商品储存养护技术条件》（GB 17916-2013）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科研单位（机构）灭火器类型和数量配置应符合GB 50140的规定。</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《建筑灭火器配置设计规范》（GB 50140）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科研单位应指定专人负责应急物资的定期检查、维护和保养。</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《北京市科研单位危险化学品安全管理工作指引（试行）》第九十二条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科研单位（机构）应在实验室内方便取用地点设置急救箱或急救包，配备内容可根据实际需要参照GBZ 1的要求确定。</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《北京市科研单位危险化学品安全管理工作指引（试行）》第九十一条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科研单位（机构）应为涉及危险化学品的实验室操作人员 配备符合GB 39800.1规定的个体防护装备。</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（1）存在飞溅物体、化学性物质等可能对操作者眼部、面部产生伤害的实验室，应配备眼面部防护装备，如：护目镜、 防护面罩等；</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（2）接触有毒、有害物质的操作人员应根据可能接触毒物的种类选择配备相应的防毒面具、空气呼吸器等呼吸防 护装备；</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（3）从事接触腐蚀化学品的操作人员应穿戴耐化学品防护服、耐化学品防护鞋、耐化学品防护手套等防护装备；</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（4）实验室操作人员应佩戴好所有防护装备并检查其功能良好后再进行作业。</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《个体防护装备配备规范 第1部分：总则》（GB 39800.1）；《北京市科研单位危险化学品安全管理工作指引（试行）》第三十一条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实验室用小包装化学试剂，应储存于专用储存柜中，如：防爆柜、防腐蚀柜等。</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自行配制的实验样品，主要成分是危险化学品的，要按照危险化学品进行管理，不应随意放置于实验台上。</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《北京市科研单位危险化学品安全管理工作指引（试行）》第三十三条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自行配制或分装后的包装物应重新粘贴标签，注明化学品成分、浓度等主要信息。</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不应随意更换危险化学品的储存包装，包括内包装和外包装。不应在实验室对危险化学品进行分装、改装和堆积可燃性物品。</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《北京市科研单位危险化学品安全管理工作指引（试行）》第三十八条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不应使用通常用于贮存饮料及生活用品的容器盛放危险化学品。</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《北京市科研单位危险化学品安全管理工作指引（试行）》第三十九条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科研单位应指定专人负责实验室的安全管理，并在实验室内张贴安全负责人、联系方式等信息。</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应定期对过期危险化学品、无使用价值的自配化学品以及 缺少安全标签、不清楚主要成分的危险化学品进行全面清理。</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《北京市科研单位危险化学品安全管理工作指引（试行）》第四十条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危险化学品领用管理要求：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科研单位应有专人负责危险化学品的发放，并根据实际需要最低数量发放；（2）爆炸性化学品和剧毒化学品实行“双人验收、双人保管、双人发放、双本账、双把锁”管理，领用时应记载详细用途；（3）领取时应按照当日计划使用量领取，如有剩余应在当日退回，并详细记录退回物品种类和数量；（4）领用时应填写危险化学品领用记录，应包括以下内容：品种、规格、发放、退回日期、部门及经办人、数量以及</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结存数量和存放地点等。</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《北京市科研单位危险化学品安全管理工作指引（试行）》第二十一条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开展实验前安全管理要求：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（1）实验室安全负责人或实验项目负责人应组织人员对实验现场和实验过程中可能存在的危险有害因素进行辨识 ，开展实验危害分析，制定相应的安全风险管控措施；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（2）实验室安全负责人或实验项目负责人应对参加实验的人员进行安全措施交底，主要包括：实验现场和实验过 程中可能存在的危险有害因素、应采取的具体安全措施与 应急措施、应急救援器材的位置及分布等；</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（3）实验人员对实验涉及的仪器、设备、化学品等进行检查，并使之符合安全要求；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（4）实验室安全负责人或实验项目负责人应对实验人员个体防护装备穿戴情况进行检查；</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（5）实验项目负责人应对参与实验人员开展实验室及实验项目有关操作规程进行再培训。</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当实验过程中仪器、设备或现场出现异常情况，可能危及实验人员安全时，实验人员应立即停止作业，迅速撤离，并及时通知实验室安全负责人。</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《北京市科研单位危险化学品安全管理工作指引（试行）》第二十四条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同一间实验室或实验现场应减少、控制多个人员、多科目交叉实验，最大限度避免交叉实验。</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科研单位应指定专人负责危险化学品储存场所的安全管理，并在储存场所内张贴安全责任人、联系方式等信息。</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《北京市科研单位危险化学品安全管理工作指引（试行）》第四十二条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根据危险化学品的种类和危险特性，在作业场所设置相应的监测、监控、通风、调温、防火、灭火、防爆、防毒、防潮、防雷、防静电、防泄漏以及防护围堤或者隔离操作等安全设施、设备，并应对安全设施、设备进行经常性维护、保养，定期检查检测。</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管理者的职责：应通过实验室设立机构或制定人的授权承担管理职责，保证实验室的安全工作条件、警示标志和应急装备符合有关标准要求，适用于所从事的科研活动；组织建立并维护实验室管理制度，并组织对所有相关人员进行培训和考核，不应允许考核不合格或未经批准的人员从事研究活动或进入实验室；组织并维护应急预案，保证应急器材的性能正常，并定期组织所有人员进行应急演练。</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《科研实验室良好规范》（GB/T 27425-2020）第4.1节；《北京市科研单位危险化学品安全管理工作指引（试行）》第八十八条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科研单位应每年至少组织一次危险化学品事故专项应急预案演练，每半年至少组织一次危险化学品现场处置方案演练，并做好演练记录。</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《生产安全事故应急预案管理办法》第三十三条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研究负责人的职责：研究负责人所从事的科研活动应获得实验室管理者的同意。保证研究团队熟悉并遵守实验室的管理规定，负责评估研究活动可能面临的风险，并告知研究团队等所有相关人员，需要时为其提供适宜和足够的防护设备、个体防护装备和防护指导；不得从事风险不可控的研究活动。</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《科研实验室良好规范》（GB/T 27425-2020）第4.2节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研究人员的职责：应在研究负责人的管理下从事科研活动。 应了解和掌握安全工作方式和防护措施，遵守实验室安全管理要求和研究计划的规定；及时报告安全隐患、事件或事故。</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《科研实验室良好规范》（GB/T 27425-2020）第4.3节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研究物料储存处应能保持物料的特性、浓度、纯度和稳定性等，并保证符合存储危险物品的安全要求和安保要求。</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《科研实验室良好规范》（GB/T 27425-2020）第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对存在危险的设备应有标志标明具体的危险部位和警示事项。</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《科研实验室良好规范》（GB/T 27425-2020）第 8.1.6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对使用特性有规定的材料（如检测试剂等）应有标签或其他标志，注明身份信息、规定的参数（如浓度、纯度、理化性质等）、储存说明、有效期、有关来源、安全信息等。实验室应有所用材料的安全数据单（MSDS）或基本的安全信息，并随时可供使用，应定期更新安全数据单。应正确存放所有材料，保证其不相互影响。应有序、合理、安全地存放材料，不影响工作，不对人员构成不可接受地风险，不妨碍应急疏散。</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《科研实验室良好规范》（GB/T 27425-2020）第 8.2.2 条～第8.2.5条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科研单位安全管理人员应定期对本单位重点管理的危险化学品种类和场所开展检查。岗位人员应掌握本岗位重点管理的危险化学品的危险特性、应急处置和急救方法。</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科研单位应充分利用科技化、信息化手段，建立危险化学品统一采购平台，实现化学品全流程线上采购和审批。</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科研单位采购危险化学品时，采购人员应查看供应商是否具有在有效期内的危险化学品安全生产许可证或经营许可证。应检查化学品外包装上的安全标签是否完好，并向供应商索取化学品安全技术说明书（SDS）。</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化学品安全技术说明书管理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（1）科研单位采购的危险化学品的化学品安全技术说明书应符合GB/T 16483规定；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（2）科研单位应妥善保管化学品安全技术说明书，并保证使用人员能方便获得。</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化学品安全标签管理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（1）科研单位采购的危险化学品包装物上应张贴或悬挂符合GB 15258规定的化学品安全标签；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（2）当化学品由原包装物转移或分装到其他包装物内时，转移或分装后的包装物应及时重新粘贴与化学品安全标签内容一致的标识；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（3）化学品安全标签脱落应确认后及时补齐，如不能确认，则按废弃化学品处置。</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科研单位主要负责人对本单位试验项目的安全运行工作全面负责。项目试验前应成立有专职安全管理人员参加的项目试验小组，并指定项目负责人。</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《北京市科研单位危险化学品安全管理工作指引（试行）》第六十五条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科研单位在中试和扩大性试验项目开展前，应由主要负责人组织编制试验方案。</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《北京市科研单位危险化学品安全管理工作指引（试行）》第六十六条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严格遵循科研项目从小试到中试的程序，必要时应进行扩大性试验。严格控制中试装置规模，一般不超过小试规模的30倍。若确有进一步探索工业化生产工艺条件稳定性的必要，应在中试装置基础上采用逐级放大的方式，以模拟工业化生产进行工艺扩试活动，且一般不超过中试规模的2倍。</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《北京市科研单位危险化学品安全管理工作指引（试行）》第六十七条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新产品试制应进行安全风险评估，并落实风险管控措施。安全风险评估应分析试验所用原料、辅料、中间产品、产品和副产品的有关理化特性，辨识试验过程中的危害因素，提出有效的防范措施。</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《北京市科研单位危险化学品安全管理工作指引（试行）》第六十八条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涉及硝化、氯化、氟化、重氮化、过氧化工艺的新产品试验应开展热反应安全风险评估，必要时对相关原料、中间产品、产品及副产物进行热稳定性测试。</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《北京市科研单位危险化学品安全管理工作指引（试行）》第六十九条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涉及危险化学品（含原辅料、中间产品）的中试和扩大性试验生产项目，应组织相关专业技术人员进行安全论证；本单位没有能力组织安全论证的，应开展安全评价。</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试验过程应严格按照试验方案进行，如有重大改变，应按程序重新审批，必要时重新组织专家论证。试验结束后，对试验情况进行全面分析的基础上，编写总结报告，分析和总结应有安全设施、设备运转情况的章节。</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试验场所应符合防火、防爆、防毒的规定。试验涉及的设备、装置、仪器、仪表等应定期检查，保持完好、灵敏。操作人员应按规定佩戴劳动防护装备。</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试验活动开始前，项目负责人应组织参与试验的所有人员 进行相关的安全培训，告知试验涉及的危险化学品危险特性及防控措施。学习试验方案和规程，组织事故现场模拟演练，经考核合格后方可上岗操作。</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可能造成人员重大伤亡或财产损失的中（扩）试项目，应采用远程控制技术，严格控制现场操作人员数量。DCS控制室应有可靠的安全隔离措施，以保护人员安全和各类运行数据的完整。</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中（扩）试装置启用前，应组织技术、工艺、设备、安全、环保等相关部门的专业人员对装置的安全性进行检查确认。</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首次投料及投料试验初期，项目负责人、技术负责人和安全管理人员不得擅离岗位。遇有异常情况，应及时停止试验并采取相应措施，确认安全后方可继续试验。</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涉及国家重点监管的危险化工工艺的试验项目，应符合《重点监管的危险化工工艺安全控制要求、重点监控参数及推荐的控制方案》的要求，并委托具备资质的单位开展安全评估。</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《北京市科研单位危险化学品安全管理工作指引（试行）》第七十七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1"/>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小试、中试、扩试不得采用国家明令淘汰的工艺、装备和禁用的物料。</w:t>
            </w:r>
          </w:p>
        </w:tc>
        <w:tc>
          <w:tcPr>
            <w:tcW w:w="3027" w:type="dxa"/>
            <w:vAlign w:val="center"/>
          </w:tcPr>
          <w:p>
            <w:pPr>
              <w:pStyle w:val="31"/>
              <w:wordWrap w:val="0"/>
              <w:spacing w:line="204" w:lineRule="auto"/>
              <w:ind w:right="93"/>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《北京市科研单位危险化学品安全管理工作指引（试行）》第七十八条</w:t>
            </w:r>
          </w:p>
        </w:tc>
      </w:tr>
    </w:tbl>
    <w:p>
      <w:pPr>
        <w:numPr>
          <w:ilvl w:val="0"/>
          <w:numId w:val="19"/>
        </w:numPr>
        <w:ind w:firstLine="643"/>
        <w:outlineLvl w:val="2"/>
        <w:rPr>
          <w:rFonts w:ascii="Times New Roman" w:hAnsi="Times New Roman" w:cs="仿宋_GB2312"/>
          <w:b/>
          <w:bCs/>
        </w:rPr>
      </w:pPr>
      <w:bookmarkStart w:id="90" w:name="_Toc225353465"/>
      <w:bookmarkStart w:id="91" w:name="_Toc224910881"/>
      <w:r>
        <w:rPr>
          <w:rFonts w:hint="eastAsia" w:ascii="Times New Roman" w:hAnsi="Times New Roman" w:cs="仿宋_GB2312"/>
          <w:b/>
          <w:bCs/>
        </w:rPr>
        <w:t>普通高校实验室化学品管理要求</w:t>
      </w:r>
      <w:bookmarkEnd w:id="90"/>
      <w:bookmarkEnd w:id="91"/>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4535"/>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535"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2959"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组织管理：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（1）普通高等学校（以下简称高校）应设立负责实验室危险化学品安全管理的校级领导机构，统筹全校实验室危险化学品安全管理工作。</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（2）高校应指定职能部门负责本校危险化学品安全管理工作，建立健全全员实验室安全责任制，配备专职安全人员。</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（3）涉及使用危险化学品的二级单位应明确分管领导和安全管理人员负责本单位实验室危险化学品的安全管理工作。</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（4）实验室应有专职或兼职人员负责危险化学品的日常管理工作。</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1191.2-2025）第4.1条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制度管理：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涉及使用危险化学品的高校和二级单位应制定与实验室危险化学品相关的安全管理制度，制度应包括但不限于下列内容：</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岗位安全责任制和学生安全守则；（2）实验室安全教育培训及准入管理；（3）危险化学品采购、储存、使用和废弃处置管理；（4）实验项目安全风险评估与管控；（5）高压反应釜、旋转蒸发器、高温反应装置、减压蒸馏装置等风险较大设备管理。（6）气瓶和气体管路管理；（7）爆炸品、剧毒化学品管理；（8）个体防护用品的配备和使用管理；（9）危险化学品隐患排查治理；（10）事故应急处置。</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1191.2-2025）第4.2.1条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操作规程要求：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应结合实际情况编制实验或设备设施安全操作规程，包括但不限于下列内容：（1）涉及危险化学反应的实验安全操作规程；（2）涉及易燃易爆危险化学品的实验安全操作规程；（3）涉及有毒有害危险化学品的实验安全操作规程；（4）气瓶、气体、气体管路安全操作规程。</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 规范第2部分：普通高等学校》（DB11/T 1191.2-2025）第4.2.3条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人员培训要求：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普通高等学校有关职能部门、二级院系（或单位）和实验室的负责安全管理人员应具备相应的危险化学品管理专业知识和能力，接受危险化学品安全培训和考核，管理人员初次上岗培训应不少于32学时，初次上岗培训之后每年再培训应不少于12学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（2）安全管理人员在本校内调整岗位或离岗一年以上重新上岗时，应接受实验室危险化学品重新上岗培训，培训应不少于4学时；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管理人员安全培训应包括但不限于下列内容：有关法律、法规、规章及标准；实验室安全管理、安全技术；危险化学品分类与危险特性；应急预案以及事故应急处置；国内外实验室安全管理经验；典型事故案例分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（4）开展实验操作的教职工、学生、实习人员和其他各类临时实验人员应履行实验室安全准入制度，进入实验室前应接受危险化学品相关的安全知识培训、考核。安全培训包括但不限于以下内容：</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安全管理制度；实验相关的危险化学品危险特性和安全操作规程；气瓶、气体管路、特种设备等安全使用知识；自救、互救、急救方法，疏散和现场紧急情况的处理；安全设备设施、个体防护用品的使用、检查和维护；实验室有关事故案例。</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1191.2-2025）第4.3.1条～4.3.4条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应急预案与演练</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4.6.1高校应结合实际情况编制危险化学品事故专项应急预案。</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4.6.2实验室应结合实际情况编制危险化学品事故现场处置方案及气瓶等特种设备故障现场处置方案；重点岗位应编制简明、实用的岗位应急处置卡。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4.6.3实验室应对危险化学品专项应急预案、现场处置方案、岗位应急处置卡等进行宣传、培训和考核，并做好培训和考核记录。</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4.6.4、高校或二级单位每年应至少组织有关教师和学生进行一次危险化学品事故专项应急预案演练，并做好演练记录。</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4.6.5实验室应至少每半年组织一次现场处置方案演练，并做好记录。</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4.6.6危险化学品专项应急预案、现场处置方案和岗位应急处置卡等内容应根据情况变化及时更新完善。</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1191.2-2025）第4.6条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设施设备要求（建构筑物）：</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5.1.1易燃、易爆危险化学品储存场所的出入口外应设置人体静电消除装置。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5.1.2危险化学品储存场所的门应根据危险化学品性质采用具有防火、防腐蚀、不产生火花等功能的单一或复合材料制成，门应向疏散方向开启。</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5.1.3危险化学品储存场所地面应平整、耐磨、防滑、防潮、易于清扫，并应符合下列要求：1）易燃易爆危险化学品储存场所应采用不发火地面，采用绝缘材料作整体面层时，应采取防静电措施；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2）腐蚀性危险化学品储存场所应做防腐处理。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5.1.4产生或泄漏可燃气体且有火灾、爆炸风险的危险化学品储存场所不应设置吊顶。</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1191.2-2025）第5.1.1条～5.1.4条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设施设备要求（通风、防爆要求）：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5.1.5除室外设置的半封闭式的气瓶间以外，其他危险化学品储存场所应设置独立的通风设施。风机吸风口应设在散发气体可能最大或聚集最多的部位。</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5.1.6 爆炸危险环境应按照GB 50058的要求，设置防爆型风机。机械通风换气次数不少于6次/h，事故通风换气次数不应少于12次/h；事故通风的风机应分别在室内及靠近外门的外墙上设置电气开关。</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1191.2-2025）第5.1.5条～5.1.6条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设施设备要求（气体探测器）：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5.1.7可燃气体、有毒气体、氧气浓度报警系统的设置应符合下列要求：存在或产生可燃、有毒气体/蒸气的实验室、汇流排间、危险化学品储存场所，泄漏气体/蒸气中气体/蒸气浓度可能达到报警设定值时，应设置可燃、有毒气体探测器；储存或使用惰性气体、氮气、二氧化碳、氧气等气体可能导致环境氧气浓度变化，有欠氧、过氧风险的实验室、汇流排间、气瓶间等场所，应设置环境氧含量检测报警器。探测器安装高度宜距地坪或楼地板1.5m~2.0m；各类气体探测器应有现场报警功能，报警信号应与风机联锁；报警信号应能传到24h有人值班的房间或相关负责人的移动终端；气体探测器应定期检定或校准，周期应不超过1年；各类场所气体检测点确定、气体检测报警系统设计与安装宜符合GB/T 50493的要求。</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1191.2-2025）第5.1.7条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设施设备要求（危化品储存柜）：</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危险化学品储存场所采用储存柜储存危险化学品时，应依据危险化学品的性质选择有防火、防腐蚀等功能的储存柜。</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1191.2-2025）第5.1.8条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设施设备要求（专用储存室和气瓶间）：</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5.2.1危险化学品专用储存室和气瓶间安全设施应符合 DB11/T 1322.2的规定。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5.2.2室外独立设置的专用储存室、气瓶间应按照GB 50057设置防雷措施。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5.2.3专用储存室和气瓶间门外应设置照明、通风设施的开关。</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5.2.4采用堆垛形式储存液体类危险化学品的专用储存室应设置防止液体流散的设施。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5.2.5可燃气体气瓶间内不应采用金属防倒链，存放在室外的气瓶应设置在遮阳、避雨、通风的安全区域。</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1191.2-2025）第5.2条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危险化学品使用：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7.2危险化学品试剂发放、领取与退回</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7.2.1危险化学品的发放应有专人负责，并根据实际需要的数量发放，发放应有记录。</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7.2.2剧毒化学品、爆炸性化学品的领取，应由两人以当日实验的用量领取，如有剩余应在当日退回。</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7.2.3危险化学品发放记录应包括品种、规格及发放、退回的日期，领取单位及经手人、数量以及结存数量等；发放剧毒化学品、爆炸性化学品和易制爆危险化学品时还应详细记载用途。</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7.3危险化学品试剂使用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7.3.1实验室使用的危险化学品应带有追溯标签，追溯标签应符合 DB11/T 2196 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7.3.2实验室存放危险化学品应符合下列要求：易燃易爆危险化学品应存放在具有防火功能的储存柜中；需低温存放的易燃易爆化学品应存放在具有防爆功能的冰箱内；腐蚀性化学品应存放在具有防腐蚀功能的储存柜中，并有防遗撒托盘；危险化学品储存柜应放置于阴凉、干燥、通风处；单个储存柜中同时存放固体和液体试剂，宜将固体试剂存放在上层；储存柜中存放液体危险化学品试剂，应设置防遗撒托盘；不应使用饮料及生活用品容器盛放化学试剂和样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7.3.3每间实验室内危险化学品存放限量要求：除压缩气体和液化气体外的危险化学品总量不应超过100L或100kg，其中易燃易爆性化学品的存放总量不应超过50L或50kg；且单一包装容器不应大于25L或25kg；实验台、通风橱等场所放置的危险化学品不应超过当天使用量。</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1191.2-2025）第7.2-7.3条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dxa"/>
            <w:vAlign w:val="center"/>
          </w:tcPr>
          <w:p>
            <w:pPr>
              <w:pStyle w:val="22"/>
              <w:numPr>
                <w:ilvl w:val="0"/>
                <w:numId w:val="22"/>
              </w:numPr>
              <w:ind w:firstLineChars="0"/>
              <w:jc w:val="center"/>
              <w:rPr>
                <w:rFonts w:ascii="Times New Roman" w:hAnsi="Times New Roman" w:cs="楷体_GB2312"/>
                <w:color w:val="000000" w:themeColor="text1"/>
                <w:sz w:val="24"/>
                <w14:textFill>
                  <w14:solidFill>
                    <w14:schemeClr w14:val="tx1"/>
                  </w14:solidFill>
                </w14:textFill>
              </w:rPr>
            </w:pPr>
          </w:p>
        </w:tc>
        <w:tc>
          <w:tcPr>
            <w:tcW w:w="4535"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危险化学品废弃处置：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8.1废弃危险化学品的分类、收集、暂存、转运应符合GB/T 31190 和 DB11/T 1368 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8.2实验结束应将实验产生的废弃危险化学品及时进行清理、收集、清运。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8.3实验室长期不使用以及过期的危险化学品应及时进行清理、收集、清运。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8.4应及时委托有相关资质的单位处置废弃危险化学品。</w:t>
            </w:r>
          </w:p>
        </w:tc>
        <w:tc>
          <w:tcPr>
            <w:tcW w:w="2959"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第2部分：普通高等学校》（DB11/T 1191.2-2025）第8条</w:t>
            </w:r>
          </w:p>
        </w:tc>
      </w:tr>
    </w:tbl>
    <w:p>
      <w:pPr>
        <w:numPr>
          <w:ilvl w:val="0"/>
          <w:numId w:val="19"/>
        </w:numPr>
        <w:ind w:firstLine="643"/>
        <w:outlineLvl w:val="2"/>
        <w:rPr>
          <w:rFonts w:ascii="Times New Roman" w:hAnsi="Times New Roman" w:cs="仿宋_GB2312"/>
          <w:b/>
          <w:bCs/>
        </w:rPr>
      </w:pPr>
      <w:bookmarkStart w:id="92" w:name="_Toc225353466"/>
      <w:bookmarkStart w:id="93" w:name="_Toc224910882"/>
      <w:r>
        <w:rPr>
          <w:rFonts w:hint="eastAsia" w:ascii="Times New Roman" w:hAnsi="Times New Roman" w:cs="仿宋_GB2312"/>
          <w:b/>
          <w:bCs/>
        </w:rPr>
        <w:t>医疗卫生机构实验室化学品管理要求</w:t>
      </w:r>
      <w:bookmarkEnd w:id="92"/>
      <w:bookmarkEnd w:id="9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7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2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应事先对所有拟从事活动的风险进行评估，包括对化学、物理、辐射、电气、水灾、火灾、自然灾害等的风险评估。</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《实验室生物安全通用要求》（GB 19489-2008）第 3.1.2条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进出实验室的液体和气体管道系统应牢固、不渗漏、防锈、耐压、耐温（冷或热）、耐腐蚀。应有足够的空间清洁、维护和维修实验室内暴露的管道，应在关键节点安装截止阀、防回流装置或HEPA过滤器等。如果有供气（液）罐等，应放在实验室防护区外易更换和维护的位置，安装牢固，不应将不相容的气体或液体放在一起。实验室的所有管道和线路应有明确、醒目和易区分的标识。</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《实验室生物安全通用要求》（GB 19489-2008）第6.3.4.3条、第6.3.4.4条、第7.4.7.8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1.在实验室内应尽量减少可燃气体和液体的存放量；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2.应在适用的排风罩或排风柜中操作可燃气体或液体；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3.应将可燃气体或液体放置在远离热源或打火源之处，避免阳光直射；</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4.输送可燃气体或液体的管道应安装紧急关闭阀；</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5.应配备控制可燃物少量泄漏的工具包。如果发生明显泄漏，应立即寻求消防部门的援助；</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6.可燃气体或液体应存放在经批准的贮藏柜或库中。贮存量应符合国家相关的规定和标准；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7.需要冷藏的可燃液体应存放在防爆（无火花）的冰箱中；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8.需要时，实验室应使用防爆电器。</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1《实验室生物安全通用要求》（GB 19489-2008）第7.22.3 条～第7.22.10条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2.《临床实验室设计总则》（GB/T 20469-2006）第3.3.5.2条（如将存放易爆物品，则应选用能防爆的冷藏柜）、第3.4.4.9条（如果易挥发物质排放，应具有防爆排扇）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1.在所有医学实验室中，对化学品的存放、处理、使用及处置的规定和程序均应符合良好化学实验室行为标准；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2.应按照国际标准在每个贮存容器上标明每个产品的性质及其风险性，还应在使用中产品的容器上清晰而明确地标识；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3.对化学、物理及火灾危险有足够的控制措施；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4.应将诸如酸和碱类的危险液体存放在低于眼睛的位置。大的容器应安全放在靠近地面的位置，且高度应保证取用安全及符合人类工效学；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5.应按国家或地方的要求配备适当的装置以安全处理、存放和使用压缩气体和低温材料；</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6.应安装保险装置（如护链和护架）以防止气瓶、试剂或玻璃制品的意外移动和跌倒；</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7.应要求所有人员按安全操作方案工作，包括使用被认为适用于所从事工作的安全设备或装置；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8.在实验区，所有人员应时刻穿着适当的防护服、个人防护装备。</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《医学实验室 安全要求》（GB 19781-2005）第17章化学品安全 第17.1节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1.在因化学污染可能造成眼睛损伤的所有实验区内，应提供洗眼装置，并保证装置完好；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2.存在大面积身体污染风险性质的化学危险场所，应提供喷淋装置，并保证装置完好；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3.应有适当的化学品漏出控制措施，包括适用于工作场所所使用的化学品的中和剂、漏出的屏蔽及吸收剂。</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《医学实验室 安全要求》（GB 19781-2005）第17章 化学品安全 第17.2节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对实验室内所用的每种化学制品的废弃和安全处置应有明确的书面程序。</w:t>
            </w:r>
          </w:p>
        </w:tc>
        <w:tc>
          <w:tcPr>
            <w:tcW w:w="3027" w:type="dxa"/>
            <w:vAlign w:val="center"/>
          </w:tcPr>
          <w:p>
            <w:pPr>
              <w:pStyle w:val="31"/>
              <w:wordWrap w:val="0"/>
              <w:spacing w:line="204" w:lineRule="auto"/>
              <w:ind w:right="34"/>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《医学实验室 安全要求》（GB 19781-2005）第17章 化学品安全 第17.3节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防火：</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建筑规格应根据实验室所含危险的类型而定，应指定主要出口路线；医学实验室若位于有住院病人的建筑内，应有防火结构与医疗区域隔离。在存放可燃气体的地方，应当安装防爆灯和防爆开关。用于此类区域的电气设备应专门设计；</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在使用或存放可燃气体或液体的所有实验区内，应备有烟雾和热量自动探测及报警系统；</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在实验室的技术区内只存放最少量的可燃气体和液体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（即一个工作日的消耗量）；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只应在通风良好的区域使用可燃气体和液体。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应在实验室排烟罩或柜中进行释放可燃蒸气的工作。</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可燃液体和气体应远离热源和打火源，包括电机和阳光直射；</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供气管道中紧急关闭阀和管道的安装应符合国家或地方性法规；</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漏出处理工具包应随时可供控制漏出的少量可燃物。</w:t>
            </w:r>
          </w:p>
        </w:tc>
        <w:tc>
          <w:tcPr>
            <w:tcW w:w="3027" w:type="dxa"/>
            <w:vAlign w:val="center"/>
          </w:tcPr>
          <w:p>
            <w:pPr>
              <w:pStyle w:val="31"/>
              <w:wordWrap w:val="0"/>
              <w:spacing w:line="204" w:lineRule="auto"/>
              <w:ind w:left="58" w:right="34"/>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《医学实验室 安全要求》（GB 19781-2005）第19章防火第19.1～19.4 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可燃物品的存放：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存放可燃液体或气体的容器应尽可能小，并符合实验室需要；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存放可燃液体的容器不使用时均应盖好；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可燃气体或液体只应存放在经批准的贮藏柜或库中。贮存应符合现行的国家标准；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冷藏的可燃液体只有存放在无火花“防爆”冰箱中；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存放大量可燃液体的金属容器应固定并连接到公共接地点以避免静电；</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应使用便携安全容器存放、转运和分配可燃液体；</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应在专用的贮存室或化学排烟罩内将易燃液体从贮存罐中轻轻倒入或转移至小容器中。金属容器应接地良好。</w:t>
            </w:r>
          </w:p>
        </w:tc>
        <w:tc>
          <w:tcPr>
            <w:tcW w:w="3027" w:type="dxa"/>
            <w:vAlign w:val="center"/>
          </w:tcPr>
          <w:p>
            <w:pPr>
              <w:pStyle w:val="31"/>
              <w:wordWrap w:val="0"/>
              <w:spacing w:line="204" w:lineRule="auto"/>
              <w:ind w:right="38"/>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《医学实验室 安全要求》（GB 19781-2005）第19.5节可燃物品的存放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3"/>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储存酸、腐蚀性溶液，有机溶剂和/或其他潜在危险的物品应满足防火和其他储存安全标准。放射源、压缩气应小心储存和定期检查以确保不会发生危险。应远离实验室和办公区储存，出口畅通。储存危险品的区域应适当装配排水系统。大的容器应储存在地上或货架底层。储存可燃液体需要特殊的储存柜。</w:t>
            </w:r>
          </w:p>
        </w:tc>
        <w:tc>
          <w:tcPr>
            <w:tcW w:w="3027" w:type="dxa"/>
            <w:vAlign w:val="center"/>
          </w:tcPr>
          <w:p>
            <w:pPr>
              <w:pStyle w:val="31"/>
              <w:wordWrap w:val="0"/>
              <w:spacing w:line="313" w:lineRule="exact"/>
              <w:ind w:left="58"/>
              <w:rPr>
                <w:rFonts w:ascii="Times New Roman" w:hAnsi="Times New Roman" w:eastAsia="仿宋_GB2312" w:cs="楷体_GB2312"/>
                <w:color w:val="000000" w:themeColor="text1"/>
                <w:kern w:val="2"/>
                <w:sz w:val="24"/>
                <w:szCs w:val="24"/>
                <w:lang w:eastAsia="zh-CN"/>
                <w14:textFill>
                  <w14:solidFill>
                    <w14:schemeClr w14:val="tx1"/>
                  </w14:solidFill>
                </w14:textFill>
              </w:rPr>
            </w:pPr>
            <w:r>
              <w:rPr>
                <w:rFonts w:hint="eastAsia" w:ascii="Times New Roman" w:hAnsi="Times New Roman" w:eastAsia="仿宋_GB2312" w:cs="楷体_GB2312"/>
                <w:color w:val="000000" w:themeColor="text1"/>
                <w:kern w:val="2"/>
                <w:sz w:val="24"/>
                <w:szCs w:val="24"/>
                <w:lang w:eastAsia="zh-CN"/>
                <w14:textFill>
                  <w14:solidFill>
                    <w14:schemeClr w14:val="tx1"/>
                  </w14:solidFill>
                </w14:textFill>
              </w:rPr>
              <w:t>《临床实验室设计总则》（GB/T 20469-2006）第 3.3.3.1 条</w:t>
            </w:r>
          </w:p>
        </w:tc>
      </w:tr>
    </w:tbl>
    <w:p>
      <w:pPr>
        <w:numPr>
          <w:ilvl w:val="0"/>
          <w:numId w:val="19"/>
        </w:numPr>
        <w:ind w:firstLine="643"/>
        <w:outlineLvl w:val="2"/>
        <w:rPr>
          <w:rFonts w:ascii="Times New Roman" w:hAnsi="Times New Roman" w:cs="仿宋_GB2312"/>
          <w:b/>
          <w:bCs/>
        </w:rPr>
      </w:pPr>
      <w:bookmarkStart w:id="94" w:name="_Toc225353467"/>
      <w:bookmarkStart w:id="95" w:name="_Toc224910883"/>
      <w:r>
        <w:rPr>
          <w:rFonts w:hint="eastAsia" w:ascii="Times New Roman" w:hAnsi="Times New Roman" w:cs="仿宋_GB2312"/>
          <w:b/>
          <w:bCs/>
        </w:rPr>
        <w:t>工业企业实验室化学品管理要求</w:t>
      </w:r>
      <w:bookmarkEnd w:id="94"/>
      <w:bookmarkEnd w:id="9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7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2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人员要求：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（1）实验室人员应具备危险化学品安全使用知识和危险化学品事故应急处置能力，包括：</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1）熟悉实验室危险化学品安全管理制度和应急预案；掌握危险化学品的特性和安全操作规程；</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（2）实验室人员上岗前应接受专业的危险化学品、气瓶等特种设备安全使用和危险化学品、气瓶等特种设备事故 紧急处置能力的培训，考核合格后方可上岗；</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（3）实验室应设专（兼）职安全员。安全员应具备基本的危险化学品管理专业知识和制定、实施实验室安全保障 措施及应急措施的能力；</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（4）外来实习和短期工作人员事先应接受危险化学品相关的安全知识培训。</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《实验室危险化学品安全管理规范第1部分：工业企业》（DB11/T 1191.1-2018）第3.1条～第3.4条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制度要求：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（1）应制定实验室安全管理制度，至少应当包括：</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1）岗位安全责任制度；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2）危险化学品采购、储存、运输、发放、使用和废弃的管理制度；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3）气瓶和气体管线安全管理制度；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4）爆炸性化学品、剧毒化学品和易制爆危险化学品的特殊管理制度；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5）危险化学品安全使用的教育和培训制度；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6）危险化学品事故隐患排查治理和应急管理制度；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7）个体防护装备、消防器材的配备和使用制度；其他必要的安全管理制度。</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（2）应编制危险化学品实验过程和实验设备安全操作规程。</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1191.1-2018）第4.1条～第4.2条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设施设备要求（建构筑物）：</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有可燃气体产生的实验室不应设吊顶；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实验工作区和办公休息区应隔开设置；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实验室的门应向疏散方向开启且采用平开门，不应采用推拉门、卷帘门；</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w:t>
            </w:r>
            <w:r>
              <w:rPr>
                <w:rFonts w:hint="eastAsia" w:ascii="Times New Roman" w:hAnsi="Times New Roman" w:cs="楷体_GB2312"/>
                <w:color w:val="000000" w:themeColor="text1"/>
                <w:sz w:val="24"/>
                <w14:textFill>
                  <w14:solidFill>
                    <w14:schemeClr w14:val="tx1"/>
                  </w14:solidFill>
                </w14:textFill>
              </w:rPr>
              <w:tab/>
            </w:r>
            <w:r>
              <w:rPr>
                <w:rFonts w:hint="eastAsia" w:ascii="Times New Roman" w:hAnsi="Times New Roman" w:cs="楷体_GB2312"/>
                <w:color w:val="000000" w:themeColor="text1"/>
                <w:sz w:val="24"/>
                <w14:textFill>
                  <w14:solidFill>
                    <w14:schemeClr w14:val="tx1"/>
                  </w14:solidFill>
                </w14:textFill>
              </w:rPr>
              <w:t>实验室建筑设施及其他有关安全、防护、疏散的要求应符合JGJ 91 和GB 50016的规定。</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1191.1-2018）第5.1条～第5.4条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设施设备要求（危化品储存柜）：</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危险化学品储存柜设置应避免阳光直晒及靠近暖气等热源，保持通风良好，不宜贴邻实验台设置，也不应放置于地下室。</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1191.1-2018）第5.5条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设施设备要求（气瓶柜或气瓶）：</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使用气体应配置气瓶柜或气瓶防倒链、防倒栏栅等设备。气瓶设置在室外，应设在避雨通风的安全区域。实验室内使用后的氧化性废气、可燃性废气、毒性废气、腐蚀性废气应分别引至合适的处理设备处理。</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1191.1-2018）第5.8条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设施设备要求（通风、防爆要求）：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（1）在使用气体的实验室应设通风机，宜配备氧气含量测报仪；</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（2）在可能散发可燃气体、可燃蒸气的实验室应配备防爆型电气设备。并应设可燃气体测报仪，且与风机联锁。</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1191.1-2018）第5.6条～第5.7条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设施设备要求（应急、防护装备）：</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（1）具有化学灼伤危险的实验室应按照HG 20571的要求设计洗眼器、淋洗器等安全防护措施；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（2）应根据实际需要，在实验室内方便取用的地点设置急救箱或急救包；</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（3）应为作业人员配备符合《个体防护装备配备规范 第1部分：总则》（GB 39800.1）规定的个体防护装备。</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1.《实验室危险化学品安全管理规范 第1部分：工业企业》（DB11/T 1191.1-2018）第5.9条、第5.12条、第5.13条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2.《检测实验室安全 第1部分：总则》（GB/T 27476.1-2014）第5.4.1.2条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设施设备要求（消防设施）：</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（1）应根据 GB17914、GB17915 和 GB17916 中规定的易燃易爆性化学品、腐蚀性化学品和毒害性化学品的灭火 方法，针对实验室使用的化学品的危险性质，在明显和便于取用的位置定位设置以下消防器材：灭火器；灭火毯；砂箱；消防铲；其他必要消防器材。</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（2）实验室用灭火器的类型和数量的配置应符合GB50140 的规定</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1191.1-2018）第5.10条、第5.11条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使用管理要求（采购）：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危险化学品应向具有合法资质的生产、经营单位采购。</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1191.1-2018）第6.1条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使用管理要求（化学品安全技术说明书管理）：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使用的危险化学品应有符合GB/T 16483规定的化学品安全技术说明书。化学品安全技术说明书应妥善保管，并保证实验室人员能方便地获得化学品安全技术说明书。</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1.《实验室危险化学品安全管理规范 第1部分：工业企业》（DB11/T 1191.1-2018）第6.2条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2.《检测实验室安全 第1部分：总则》（GB/T 27476.1-2014）第5.6.1.2条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使用管理要求（安全标签与标识的管理）：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危险化学品包装物上应有符合GB 15258规定的化学品安全标签；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气瓶的颜色标志应符合GB/T 7144和《气瓶安全技术监察规程》（TSG R0006）的要求。气瓶上合格证应有具有充装资质的充装单位名称；</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当危险化学品由原包装物转移或分装到其他包装物内时，转移或分装后的包装物应及时重新粘贴标识；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化学品安全标签脱落后应确认后及时补上，如不能确认，则以废弃化学品处置；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实验室应有明显的安全标识，标识应保持清晰、完整，包括：</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1）符合GB 13690 规定的化学品危险性质的警示标签；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2）符合GB 13495和GB 15630规定的消防安全标志；</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3）符合GB 2894规定的禁止、警告、指令、提示等永久性安全标志。</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1.《实验室危险化学品安全管理规范 第1部分：工业企业》（DB11/T 1191.1-2018）第6.3.1条～第6.3.5条</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2.《检测实验室安全 第1部分：总则》（GB/T 27476.1-2014）第5.4.1.3条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使用管理要求（危险化学品的领用）：</w:t>
            </w:r>
          </w:p>
          <w:p>
            <w:pPr>
              <w:pStyle w:val="31"/>
              <w:tabs>
                <w:tab w:val="left" w:pos="641"/>
              </w:tabs>
              <w:autoSpaceDE w:val="0"/>
              <w:autoSpaceDN w:val="0"/>
              <w:ind w:right="96"/>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（1）危险化学品的发放应有专人负责，并根据实际需要的最低数量发放；</w:t>
            </w:r>
          </w:p>
          <w:p>
            <w:pPr>
              <w:pStyle w:val="31"/>
              <w:tabs>
                <w:tab w:val="left" w:pos="641"/>
              </w:tabs>
              <w:autoSpaceDE w:val="0"/>
              <w:autoSpaceDN w:val="0"/>
              <w:ind w:right="94"/>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（2）危险化学品应注意其使用寿命及气瓶检验有效期，并坚持先入先出的原则；</w:t>
            </w:r>
          </w:p>
          <w:p>
            <w:pPr>
              <w:pStyle w:val="31"/>
              <w:tabs>
                <w:tab w:val="left" w:pos="641"/>
              </w:tabs>
              <w:autoSpaceDE w:val="0"/>
              <w:autoSpaceDN w:val="0"/>
              <w:ind w:right="94"/>
              <w:jc w:val="both"/>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（3）剧毒化学品、爆炸性化学品的领取，应由两人以当</w:t>
            </w:r>
            <w:r>
              <w:rPr>
                <w:rFonts w:hint="eastAsia" w:ascii="Times New Roman" w:hAnsi="Times New Roman" w:eastAsia="仿宋_GB2312"/>
                <w:w w:val="95"/>
                <w:sz w:val="24"/>
                <w:szCs w:val="24"/>
                <w:lang w:eastAsia="zh-CN"/>
              </w:rPr>
              <w:t>日实验的用量领取，如有剩余应在当日退回，并详细记录</w:t>
            </w:r>
            <w:r>
              <w:rPr>
                <w:rFonts w:hint="eastAsia" w:ascii="Times New Roman" w:hAnsi="Times New Roman" w:eastAsia="仿宋_GB2312"/>
                <w:sz w:val="24"/>
                <w:szCs w:val="24"/>
                <w:lang w:eastAsia="zh-CN"/>
              </w:rPr>
              <w:t>退回物品的种类和数量；</w:t>
            </w:r>
          </w:p>
          <w:p>
            <w:pPr>
              <w:spacing w:line="240" w:lineRule="auto"/>
              <w:ind w:firstLine="0" w:firstLineChars="0"/>
              <w:rPr>
                <w:rFonts w:ascii="Times New Roman" w:hAnsi="Times New Roman"/>
                <w:sz w:val="24"/>
              </w:rPr>
            </w:pPr>
            <w:r>
              <w:rPr>
                <w:rFonts w:hint="eastAsia" w:ascii="Times New Roman" w:hAnsi="Times New Roman"/>
                <w:sz w:val="24"/>
              </w:rPr>
              <w:t>（4）领用时应填写危险化学品领用记录，按品种、规格</w:t>
            </w:r>
            <w:r>
              <w:rPr>
                <w:rFonts w:hint="eastAsia" w:ascii="Times New Roman" w:hAnsi="Times New Roman"/>
                <w:w w:val="95"/>
                <w:sz w:val="24"/>
              </w:rPr>
              <w:t>记录购入、发放、退回的日期、单位及经手人、数量以及结存数量和存放地点。领用剧毒化学品、爆炸性化学品和</w:t>
            </w:r>
            <w:r>
              <w:rPr>
                <w:rFonts w:hint="eastAsia" w:ascii="Times New Roman" w:hAnsi="Times New Roman"/>
                <w:sz w:val="24"/>
              </w:rPr>
              <w:t>易制爆危险化学品时还应详细记载用途。</w:t>
            </w:r>
          </w:p>
        </w:tc>
        <w:tc>
          <w:tcPr>
            <w:tcW w:w="3027" w:type="dxa"/>
            <w:vAlign w:val="center"/>
          </w:tcPr>
          <w:p>
            <w:pPr>
              <w:wordWrap w:val="0"/>
              <w:spacing w:line="240" w:lineRule="auto"/>
              <w:ind w:firstLine="0" w:firstLineChars="0"/>
              <w:rPr>
                <w:rFonts w:ascii="Times New Roman" w:hAnsi="Times New Roman"/>
                <w:w w:val="95"/>
                <w:sz w:val="24"/>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1191.1-2018）第6.4.1条～第6.4.4条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使用管理要求（样品管理）：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（1）应有专人对送检样品的管理负责，并对保存期内的样品实施监督；</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（2）送检样品应有标签，样品在实验室的整个期间应保留该标签；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（3）样品应存放在符合送检方要求的专用样品柜或样品间内。</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1191.1-2018）第6.5.1条～第6.5.3条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储存要求（储存条件和方法）：</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（1）需要低温储存的易燃易爆化学品应存放在专用防爆型冰箱内；</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（2）腐蚀性化学品宜单独放在耐腐蚀材料制成的储存柜或容器中；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（3）爆炸性化学品和剧毒化学品应分别单独存放在专用储存柜中；</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（4）其他危险化学品应储存在专用的通风型储存柜内；</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（5）危险化学品的储存可参照 GB 15603、DB11/T 1191.1执行。易燃易爆化学品、腐蚀性化学品、毒害性化学品的储存方法可分别参照GB 17914、GB 17915 和 GB 17916 执行。各类危险化学品不应与相禁忌的化学品混放；</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（6）气瓶应按GB/T16163 和TSG R0006中气体特性进行分类，并分区存放，对可燃性、氧化性的气体应分室存放。气瓶存放时应牢固地直立，并固定，配戴好瓶帽（有防护罩的气瓶除外），套好防震圈。空瓶与重瓶应分区存放，并有分区标志。对不合格气瓶，应单独存放，并加标识；</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（7）危险化学品包装不应泄漏、生锈和损坏，封口应严密，摆放要做到安全、牢固、整齐、合理。不应使用通常用于贮存饮料及生活用品的容器盛放危险化学品；</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（8）实验室储存的危险化学品单一包装容器符合GB 28644.1规定的例外数量或危险化学品单一品种存放量在GB 28644.2规定的有限数量范围内的，在同一储存柜中存放时，无需适用隔离要求。</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spacing w:val="11"/>
                <w:w w:val="95"/>
                <w:sz w:val="24"/>
              </w:rPr>
              <w:t>《</w:t>
            </w: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1191.1-2018）第7.1.1条～第7.1.9条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储存要求（储存限量）：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（1）每间实验室内存放的除压缩气体和液化气体外的危险化学品总量不应超过100L或100kg，其中易燃易爆性化学品的存放总量不应超过50L或50kg，且单一包装容器不应大于25L或25kg；</w:t>
            </w:r>
          </w:p>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（2）每间实验室内存放的氧气和易燃气体不宜超过一瓶或两天的用量。其他气瓶的存放，应控制在最小需求量。</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（3）实验台上易燃液体存放量不应超过一天操作所需数量，剩余化学品应放回适当的储存区；</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（4）实验室内的危险化学品存放总量超过1）中规定的，应在实验室外设符合 DB11/T 1322.2要求的专用储存室、气瓶间或专用仓库。</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《实验室危险化学品安全管理规范第1部分：工业企业》（DB11/T 1191.1-2018）第7.2.1条～第7.2.4条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废弃化学品处置：</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（1）废弃化学品的暂存、转运、储存及利用处置应符合GB 27476.1、GB 27476.5及DB11/T 1368的规定；</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（2）废弃化学品应按照GB/T 31190要求分类收集、贮存；</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（3）废弃化学品应委托有相关危险废物处置利用资质的单位处置。</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1191.1-2018）第8.1条～第8.3条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pStyle w:val="22"/>
              <w:numPr>
                <w:ilvl w:val="0"/>
                <w:numId w:val="24"/>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678" w:type="dxa"/>
            <w:vAlign w:val="center"/>
          </w:tcPr>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应急要求：</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（1）应编制符合GB/T 29639要求的危险化学品事故专项应急预案或现场处置方案；</w:t>
            </w:r>
          </w:p>
          <w:p>
            <w:pPr>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（2）每年应至少组织全体人员进行一次应急预案演练，并做好演练记录。</w:t>
            </w:r>
          </w:p>
        </w:tc>
        <w:tc>
          <w:tcPr>
            <w:tcW w:w="3027" w:type="dxa"/>
            <w:vAlign w:val="center"/>
          </w:tcPr>
          <w:p>
            <w:pPr>
              <w:wordWrap w:val="0"/>
              <w:spacing w:line="240" w:lineRule="auto"/>
              <w:ind w:firstLine="0" w:firstLineChars="0"/>
              <w:rPr>
                <w:rFonts w:ascii="Times New Roman" w:hAnsi="Times New Roman" w:cs="楷体_GB2312"/>
                <w:color w:val="000000" w:themeColor="text1"/>
                <w:sz w:val="24"/>
                <w14:textFill>
                  <w14:solidFill>
                    <w14:schemeClr w14:val="tx1"/>
                  </w14:solidFill>
                </w14:textFill>
              </w:rPr>
            </w:pPr>
            <w:r>
              <w:rPr>
                <w:rFonts w:hint="eastAsia" w:ascii="Times New Roman" w:hAnsi="Times New Roman" w:cs="楷体_GB2312"/>
                <w:color w:val="000000" w:themeColor="text1"/>
                <w:sz w:val="24"/>
                <w14:textFill>
                  <w14:solidFill>
                    <w14:schemeClr w14:val="tx1"/>
                  </w14:solidFill>
                </w14:textFill>
              </w:rPr>
              <w:t>《实验室危险化学品安全管理规范 第1部分：工业企业》（DB11/T 1191.1-2018）第9.1条～第9.2条</w:t>
            </w:r>
          </w:p>
        </w:tc>
      </w:tr>
    </w:tbl>
    <w:p>
      <w:pPr>
        <w:numPr>
          <w:ilvl w:val="0"/>
          <w:numId w:val="19"/>
        </w:numPr>
        <w:ind w:firstLine="643"/>
        <w:outlineLvl w:val="2"/>
        <w:rPr>
          <w:rFonts w:ascii="Times New Roman" w:hAnsi="Times New Roman" w:cs="仿宋_GB2312"/>
          <w:b/>
          <w:bCs/>
        </w:rPr>
      </w:pPr>
      <w:bookmarkStart w:id="96" w:name="_Toc225353468"/>
      <w:bookmarkStart w:id="97" w:name="_Toc224910884"/>
      <w:r>
        <w:rPr>
          <w:rFonts w:hint="eastAsia" w:ascii="Times New Roman" w:hAnsi="Times New Roman" w:cs="仿宋_GB2312"/>
          <w:b/>
          <w:bCs/>
        </w:rPr>
        <w:t>中学实验室化学品管理要求</w:t>
      </w:r>
      <w:bookmarkEnd w:id="96"/>
      <w:bookmarkEnd w:id="9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4721"/>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721"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2772"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机构和人员要求：</w:t>
            </w:r>
          </w:p>
          <w:p>
            <w:pPr>
              <w:pStyle w:val="31"/>
              <w:tabs>
                <w:tab w:val="left" w:pos="644"/>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（1）建立党政主要领导为第一责任人的危险化学品安全管理组织机构，统筹危险化学品的安全管理工作；</w:t>
            </w:r>
          </w:p>
          <w:p>
            <w:pPr>
              <w:pStyle w:val="31"/>
              <w:tabs>
                <w:tab w:val="left" w:pos="644"/>
              </w:tabs>
              <w:autoSpaceDE w:val="0"/>
              <w:autoSpaceDN w:val="0"/>
              <w:jc w:val="both"/>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（2）学校应指定一名副校长协助校长负责实验室危险化学品安全管理工作，设立符合本校特色的危险化学品安全管理部门，并指定专门人员负责学校危险化学品的采购、储存、使用、处置等各环节的管理工作；</w:t>
            </w:r>
          </w:p>
          <w:p>
            <w:pPr>
              <w:pStyle w:val="31"/>
              <w:tabs>
                <w:tab w:val="left" w:pos="644"/>
              </w:tabs>
              <w:autoSpaceDE w:val="0"/>
              <w:autoSpaceDN w:val="0"/>
              <w:jc w:val="both"/>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学校危险化学品安全管理人员、教师和实验员应具备必要的化学专业知识，接受相关法律法规、化学品安全知识、卫生防护和应急救援知识培训，考核合格后方可上岗。教师和实验员应熟悉和了解所使用危险化学品的性质，并备有化学品安全技术说明书（SDS）。开展实验前应做好相应的应急准备，熟悉安全操作规程和应急处置方案。</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《北京市普通中学危险化学品安全管理规范（试行）》第六条～第八条、第二十六条</w:t>
            </w:r>
          </w:p>
          <w:p>
            <w:pPr>
              <w:wordWrap w:val="0"/>
              <w:spacing w:line="240" w:lineRule="auto"/>
              <w:ind w:firstLine="0" w:firstLineChars="0"/>
              <w:rPr>
                <w:rFonts w:ascii="Times New Roman" w:hAnsi="Times New Roman"/>
                <w:kern w:val="0"/>
                <w:sz w:val="24"/>
              </w:rPr>
            </w:pPr>
            <w:r>
              <w:rPr>
                <w:rFonts w:hint="eastAsia" w:ascii="Times New Roman" w:hAnsi="Times New Roman"/>
                <w:kern w:val="0"/>
                <w:sz w:val="24"/>
              </w:rPr>
              <w:t>《北京市普通中学实验室危险化学品安全技术指南（试行）》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安全管理制度要求：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应制定实验室危险化学品安全管理制度。至少包括：</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（1）岗位安全责任制度（实验室管理人员、教师、实验员）；</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（2）学生实验安全守则；</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（3）危险化学品安全隐患排查整改制度；</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（4）危险化学品应急管理制度，包括应急预案和应急处置方案；</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（5）个体防护装备、消防器材的配备和使用制度；</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（6）压缩气瓶的使用管理制度；（不涉及该项可以不列入考评）</w:t>
            </w:r>
          </w:p>
          <w:p>
            <w:pPr>
              <w:spacing w:line="240" w:lineRule="auto"/>
              <w:ind w:firstLine="0" w:firstLineChars="0"/>
              <w:rPr>
                <w:rFonts w:ascii="Times New Roman" w:hAnsi="Times New Roman"/>
                <w:kern w:val="0"/>
                <w:sz w:val="24"/>
              </w:rPr>
            </w:pPr>
            <w:r>
              <w:rPr>
                <w:rFonts w:hint="eastAsia" w:ascii="Times New Roman" w:hAnsi="Times New Roman"/>
                <w:kern w:val="0"/>
                <w:sz w:val="24"/>
              </w:rPr>
              <w:t>（7）其他必要的安全管理制度。</w:t>
            </w:r>
          </w:p>
        </w:tc>
        <w:tc>
          <w:tcPr>
            <w:tcW w:w="2772" w:type="dxa"/>
            <w:vAlign w:val="center"/>
          </w:tcPr>
          <w:p>
            <w:pPr>
              <w:wordWrap w:val="0"/>
              <w:spacing w:line="240" w:lineRule="auto"/>
              <w:ind w:firstLine="0" w:firstLineChars="0"/>
              <w:rPr>
                <w:rFonts w:ascii="Times New Roman" w:hAnsi="Times New Roman"/>
                <w:kern w:val="0"/>
                <w:sz w:val="24"/>
              </w:rPr>
            </w:pPr>
            <w:r>
              <w:rPr>
                <w:rFonts w:hint="eastAsia" w:ascii="Times New Roman" w:hAnsi="Times New Roman"/>
                <w:kern w:val="0"/>
                <w:sz w:val="24"/>
              </w:rPr>
              <w:t>《北京市普通中学危险化学品安全管理规范（试行）》第九条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操作规程要求：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（1）应制定实验安全操作规程（涉及危险化学品的实验清单）：</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（2）应结合实际情况，编制各项实验的安全操作规程；</w:t>
            </w:r>
          </w:p>
          <w:p>
            <w:pPr>
              <w:pStyle w:val="31"/>
              <w:tabs>
                <w:tab w:val="left" w:pos="641"/>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（3）实验条件发生变化后应及时修订或更新实验安全操作规程；</w:t>
            </w:r>
          </w:p>
          <w:p>
            <w:pPr>
              <w:pStyle w:val="31"/>
              <w:tabs>
                <w:tab w:val="left" w:pos="644"/>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（3）安全操作规程至少包括以下内容：危险警示；操作过程；注意事项；应急处理办法及措施。</w:t>
            </w:r>
          </w:p>
        </w:tc>
        <w:tc>
          <w:tcPr>
            <w:tcW w:w="2772" w:type="dxa"/>
            <w:vAlign w:val="center"/>
          </w:tcPr>
          <w:p>
            <w:pPr>
              <w:wordWrap w:val="0"/>
              <w:spacing w:line="240" w:lineRule="auto"/>
              <w:ind w:firstLine="0" w:firstLineChars="0"/>
              <w:rPr>
                <w:rFonts w:ascii="Times New Roman" w:hAnsi="Times New Roman"/>
                <w:kern w:val="0"/>
                <w:sz w:val="24"/>
              </w:rPr>
            </w:pPr>
            <w:r>
              <w:rPr>
                <w:rFonts w:hint="eastAsia" w:ascii="Times New Roman" w:hAnsi="Times New Roman"/>
                <w:kern w:val="0"/>
                <w:sz w:val="24"/>
              </w:rPr>
              <w:t>《北京市普通中学实验室危险化学品安全技术指南（试行）》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危化品采购要求：</w:t>
            </w:r>
          </w:p>
          <w:p>
            <w:pPr>
              <w:pStyle w:val="31"/>
              <w:tabs>
                <w:tab w:val="left" w:pos="644"/>
              </w:tabs>
              <w:autoSpaceDE w:val="0"/>
              <w:autoSpaceDN w:val="0"/>
              <w:jc w:val="both"/>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（1）应向具有合法资质的生产经营单位采购危险化学品。购买纳入法规管控的易制毒化学品、易制爆危险化学品，应按照有关规定向当地公安部门办理相关手续；</w:t>
            </w:r>
          </w:p>
          <w:p>
            <w:pPr>
              <w:pStyle w:val="31"/>
              <w:tabs>
                <w:tab w:val="left" w:pos="644"/>
              </w:tabs>
              <w:autoSpaceDE w:val="0"/>
              <w:autoSpaceDN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（2）学校应根据课程标准和教学需求采购危险化学品，危险化学品采购量应不超过一学期使用量，学校应保存危险化学品采购记录；</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（3）学校应向危险化学品生产经营单位索取符合国家标准的安全技术说明书（SDS）。安全技术说明书（SDS）应妥善保管，并保证方便获得。</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《北京市普通中学危险化学品安全管理规范（试行）》第十条～第十二条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储存室要求（建筑物）</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学校应建立危险化学品专用储存室。危险化学品储存室基本要求：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（1）学校应设置专用储存室，统一保管各学科使用的危险化学品；</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（2）危险化学品储存室应单建或建于教学楼外墙一侧，不应设在教学楼内，也不能设在楼内地下室；</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（3）危险化学品储存室应单独设置在实验楼内，不得与宿舍、食堂在同一建筑物内，不应设置在地下或半地下建（构）筑物内；</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（4）危险化学品储存室应单独设置，不应与仪器室、设备间或准备室共用；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（5）危险化学品储存室面积不应低于8m</w:t>
            </w:r>
            <w:r>
              <w:rPr>
                <w:rFonts w:hint="eastAsia" w:ascii="Times New Roman" w:hAnsi="Times New Roman" w:eastAsia="仿宋_GB2312"/>
                <w:sz w:val="24"/>
                <w:szCs w:val="24"/>
                <w:vertAlign w:val="superscript"/>
                <w:lang w:eastAsia="zh-CN"/>
              </w:rPr>
              <w:t>2</w:t>
            </w:r>
            <w:r>
              <w:rPr>
                <w:rFonts w:hint="eastAsia" w:ascii="Times New Roman" w:hAnsi="Times New Roman" w:eastAsia="仿宋_GB2312"/>
                <w:sz w:val="24"/>
                <w:szCs w:val="24"/>
                <w:lang w:eastAsia="zh-CN"/>
              </w:rPr>
              <w:t>，防止阳光直射，并远离热源。</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1.《北京市普通中学危险化学品安全管理规范（试行）》第十三条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3.《教学实验用危险固体、液体的使用与保管》（GB/T 28920-2012）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储存室要求（警示标识）：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危险化学品储存室应由专人负责管理，并设置明显的安全警示标识。包括：化学品危险性质的警示标识，消防安全标识，治安防范标识，禁止、警告、指令、指示等安全标识。标识应保持清晰、完整。</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1.《北京市普通中学危险化学品安全管理规范（试行）》第十四条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储存室要求（安全和消防设施）：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（1）危险化学品储存室应设置必要的安全和消防设施设备；</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（2）危险化学品储存室外墙的高、低处应各有一个向外的通风设备，危险化学品储存柜的通风应与储存室的对外通风相联；</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（3）存有可能散发易燃易爆、有毒有害气体或蒸气的危险化学品储存室应设置符合GB/T 50493要求的报警器；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（4）储存室地面应平整、防滑、防静电，不应设地沟、暗道；</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储存室应在明显位置和便于取用的地点配备与易燃易爆物质、腐蚀性物质和毒害性物质等相应的消防器材，包括：灭火器、灭火毯、消防砂及其他必要消防器材。且不得影响安全疏散。对有视线障碍的消防器材设置点，应设置指示其位置的发光标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（6）储存室或危险化学品储存柜应上双锁，并由两个人分别保管钥匙。</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1.《北京市普通中学危险化学品安全管理规范（试行）》第十五条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危险化学品存放要求（危化品和气瓶）：</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危险化学品应当分类存放，对于化学性质互相禁忌的危险化学品，应分开存放。具体要求：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（1）存储的危险化学品总量不应超过一学期使用量，且总量不应超过100L（kg）；</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（2）一般化学品与危险化学品同室储存的，应分柜存放并标识，张贴品类明细；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（3）危险化学品应储存在具有通风功能的储存柜内，并采取防静电措施；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（4）腐蚀性化学品应存放在具有防腐蚀功能的储存柜内，并配有防遗洒托盘；</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（5）危险化学品存放应坚持分类、分柜、分层以及固体在上、液体在下的原则；</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（6）危险化学品包装不应泄漏、生锈和损坏，封口应严密，摆放应做到安全、合理、整齐。不应使用非专用容器（储存饮料及生活用品等的容器）盛放危险化学品；</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（7）气瓶应按GB/T34525的要求存放，对可燃性、氧化性的气体应分室存放。气瓶存放时应牢固地直立，并固定，盖上瓶帽，套好防震圈。空瓶与实瓶应分区存放，并有明显的区域和标志，严禁分装、倒瓶。</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1.《北京市普通中学危险化学品安全管理规范（试行）》第十六条、第十七条、第十九条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危险化学品存放要求（易燃易爆）：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（1）存放易制爆危险化学品储存场所，应当安装必要的治安防范设施，张贴治安防范标识，防止盗抢或丢失；</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（2）易燃易爆等危险化学品储存室应有实体防护措施，应设置入侵报警装置；</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（3）易燃易爆等危险化学品实验室应有实体防护措施，应设置入侵报警装置。</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1.《北京市普通中学危险化学品安全管理规范（试行）》第十八条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2.《中小学、幼儿园安全技术防范系统要求》（GB/T 29315-2012）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存储管理要求：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学校应定期对危险化学品进行清点和处置，并统计上报危险化学品品种、数量。登记资料至少保存一年。</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1.《北京市普通中学危险化学品安全管理规范（试行）》第二十条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领用管理要求：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教师或实验员领用危险化学品时，应以满足当次实验用量为准，不得让学生代领。实验结束后，应由教师或实验员将剩余危险化学品交回储存室并作好记录。</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《北京市普通中学危险化学品安全管理规范（试行）》第二十一、二十二条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分装或稀释：</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自行分装或稀释配制的化学试剂应粘贴清晰的标签。</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实验准备室、实验室应根据危险化学品种类和危险特性，设置必要的通风、监控等安全设施设备及明显的安全警示标识。安全设施设备应定期检查、维护，保证正常使用。</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《北京市普通中学危险化学品安全管理规范（试行）》第二十四条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实验室应急处置设施：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涉及强酸、强碱等危险化学品的实验准备室、实验室，应在适当位置设置洗眼器和紧急喷淋装置，并定期维护。洗眼器、喷淋装置的服务半径不应大于15m。</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实验室应在方便取用的地点设置急救箱或急救包，配备必要的急救药品、绷带、纱布、消毒药剂等。</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1.《北京市普通中学危险化学品安全管理规范（试行）》第二十五条、第二十九条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实验个体防护要求：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开展实验操作的教师、实验员和学生应做好个体防护，穿戴实验服、防护眼镜及其它必要的安全防护用品。</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实验室消防设施要求：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实验准备室、实验室的消防器材应设置在位置明显和便于取用的地点，且不得影响安全疏散。对有视线障碍的消防器材设置点，应设置指示其位置的发光标识。</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危险化学品实验操作相关要求：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开展实验操作的教师、实验员和学生应做好个体防护，穿戴实验服、防护眼镜及其它必要的安全防护用品；（操作时应按照制造商的使用说明穿戴适当的个人防护用品，应禁止一切直接接触，操作后用肥皂和清水彻底清洗身体暴露部位。）</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（2）进行化学实验前应及时开启抽排风设备；</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（3）自行分装或稀释配制的化学试剂应粘贴清晰的标签，液体试剂标签应注明化学品名称和浓度，固体药品应注明化学名称；</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（4）进入实验室的学生，应接受相应的安全教育，掌握基本的安全知识，主要包括：</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1）学生实验安全守则；</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2）实验安全操作规程；</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3）个体防护用品使用；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4）实验室常用仪器使用；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5）危险化学品基础知识；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6）实验室安全事故处理基本常识；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7）其他安全知识。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（5）搬运时应轻拿轻放，摆放稳妥，防止相互间撞击、摩擦和倾倒；</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（6）互相接触容易引起燃烧、爆炸或造成其他危险的化学危险品，以及化学性质或防护、灭火方法互相抵触的化学危险品，不应同时混合搬运；</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7）搬运气瓶不应抛滚、滑、翻；使用时应立放并有防倾倒措施，应用手或专用扳手操作瓶阀；使用氧气或其他强氧化性气体的气瓶不应沾染油脂或其他可燃物，使用人员的工作服、手套和装卸工具、机具上不应沾有油脂；不应靠近热源；瓶内气体不应用尽，应留有余压；</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（8）实验准备室、实验室内应禁止进食和饮用；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（9）实验过程中应严格执行实验安全操作规程。</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1.《教学实验用危险固体、液体的使用与保管》（GB/T 28920-2012）</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2.《气瓶搬运、装卸、储存和使用安全规定》（GB/T 34525-2017）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危化品废弃处置要求：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（1）未经使用的，伪劣、过期、失效的以及需要抛弃、淘汰的危险化学品应分类收集，妥善保管。处置易制爆危险化学品，应遵守治安管理有关规定；</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（2）危险废物应和非危险废物严格区分，禁止将危险废物混入非危险废物中；</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（3）产生危险废物的实验室应设置专用内部暂存区，暂存区内原则上存放本实验室产生的危险废物，存放两种及以上不相容危</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险废物时，应分不同区域暂存。暂存区外边界地面应施划3厘米宽的黄色实线，并按GB 15562.2规定设置危险废物警示标志；</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（4）暂存区应按照GB 18597要求建设防遗撒、防渗漏设施，或采取防溢容器作为防遗撒、防渗漏措施；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（5）实验室管理人员应对暂存区收集容器和防溢容器密封、破损、泄漏情况，标签粘贴及投放登记表填写情况，以及贮存期限等定期检查；</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（6）暂存区内的危险废物原则上应日产日清，最长不应超过30天。学校应将暂存的危险废物及时委托具有相关危险废物处置利用资质的单位进行处置；</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（7）废弃气瓶应交由气体生产单位或危险气体处理单位回收处理，不得随意丢弃。</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1.《北京市普通中学危险化学品安全管理规范（试行）》第三十条～第三十二条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2.《北京市普通中学实验室危险化学品安全技术指南（试行）》</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3.《实验室危险废物污染防治技术规范》（DB11/T 1368-2016）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应急管理要求：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（1）学校应成立危险化学品事故应急救援组织，并配备必要的应急救援器材、设备，组织编写危险化学品事故应急预案；</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（2）学校应每半年至少组织一次危险化学品事故应急演练。学校应对应急预案演练效果进行评估，撰写演练评估报告，分析存在的问题，并对应急预案提出修订意见；</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（3）实验室人员应掌握化学品撒漏、初起火灾等常见事故的应急处置方法。掌握灭火器、灭火毯、消防砂的使用技能。熟知常用洗消药剂的配置方法。</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1.《北京市普通中学危险化学品安全管理规范（试行）》第三十三条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2.《北京市普通中学危险化学品安全管理规范（试行）》第三十四条、第三十五条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3.《生产安全事故应急演练评估规范》（AQ/T 9009-2015）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3" w:type="dxa"/>
            <w:vAlign w:val="center"/>
          </w:tcPr>
          <w:p>
            <w:pPr>
              <w:pStyle w:val="22"/>
              <w:numPr>
                <w:ilvl w:val="0"/>
                <w:numId w:val="25"/>
              </w:numPr>
              <w:ind w:firstLineChars="0"/>
              <w:jc w:val="center"/>
              <w:rPr>
                <w:rFonts w:ascii="Times New Roman" w:hAnsi="Times New Roman" w:cs="楷体_GB2312"/>
                <w:color w:val="000000" w:themeColor="text1"/>
                <w:sz w:val="24"/>
                <w14:textFill>
                  <w14:solidFill>
                    <w14:schemeClr w14:val="tx1"/>
                  </w14:solidFill>
                </w14:textFill>
              </w:rPr>
            </w:pPr>
          </w:p>
        </w:tc>
        <w:tc>
          <w:tcPr>
            <w:tcW w:w="4721"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日常安全检查：</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学校应定期开展危险化学品安全检查，排查安全隐患，并做好检查及隐患整改记录。</w:t>
            </w:r>
          </w:p>
        </w:tc>
        <w:tc>
          <w:tcPr>
            <w:tcW w:w="2772"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《北京市普通中学危险化学品安全管理规范（试行）》第三十七条</w:t>
            </w:r>
          </w:p>
        </w:tc>
      </w:tr>
    </w:tbl>
    <w:p>
      <w:pPr>
        <w:numPr>
          <w:ilvl w:val="0"/>
          <w:numId w:val="19"/>
        </w:numPr>
        <w:ind w:firstLine="643"/>
        <w:outlineLvl w:val="2"/>
        <w:rPr>
          <w:rFonts w:ascii="Times New Roman" w:hAnsi="Times New Roman" w:cs="仿宋_GB2312"/>
          <w:b/>
          <w:bCs/>
        </w:rPr>
      </w:pPr>
      <w:bookmarkStart w:id="98" w:name="_Toc224910885"/>
      <w:bookmarkStart w:id="99" w:name="_Toc225353469"/>
      <w:r>
        <w:rPr>
          <w:rFonts w:hint="eastAsia" w:ascii="Times New Roman" w:hAnsi="Times New Roman" w:cs="仿宋_GB2312"/>
          <w:b/>
          <w:bCs/>
        </w:rPr>
        <w:t>检测实验室化学品管理要求</w:t>
      </w:r>
      <w:bookmarkEnd w:id="98"/>
      <w:bookmarkEnd w:id="99"/>
    </w:p>
    <w:tbl>
      <w:tblPr>
        <w:tblStyle w:val="16"/>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3027"/>
        <w:gridCol w:w="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8" w:type="dxa"/>
        </w:trPr>
        <w:tc>
          <w:tcPr>
            <w:tcW w:w="81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7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2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实验室应制订详细的、可操作的安全管理制度和操作规范。责任落实到人，严格执行操作规范。</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《化学品理化及其危险性检测实验室安全要求》（GB/T24777-2009）第3.1.1条、第3.1.2条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实验室应对工作人员进行上岗前的安全教育，并每年进行化学安全防护知识培训。</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实验室应根据可能出现的实验室事故，制订实验室事故应急处理程序或预案，如放射性、有毒、有害气体及腐蚀性物质泄漏；检出的重大有毒有害物质、样品的处理等。</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24777-2009）第3.1.9条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实验室建筑应为一、二级耐火等级，防火间距、安全出口等应符合 GB 50016的要求，涉及爆炸品检测的实验室应符合 GB 50089的要求。</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有易燃、易爆、蒸气和气体散逸的实验室，电气设备应符合防爆要求。测量、控制和实验室用电气设备的安全要求应符合GB 4793的相关规定，爆炸性气体环境用电气设备应符合GB 3836要求。</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实验室的防雷设计应符合GB 50057的要求。</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涉及爆炸物、易燃液体、易燃气体等易燃易爆物质的仪器设备、操作台等应采取接地、惰性气体 保护、安装人体静电导除装置等防静电措施。</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实验室应在适当的位置加贴明显的危险标识（如国际通用的有毒、有害、危险等标识）。</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《化学品理化及其危险性检测实验室安全要求》GB/T24777-2009）第3.1.7条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实验室应根据可能出现的火灾类型配备合适的灭火器材并组织相关人员定期演练。</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《化学品理化及其危险性检测实验室安全要求》GB/T24777-2009）第3.1.10条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危险化学品包括爆炸物、易燃气溶胶、氧化性气体、压力下气体、易燃液体、易燃固体、自反应物质、自燃液体遇水放出易燃气体的物质、金属腐蚀物、氧化性液体、氧化性固体、有机过氧化物、有毒有 害物质等，各类危险化学品的分类和危险性公示应符合GB 13690的要求。</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《化学品理化及其危险性检测实验室安全要求》GB/T24777-2009）第3.2.1条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1.实验室应根据化学品的性质，结合其使用、存储、废弃的特点进行管理。2.设立化学品管理人员，建立相关化学品的管理程序和取用记录，并做好化学品存储的安全总量控制。</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《化学品理化及其危险性检测实验室安全要求》GB/T24777-2009）第3.2.2条、第3.2.2.1条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实验室应向相关人员介绍实验室内的化学试剂，并为他们提供每一种化学试剂的安全数据单（SDS）。实验室工作人员应能方便的获得这些化学试剂的安全数据单，并熟悉每种化学试剂的特性。</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在使用化学试剂前，试验人员应熟悉该试剂的安全使用规则、废弃处理原则以及意外情况发生后正确的处理措施等。使用有腐蚀性、毒性、易燃和不稳定的化学试剂之前，应遵守相应的管理规定。</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化学试剂应按照其类别（如自燃性、氧化性、腐蚀性、易燃性和毒性等）存放，化学品的存放可参照GB 15603执行。</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有危害的液体试剂应使用有边缘保护的托盘存放。所有盛装危险化学试剂的容器都应有清晰的标签，标签应符合GB 15258的要求。试剂在使用后应放回原来的位置。</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剧毒化学品、爆炸品要双人、双锁保管。领用时要实行专人审批、限量发放、双人监督配制等。称量和使用时要有安全防护措施。</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遇火、遇热、遇潮能引起燃烧、爆炸或发生化学反应，产生有毒气体的化学品应注意防火、防热、防潮、防水。受日光照射能发生化学反应引起燃烧、爆炸、分解、化合或能产生有毒气体的化学品应注意避光。</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24777-2009）第3.2.2.6条、第3.2.2.7条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爆炸物在试验时应轻拿轻放，避免由于摩擦、振动、撞击发生爆炸。爆炸品应单独隔离限量贮存，实验室的存放量不宜过大，如果存放量较大，应存放于独立的仓库之内。仓库的选址、安全距离应符合GB 50089的要求。</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压缩气体和液化气体应与爆炸品、氧化剂、易燃物、自燃物、腐蚀物隔离贮存。易燃气体应与助燃气体、剧毒气体隔离贮存；氧气应与油脂隔离贮存，盛装液化气体的容器属压力容器的，必须有压力表、安全阀、紧急切断装置，并定期检查，不得超装。</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易燃液体、遇湿易燃物品、易燃固体不得与氧化剂混合贮存，具有还原性的氧化剂应单独存放。</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有毒物品应贮存在阴凉、通风、干燥的场所，不宜露天存放，不宜接近酸类物质。</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腐蚀性物品，应严密包装，避免泄漏，严与液化气体和其他物品共存。</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1.实验室如果使用放射性试剂，应制定放射性试剂操作程序，该程序应包括对以下内容的详细说明：（1）使用放射性试剂的地方应有显著的标识（包括提示、警告和禁止）；</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（2）出现放射性事故时应采取的行动和处理措施；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（3）使用放射性试剂区域和未使用放射性试剂区域的划分；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（4）未使用放射性试剂区域被放射性试剂污染的处理措施；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（5）放射性试剂使用区域日常清洁和消毒的程序和方法。</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2.所有与放射性试剂相关的人员都应接受放射性技术、放射性保护方面的指导和培训，遵守放射性试剂操作程序；</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3.实验室应任命至少一名放射性物质保护员和多名放射性物质保护监督员；</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4.在使用放射性试剂前，实验室应对使用目的、范围和地点进行评价。</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24777-2009）第3.2.2.13条～第3.2.2.16条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6"/>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废弃物处理：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（1）实验室应建立管理废弃物的制度和程序，该制度和程序应满足国家或地方的相关法律法规要求，还应包括废弃物的堆放和处置等方面的管理；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（2）废液、废气、废渣等废弃物应分类收集、存放和集中处理，确保不扩大污染，避免交叉污染。存放废弃物的容器、冰箱等，应加贴通用的危险标识；</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实验室应制定专人协调和负责处理废弃物。应确保废弃物只能由经过培训的人员处理，同时应采用适当的人员防护设备。无法在实验室妥善处理的剧毒品、致癌性废弃物应交环保部门或其他有资质的单位统一处理，并做好处理记录。</w:t>
            </w:r>
          </w:p>
        </w:tc>
        <w:tc>
          <w:tcPr>
            <w:tcW w:w="3125" w:type="dxa"/>
            <w:gridSpan w:val="2"/>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《化学品理化及其危险性检测实验室安全要求》（GB/T 24777-2009）第3.3节</w:t>
            </w:r>
          </w:p>
        </w:tc>
      </w:tr>
    </w:tbl>
    <w:p>
      <w:pPr>
        <w:numPr>
          <w:ilvl w:val="0"/>
          <w:numId w:val="19"/>
        </w:numPr>
        <w:ind w:firstLine="643"/>
        <w:outlineLvl w:val="2"/>
        <w:rPr>
          <w:rFonts w:ascii="Times New Roman" w:hAnsi="Times New Roman" w:cs="仿宋_GB2312"/>
          <w:b/>
          <w:bCs/>
        </w:rPr>
      </w:pPr>
      <w:bookmarkStart w:id="100" w:name="_Toc225353470"/>
      <w:bookmarkStart w:id="101" w:name="_Toc224910886"/>
      <w:r>
        <w:rPr>
          <w:rFonts w:hint="eastAsia" w:ascii="Times New Roman" w:hAnsi="Times New Roman" w:cs="仿宋_GB2312"/>
          <w:b/>
          <w:bCs/>
        </w:rPr>
        <w:t>检验检疫实验室化学品管理要求</w:t>
      </w:r>
      <w:bookmarkEnd w:id="100"/>
      <w:bookmarkEnd w:id="101"/>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678"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027"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检验检疫实验室应建立危险品管理小组（无论何种称谓），负责危险品日常管理和监督检查工作，该小组独立于实验室危险品使用部门。</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4495-2016）第4.1节（组</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实验室应制定危险品管理程序，规范实验室内危险品的采购、验收、保存、领用、使用、处置方法和管理要求，以及危险品应急事故的处理，并落实相关部门及人员的职责。</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4495-2016）第4.2节（管理程序）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1.实验室应建立危险品管理台账，确保危险品从采购到处置的各个环节均得到有效控制，按规定保存相关记录；</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2.实验室应建立完善的危险化学物质保存记录，包括危险化学物质名称（包括通用名）、CAS号、规格、浓度（纯度）、级别、数量、生产日期、有效期、开封日期、保存地点等；</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实验室人员使用危险品时，应向保管员领取，并登记领取危险品的品名、数量、剩余数量、领用人等信息。未使用完、性能未改变且不影响下次使用的危险品，应归还仓库保存，并做好相应入库记录。剧毒化学品实行双人领用登记制度；</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4.所有废弃物的处理和处置，均应保存处理和处置记录。</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1.《检验检疫实验室危险品管理规范》（SN/T 4495-2016）第4.3节（记录）、第7.2.2条、第8.1.1条、第9.1.4条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2《检验检疫实验室管理 第5部分：危险化学品安全管理指南》（SN/T 2294.5-2011）第5.4节、第5.5节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实验室应确保涉及危险品的各岗位人员得到有效培训，培训合格后方可从事相应工作。法律法规规定须持证操作特定设备和危险品的，应确保相关人员得到相应资质。培训内容应包括：</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（1）危险品特性和危害；</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（2）安全使用和防护方法；</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（3）应急处置方法；</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（4）相关法律法规和本单位规范性文件。</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4495-2016）第4.4节（人员）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实验室用有与危险品储存和使用相适应并便于使用的安全防护装备及设施，并应定期进行功能检查并保存相关记录。如：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（1）个人防护装备；</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（2）毒气报警器；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（3）洗眼器；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（4）烟雾报警器；</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（5）紧急喷淋装置；</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（6）灭火器。</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4495-2016）第4.5节（安全防护装备与设施）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存放和使用危险品的区域应给与明确标识，并安装醒目警示词或警示标识。化学危险品的警示词可按SN/T 2294.5-2011的规定制定。</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4495-2016）第4.6节（警示标识）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实验室应按照GB 6944的分类要求识别实验室危险品类别，并列出实验室危险品控制清单。列入实验室危险品清单的物品，宜在其包装或主体上用醒目标识进行有效区分和识别。</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4495-2016）第5章（实验室危险品的识别）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危险品采购应由使用部门提出采购申请，经相关负责人审核批准后由采购部门设施采购。采购申请应明确危险品名称、纯度（浓度）、级别等技术信息。剧毒化学品、易制毒化学品的采购应由实验室最高管理者审批；</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2.易制毒化学品应按照《易制毒化学品管理条例》要求，向当地人民政府公安机关报批后方可实施采购；</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3.剧毒化学品的采购应具备《剧毒化学品购买凭证》或《剧毒化学品准购证》；</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4.实验室应建立固定的危险品供货渠道，选择有资质的危险品供应商，并定期对危险品生产商和供应商进行评价；</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危险品到货时，应对其品名、成分、浓度、规格、数量、保存期限、生产商信息、产品合格证明、不确定度（适用时）、编号（适用时）等进行核对。检查包装有无变形、泄漏或破损。实验室应保存相关验收记录。</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4495-2016）第6.1节（采购）、第6.2节（供应商）、第6.3节（验收）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储存与保管：</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（1）实验室应指定专人负责危险品的分类保管和登记。危险品入库时应进行核查和登记。库存危险品应进行定期检查，每年至少进行一次全面盘点；</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（2）实验室应根据危险品的有效期和实验室的日常需求用量设置安全库存量，实验室的实际库存量不得高于安全库存量；</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（3）两种物质性质相互抵触或容易产生反应的危险品，不得同库储存；</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（4）应保持危险品的标签完整。</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1.《检验检疫实验室危险品管理规范》（SN/T 4495-2016）第7章（储存与保管）第7.1节（一般规定）</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2《检验检疫实验室管理 第5部分：危险化学品安全管理指南》（SN/T 2294.5-2011）第5.5.3条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储存实验室危险化学物质的仓库应保持良好通风、阴凉、避免阳光直射。远离火源、热源和可燃物。必要时安装防爆照明设施、防爆开关以及摄像监控设备。储存温度一般要求低于30℃，对保存温度有特殊要求的，按要求保存，并监控环境温度。</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4495-2016）第7.2.1.1条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实验室爆炸品应与易燃物、氧化剂等物质实施有效隔离。料架需用砖和水泥砌成，设置储存槽，槽内放消防沙，试剂置于消防沙中保存。</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4495-2016）第7.2.1.2条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实验室易燃液体要求单独存放，存放温度以4℃为宜。易燃固体应注意防水、防潮，其封口需气密。对于缓慢氧化能自燃的物品，包装应能通风散热。</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4495-2016）第7.2.1.3条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1.实验室压缩气体和液化气体应使用特殊耐压容器或绝热耐压容器储存，存放在单独的房间或气瓶柜内，并定期检查容器、阀门的气密性；</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2.气瓶要有瓶帽；气瓶竖直放置时应采取防倾倒措施，严禁敲击、碰撞；</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3.不可靠近热源，可燃助燃气瓶使用时与明火距离不得小于10m；</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4.性质相抵触能引起燃烧、爆炸的气瓶要分开存放；</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5.压缩气罐和液化气罐不应放到散热器、明火或其他热源附近，或能打出火花的电器附近，或阳光直射处；</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6.不得使用过期未检验的气瓶。使用中发现有严重腐蚀和损伤的气瓶，应提前进行检验；</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7.气瓶内其他不能用尽，应留有剩余压力。</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1.《检验检疫实验室危险品管理规范》（SN/T 4495-2016）第7.2.1.4条</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2《检验检疫实验室管理 第5部分：危险化学品安全管理指南》（SN/T 2294.5-2011）第5.5.5条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实验室氧化性物质包括氧化剂和有机过氧化物等，其储存应防止受潮，并于可燃物、有机物、酸性腐蚀液体、硫磺、金属粉末等物品隔离，防止火花、明火、静电、热源和摩擦。</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4495-2016）第7.2.1.5条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实验室剧毒物品应放置在专用的毒品柜中。储存仓库须配备防盗报警设备。实验室剧毒物品严格实行双人双锁保管制度。</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4495-2016）第7.2.1.6</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实验室腐蚀性物质应与其他药品隔离放置。应选用抗腐蚀性的材料、耐酸材料制成的试剂架存放。料架不宜过高。</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4495-2016）第7.2.1.7条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实验室人员应在特定的工作区域内使用危险品。操作危险品时要穿着防护服，佩戴必要的防护手套和防护眼镜，必要时佩戴防毒面具。操作剧毒化学品的人员，不得穿着工作服进入实验室以外的区域。</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4495-2016）第8.1.2条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工作区域内禁止饮食、抽烟，禁止用戴手套的手接触眼、口和暴露的皮肤，禁止涂抹化妆品；2.皮肤暴露部位伤口未愈的，应暂时停止危险品的使用工作；3.严禁用嘴吸取任何物质；4.工作结束后，危险品操作人员应及时用肥皂和流动水清洗手、脸以及其他暴露部位。使用过的防护用品应及时清洗，使用过的一次性防护用品应集中存放以免误用。</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4495-2016）第8.1.3条～第8.1.6条。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实验室应按照SN/T 2294.5-2011中第6章的规定进行操作，</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4495-2016）第8.2节（危险化学物质）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废弃：</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如废弃物为多种危险化学物质的混合物，实验室应根据废弃物的实际组成确定其危险特性，选择适当的处置方法。化学废物应使用合适的容器收集存储，该容器应根据废物类型明确标识。同时在使用前容器需进行净化去污处理。相互之间能发生反应的废物不应一起存放：（2）含重金属、剧毒物质的废液，应分类收集于固定容器中，加贴明显标识，定期交由有资质的机构代为处理。若可行，应通过化学反应降低废液毒性，例如利用酸碱中和、生成沉淀等方式进行适当的处置；3）一般无毒害和无机化合物废液，可经大量清水稀释后经由下水道排放；</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含有机溶液的废液，若回收后可获得稳定组成，且可进行再次利用的，应尽量回收有机溶剂。无法回收的有机废液，应分类收集于固定容器中，加贴明显标识，定期交由有资质的机构代为处置；（5）实验室应根据固体废弃物和液体废弃物的不同危险特性，按照危险品储存要求选择适当的储存环境。存放化学废物的容器应置于通风良好且便于运送的区域。存放废物的区域应具有防烟、防火等设施，必要时增加防火隔离设施。</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1.《检验检疫实验室危险品管理规范》（SN/T 4495-2016）第9.2节（危险化学物质）</w:t>
            </w:r>
          </w:p>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2.《检验实验室安全第5 部分：化学因素》（GB/T 27476.5-2014）第5.6.3.1 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事故处置：</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（1）实验室应制定危险品事故应急预案，配备应急救援人员和必要的应急救援器材和处置设备，并定期组织应急救援演练；</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（2）发生危险化学物质的事故，应根据《危险化学品安全管理条例》第七十二条的要求执行。急救方案可按SN/T 2294.4-2011中附录D的规定实施；</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（3）剧毒化学品、易制爆危险化学品丢失或被盗，应立即向当地公安机关报告；</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（4）发生易制毒化学品丢失、被盗和被抢的情况，应依据《易制毒化学品管理条例》第三十四条的规定执行。</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《检验检疫实验室危险品管理规范》（SN/T 4495-2016）第10.1节、第10.2节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2"/>
              <w:numPr>
                <w:ilvl w:val="0"/>
                <w:numId w:val="27"/>
              </w:numPr>
              <w:ind w:firstLineChars="0"/>
              <w:jc w:val="center"/>
              <w:rPr>
                <w:rFonts w:ascii="Times New Roman" w:hAnsi="Times New Roman" w:cs="楷体_GB2312"/>
                <w:color w:val="000000" w:themeColor="text1"/>
                <w:sz w:val="24"/>
                <w14:textFill>
                  <w14:solidFill>
                    <w14:schemeClr w14:val="tx1"/>
                  </w14:solidFill>
                </w14:textFill>
              </w:rPr>
            </w:pPr>
          </w:p>
        </w:tc>
        <w:tc>
          <w:tcPr>
            <w:tcW w:w="4678"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实验室化学品存储量：</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实验室开放存储化学品的量：应与实验室操作的最小用量相一致。用完后，应放回存储柜。对于特殊类别的化学品，由于毒性或管理要求，可增加额外的存储要求。对纳入法规管控的化学品（如剧毒、易制毒、易制爆）应增加附加的存储要求；</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（2）存储柜化学品存储量：实验室存储柜化学品存储量宜按最小使用量储存；</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（3）独立存储间化学品存储量：化学品独立存储间应位于实验区底层或隔离的独立房间。对于位于其他区域楼层的存储间应对其风险性进行评价。</w:t>
            </w:r>
          </w:p>
        </w:tc>
        <w:tc>
          <w:tcPr>
            <w:tcW w:w="3027"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《检验实验室安全第5部分：化学因素》（GB/T 27476.5-2014）第5.6.2.6节</w:t>
            </w:r>
          </w:p>
        </w:tc>
      </w:tr>
    </w:tbl>
    <w:p>
      <w:pPr>
        <w:numPr>
          <w:ilvl w:val="0"/>
          <w:numId w:val="9"/>
        </w:numPr>
        <w:ind w:firstLine="643"/>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02" w:name="_Toc224910887"/>
      <w:bookmarkStart w:id="103" w:name="_Toc225353471"/>
      <w:r>
        <w:rPr>
          <w:rFonts w:hint="eastAsia" w:ascii="Times New Roman" w:hAnsi="Times New Roman" w:eastAsia="楷体_GB2312" w:cs="楷体_GB2312"/>
          <w:b/>
          <w:bCs/>
          <w:color w:val="000000" w:themeColor="text1"/>
          <w:szCs w:val="32"/>
          <w14:textFill>
            <w14:solidFill>
              <w14:schemeClr w14:val="tx1"/>
            </w14:solidFill>
          </w14:textFill>
        </w:rPr>
        <w:t>水处理行业次氯酸钠储罐场所管理要求</w:t>
      </w:r>
      <w:bookmarkEnd w:id="102"/>
      <w:bookmarkEnd w:id="103"/>
    </w:p>
    <w:p>
      <w:pPr>
        <w:autoSpaceDE w:val="0"/>
        <w:autoSpaceDN w:val="0"/>
        <w:adjustRightInd w:val="0"/>
        <w:ind w:firstLine="640" w:firstLineChars="0"/>
        <w:jc w:val="left"/>
        <w:rPr>
          <w:rFonts w:ascii="Times New Roman" w:hAnsi="Times New Roman" w:cs="FZSSK--GBK1-0"/>
          <w:kern w:val="0"/>
          <w:szCs w:val="21"/>
        </w:rPr>
      </w:pPr>
      <w:r>
        <w:rPr>
          <w:rFonts w:hint="eastAsia" w:ascii="Times New Roman" w:hAnsi="Times New Roman" w:cs="FZSSK--GBK1-0"/>
          <w:kern w:val="0"/>
          <w:szCs w:val="21"/>
        </w:rPr>
        <w:t>水处理行业的城镇供水厂、城镇污水处理厂和体育行业及部分医疗卫生机构等行业，使用次氯酸钠用于氧化消毒。</w:t>
      </w:r>
    </w:p>
    <w:tbl>
      <w:tblPr>
        <w:tblStyle w:val="16"/>
        <w:tblW w:w="8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339"/>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序号</w:t>
            </w:r>
          </w:p>
        </w:tc>
        <w:tc>
          <w:tcPr>
            <w:tcW w:w="4339"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管理要求</w:t>
            </w:r>
          </w:p>
        </w:tc>
        <w:tc>
          <w:tcPr>
            <w:tcW w:w="3464" w:type="dxa"/>
            <w:vAlign w:val="center"/>
          </w:tcPr>
          <w:p>
            <w:pPr>
              <w:spacing w:line="240" w:lineRule="auto"/>
              <w:ind w:firstLine="0" w:firstLineChars="0"/>
              <w:jc w:val="center"/>
              <w:rPr>
                <w:rFonts w:ascii="Times New Roman" w:hAnsi="Times New Roman" w:cs="楷体_GB2312"/>
                <w:b/>
                <w:bCs/>
                <w:color w:val="000000" w:themeColor="text1"/>
                <w:sz w:val="24"/>
                <w14:textFill>
                  <w14:solidFill>
                    <w14:schemeClr w14:val="tx1"/>
                  </w14:solidFill>
                </w14:textFill>
              </w:rPr>
            </w:pPr>
            <w:r>
              <w:rPr>
                <w:rFonts w:hint="eastAsia" w:ascii="Times New Roman" w:hAnsi="Times New Roman" w:cs="楷体_GB2312"/>
                <w:b/>
                <w:bCs/>
                <w:color w:val="000000" w:themeColor="text1"/>
                <w:sz w:val="24"/>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次氯酸钠储罐罐体应采用防腐材料，罐体内外无锈蚀变形、裂纹等情况。</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《安全生产等级评定技术规范第64部分：城镇供水厂》（DB11</w:t>
            </w:r>
            <w:r>
              <w:rPr>
                <w:rFonts w:hint="eastAsia" w:ascii="Times New Roman" w:hAnsi="Times New Roman"/>
                <w:sz w:val="24"/>
                <w:lang w:eastAsia="zh-CN"/>
              </w:rPr>
              <w:t xml:space="preserve">/T </w:t>
            </w:r>
            <w:r>
              <w:rPr>
                <w:rFonts w:hint="eastAsia" w:ascii="Times New Roman" w:hAnsi="Times New Roman" w:eastAsia="仿宋_GB2312"/>
                <w:sz w:val="24"/>
                <w:szCs w:val="24"/>
                <w:lang w:eastAsia="zh-CN"/>
              </w:rPr>
              <w:t>1322.64-2019）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在便于观察的位置设置带有保护装置的液位计或设置远程液位监控装置。</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《安全生产等级评定技术规范第64部分：城镇供水厂》（DB11</w:t>
            </w:r>
            <w:r>
              <w:rPr>
                <w:rFonts w:hint="eastAsia" w:ascii="Times New Roman" w:hAnsi="Times New Roman"/>
                <w:sz w:val="24"/>
                <w:lang w:eastAsia="zh-CN"/>
              </w:rPr>
              <w:t xml:space="preserve">/T </w:t>
            </w:r>
            <w:r>
              <w:rPr>
                <w:rFonts w:hint="eastAsia" w:ascii="Times New Roman" w:hAnsi="Times New Roman" w:eastAsia="仿宋_GB2312"/>
                <w:sz w:val="24"/>
                <w:szCs w:val="24"/>
                <w:lang w:eastAsia="zh-CN"/>
              </w:rPr>
              <w:t>1322.64）安全生产等级评定技术规范 第64部分：城镇供水厂》（DB11</w:t>
            </w:r>
            <w:r>
              <w:rPr>
                <w:rFonts w:hint="eastAsia" w:ascii="Times New Roman" w:hAnsi="Times New Roman"/>
                <w:sz w:val="24"/>
                <w:lang w:eastAsia="zh-CN"/>
              </w:rPr>
              <w:t xml:space="preserve">/T </w:t>
            </w:r>
            <w:r>
              <w:rPr>
                <w:rFonts w:hint="eastAsia" w:ascii="Times New Roman" w:hAnsi="Times New Roman" w:eastAsia="仿宋_GB2312"/>
                <w:sz w:val="24"/>
                <w:szCs w:val="24"/>
                <w:lang w:eastAsia="zh-CN"/>
              </w:rPr>
              <w:t>1322.64）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应设置围堰，且有效容量不应小于其中最大储罐的容量；围堰地面应采取防腐措施。</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《安全生产等级评定技术规范 第64部分：城镇供水厂》（DB11</w:t>
            </w:r>
            <w:r>
              <w:rPr>
                <w:rFonts w:hint="eastAsia" w:ascii="Times New Roman" w:hAnsi="Times New Roman"/>
                <w:sz w:val="24"/>
                <w:lang w:eastAsia="zh-CN"/>
              </w:rPr>
              <w:t xml:space="preserve">/T </w:t>
            </w:r>
            <w:r>
              <w:rPr>
                <w:rFonts w:hint="eastAsia" w:ascii="Times New Roman" w:hAnsi="Times New Roman" w:eastAsia="仿宋_GB2312"/>
                <w:sz w:val="24"/>
                <w:szCs w:val="24"/>
                <w:lang w:eastAsia="zh-CN"/>
              </w:rPr>
              <w:t>1322.64）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围堰应设置导流渠，并通向专门设置的泄漏物收集池；储罐周边15m内应设置洗眼器。</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《安全生产等级评定技术规范 第64部分：城镇供水厂》（DB11</w:t>
            </w:r>
            <w:r>
              <w:rPr>
                <w:rFonts w:hint="eastAsia" w:ascii="Times New Roman" w:hAnsi="Times New Roman"/>
                <w:sz w:val="24"/>
                <w:lang w:eastAsia="zh-CN"/>
              </w:rPr>
              <w:t xml:space="preserve">/T </w:t>
            </w:r>
            <w:r>
              <w:rPr>
                <w:rFonts w:hint="eastAsia" w:ascii="Times New Roman" w:hAnsi="Times New Roman" w:eastAsia="仿宋_GB2312"/>
                <w:sz w:val="24"/>
                <w:szCs w:val="24"/>
                <w:lang w:eastAsia="zh-CN"/>
              </w:rPr>
              <w:t>1322.64）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现场应设置防止次氯酸钠泄漏、不应碰撞罐体、当心腐蚀等安全标识。</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《安全生产等级评定技术规范第64部分：城镇供水厂》（DB11</w:t>
            </w:r>
            <w:r>
              <w:rPr>
                <w:rFonts w:hint="eastAsia" w:ascii="Times New Roman" w:hAnsi="Times New Roman"/>
                <w:sz w:val="24"/>
                <w:lang w:eastAsia="zh-CN"/>
              </w:rPr>
              <w:t xml:space="preserve">/T </w:t>
            </w:r>
            <w:r>
              <w:rPr>
                <w:rFonts w:hint="eastAsia" w:ascii="Times New Roman" w:hAnsi="Times New Roman" w:eastAsia="仿宋_GB2312"/>
                <w:sz w:val="24"/>
                <w:szCs w:val="24"/>
                <w:lang w:eastAsia="zh-CN"/>
              </w:rPr>
              <w:t>1322.64）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次氯酸钠包装上应有牢固清晰的标志，内容包括：生产企业名称、地址、产品名称、“危险化学品”字样、净含量、批号或生产日期、生产许可证编号及标志，本标准编号、GB 190中规定的“腐蚀性物质”和“氧化性物质”标志、安全标签。对于塑料桶、塑料罐和由塑料瓶包装和纤维板箱组成的组合包装（包括瓦楞纸箱）的容器上还应有GB/T 191中规定的“向上”标志。</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《次氯酸钠》（GB 19106-2013）7.1.1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每批出厂的次氯酸钠都应附有安全技术说明书和质量证明。质量证明内容包括：生产企业名称、地址、产品名称、“危险化学品”字样、净含量、批号或生产日期、生产许可证编号及标志、产品质量符合本标准的证明和本标准编号。</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《次氯酸钠》（GB 19106-2013）7.1.2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2"/>
              <w:numPr>
                <w:ilvl w:val="0"/>
                <w:numId w:val="28"/>
              </w:numPr>
              <w:ind w:firstLineChars="0"/>
              <w:jc w:val="center"/>
              <w:rPr>
                <w:rFonts w:ascii="Times New Roman" w:hAnsi="Times New Roman" w:eastAsia="仿宋_GB2312" w:cs="楷体_GB2312"/>
                <w:color w:val="000000" w:themeColor="text1"/>
                <w:sz w:val="24"/>
                <w14:textFill>
                  <w14:solidFill>
                    <w14:schemeClr w14:val="tx1"/>
                  </w14:solidFill>
                </w14:textFill>
              </w:rPr>
            </w:pPr>
          </w:p>
        </w:tc>
        <w:tc>
          <w:tcPr>
            <w:tcW w:w="4339" w:type="dxa"/>
            <w:vAlign w:val="center"/>
          </w:tcPr>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盛装次氯酸钠的包装应存放在阴凉、通风的仓库，避免阳光照射，并禁止其他可能与次氯酸钠发生危险反应的货物一起存放。</w:t>
            </w:r>
          </w:p>
          <w:p>
            <w:pPr>
              <w:pStyle w:val="31"/>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次氯酸钠产品从出厂日期算起，A-I和 B-I型</w:t>
            </w:r>
            <w:r>
              <w:rPr>
                <w:rFonts w:hint="eastAsia" w:ascii="Times New Roman" w:hAnsi="Times New Roman" w:eastAsia="宋体"/>
                <w:sz w:val="24"/>
                <w:szCs w:val="24"/>
                <w:lang w:eastAsia="zh-CN"/>
              </w:rPr>
              <w:t>有效</w:t>
            </w:r>
            <w:r>
              <w:rPr>
                <w:rFonts w:hint="eastAsia" w:ascii="Times New Roman" w:hAnsi="Times New Roman" w:eastAsia="宋体" w:cs="微软雅黑"/>
                <w:sz w:val="24"/>
                <w:szCs w:val="24"/>
                <w:lang w:eastAsia="zh-CN"/>
              </w:rPr>
              <w:t>氯</w:t>
            </w:r>
            <w:r>
              <w:rPr>
                <w:rFonts w:hint="eastAsia" w:ascii="Times New Roman" w:hAnsi="Times New Roman" w:eastAsia="宋体"/>
                <w:sz w:val="24"/>
                <w:szCs w:val="24"/>
                <w:lang w:eastAsia="zh-CN"/>
              </w:rPr>
              <w:t>3d内</w:t>
            </w:r>
            <w:r>
              <w:rPr>
                <w:rFonts w:hint="eastAsia" w:ascii="Times New Roman" w:hAnsi="Times New Roman" w:eastAsia="仿宋_GB2312"/>
                <w:sz w:val="24"/>
                <w:szCs w:val="24"/>
                <w:lang w:eastAsia="zh-CN"/>
              </w:rPr>
              <w:t>不低于12%，7d内不低于11%；A-Ⅱ型和B-Ⅱ型</w:t>
            </w:r>
            <w:r>
              <w:rPr>
                <w:rFonts w:hint="eastAsia" w:ascii="Times New Roman" w:hAnsi="Times New Roman" w:eastAsia="宋体"/>
                <w:sz w:val="24"/>
                <w:szCs w:val="24"/>
                <w:lang w:eastAsia="zh-CN"/>
              </w:rPr>
              <w:t>有效</w:t>
            </w:r>
            <w:r>
              <w:rPr>
                <w:rFonts w:hint="eastAsia" w:ascii="Times New Roman" w:hAnsi="Times New Roman" w:eastAsia="宋体" w:cs="微软雅黑"/>
                <w:sz w:val="24"/>
                <w:szCs w:val="24"/>
                <w:lang w:eastAsia="zh-CN"/>
              </w:rPr>
              <w:t>氯</w:t>
            </w:r>
            <w:r>
              <w:rPr>
                <w:rFonts w:hint="eastAsia" w:ascii="Times New Roman" w:hAnsi="Times New Roman" w:eastAsia="仿宋_GB2312"/>
                <w:sz w:val="24"/>
                <w:szCs w:val="24"/>
                <w:lang w:eastAsia="zh-CN"/>
              </w:rPr>
              <w:t>3d内不低于9%，7d内不低于8%；A-Ⅲ和B-Ⅲ型有效氯20d内不低于4.5%，超出保质期规定的，供应商与用户协商确定或在产品标识中明示。</w:t>
            </w:r>
          </w:p>
        </w:tc>
        <w:tc>
          <w:tcPr>
            <w:tcW w:w="3464" w:type="dxa"/>
            <w:vAlign w:val="center"/>
          </w:tcPr>
          <w:p>
            <w:pPr>
              <w:pStyle w:val="31"/>
              <w:wordWrap w:val="0"/>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《次氯酸钠》（GB 19106-2013）7.4</w:t>
            </w:r>
          </w:p>
        </w:tc>
      </w:tr>
      <w:bookmarkEnd w:id="69"/>
    </w:tbl>
    <w:p>
      <w:pPr>
        <w:ind w:firstLine="640"/>
        <w:rPr>
          <w:rFonts w:ascii="Times New Roman" w:hAnsi="Times New Roman"/>
        </w:rPr>
      </w:pPr>
    </w:p>
    <w:p>
      <w:pPr>
        <w:ind w:firstLine="640"/>
        <w:rPr>
          <w:rFonts w:ascii="Times New Roman" w:hAnsi="Times New Roman"/>
        </w:rPr>
        <w:sectPr>
          <w:footerReference r:id="rId15" w:type="default"/>
          <w:pgSz w:w="11906" w:h="16838"/>
          <w:pgMar w:top="1440" w:right="1800" w:bottom="1440" w:left="1800" w:header="851" w:footer="992" w:gutter="0"/>
          <w:pgNumType w:start="1"/>
          <w:cols w:space="425" w:num="1"/>
          <w:docGrid w:type="lines" w:linePitch="435" w:charSpace="0"/>
        </w:sectPr>
      </w:pPr>
    </w:p>
    <w:p>
      <w:pPr>
        <w:spacing w:before="120" w:beforeLines="50" w:after="120" w:afterLines="50"/>
        <w:ind w:firstLine="0" w:firstLineChars="0"/>
        <w:jc w:val="center"/>
        <w:outlineLvl w:val="0"/>
        <w:rPr>
          <w:rFonts w:ascii="Times New Roman" w:hAnsi="Times New Roman" w:eastAsia="黑体" w:cs="黑体"/>
          <w:color w:val="000000" w:themeColor="text1"/>
          <w:szCs w:val="32"/>
          <w14:textFill>
            <w14:solidFill>
              <w14:schemeClr w14:val="tx1"/>
            </w14:solidFill>
          </w14:textFill>
        </w:rPr>
      </w:pPr>
      <w:bookmarkStart w:id="104" w:name="_Toc225353472"/>
      <w:bookmarkStart w:id="105" w:name="_Toc224910888"/>
      <w:r>
        <w:rPr>
          <w:rFonts w:hint="eastAsia" w:ascii="Times New Roman" w:hAnsi="Times New Roman" w:eastAsia="黑体" w:cs="黑体"/>
          <w:color w:val="000000" w:themeColor="text1"/>
          <w:szCs w:val="32"/>
          <w14:textFill>
            <w14:solidFill>
              <w14:schemeClr w14:val="tx1"/>
            </w14:solidFill>
          </w14:textFill>
        </w:rPr>
        <w:t>附件 危险化学品安全管理与技术资料</w:t>
      </w:r>
      <w:bookmarkEnd w:id="104"/>
      <w:bookmarkEnd w:id="105"/>
    </w:p>
    <w:p>
      <w:pPr>
        <w:numPr>
          <w:ilvl w:val="255"/>
          <w:numId w:val="0"/>
        </w:numPr>
        <w:tabs>
          <w:tab w:val="left" w:pos="0"/>
        </w:tabs>
        <w:ind w:left="42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06" w:name="_Toc225353473"/>
      <w:bookmarkStart w:id="107" w:name="_Toc224910889"/>
      <w:r>
        <w:rPr>
          <w:rFonts w:hint="eastAsia" w:ascii="Times New Roman" w:hAnsi="Times New Roman" w:eastAsia="楷体_GB2312" w:cs="楷体_GB2312"/>
          <w:b/>
          <w:bCs/>
          <w:color w:val="000000" w:themeColor="text1"/>
          <w:szCs w:val="32"/>
          <w14:textFill>
            <w14:solidFill>
              <w14:schemeClr w14:val="tx1"/>
            </w14:solidFill>
          </w14:textFill>
        </w:rPr>
        <w:t>附件1 常用危险化学品储存禁忌物配存表</w:t>
      </w:r>
      <w:bookmarkEnd w:id="106"/>
      <w:bookmarkEnd w:id="107"/>
    </w:p>
    <w:p>
      <w:pPr>
        <w:spacing w:line="240" w:lineRule="auto"/>
        <w:ind w:firstLine="0" w:firstLineChars="0"/>
        <w:rPr>
          <w:rFonts w:ascii="Times New Roman" w:hAnsi="Times New Roman" w:eastAsia="楷体_GB2312" w:cs="楷体_GB2312"/>
          <w:b/>
          <w:bCs/>
          <w:color w:val="000000" w:themeColor="text1"/>
          <w:szCs w:val="32"/>
          <w14:textFill>
            <w14:solidFill>
              <w14:schemeClr w14:val="tx1"/>
            </w14:solidFill>
          </w14:textFill>
        </w:rPr>
      </w:pPr>
      <w:r>
        <w:rPr>
          <w:rFonts w:hint="eastAsia" w:ascii="Times New Roman" w:hAnsi="Times New Roman" w:eastAsia="方正小标宋简体" w:cs="方正小标宋简体"/>
          <w:position w:val="-211"/>
          <w:sz w:val="20"/>
          <w:szCs w:val="20"/>
        </w:rPr>
        <w:drawing>
          <wp:inline distT="0" distB="0" distL="0" distR="0">
            <wp:extent cx="5274310" cy="6630670"/>
            <wp:effectExtent l="0" t="0" r="2540" b="0"/>
            <wp:docPr id="11" name="image1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image10.jpeg"/>
                    <pic:cNvPicPr>
                      <a:picLocks noChangeAspect="true"/>
                    </pic:cNvPicPr>
                  </pic:nvPicPr>
                  <pic:blipFill>
                    <a:blip r:embed="rId25" cstate="print"/>
                    <a:stretch>
                      <a:fillRect/>
                    </a:stretch>
                  </pic:blipFill>
                  <pic:spPr>
                    <a:xfrm>
                      <a:off x="0" y="0"/>
                      <a:ext cx="5274310" cy="6631205"/>
                    </a:xfrm>
                    <a:prstGeom prst="rect">
                      <a:avLst/>
                    </a:prstGeom>
                  </pic:spPr>
                </pic:pic>
              </a:graphicData>
            </a:graphic>
          </wp:inline>
        </w:drawing>
      </w:r>
      <w:r>
        <w:rPr>
          <w:rFonts w:hint="eastAsia" w:ascii="Times New Roman" w:hAnsi="Times New Roman" w:eastAsia="楷体_GB2312" w:cs="楷体_GB2312"/>
          <w:b/>
          <w:bCs/>
          <w:color w:val="000000" w:themeColor="text1"/>
          <w:szCs w:val="32"/>
          <w14:textFill>
            <w14:solidFill>
              <w14:schemeClr w14:val="tx1"/>
            </w14:solidFill>
          </w14:textFill>
        </w:rPr>
        <w:br w:type="page"/>
      </w:r>
    </w:p>
    <w:p>
      <w:pPr>
        <w:spacing w:line="240" w:lineRule="auto"/>
        <w:ind w:firstLine="0" w:firstLineChars="0"/>
        <w:rPr>
          <w:rFonts w:ascii="Times New Roman" w:hAnsi="Times New Roman" w:eastAsia="楷体_GB2312" w:cs="楷体_GB2312"/>
          <w:b/>
          <w:bCs/>
          <w:color w:val="000000" w:themeColor="text1"/>
          <w:szCs w:val="32"/>
          <w14:textFill>
            <w14:solidFill>
              <w14:schemeClr w14:val="tx1"/>
            </w14:solidFill>
          </w14:textFill>
        </w:rPr>
      </w:pPr>
    </w:p>
    <w:p>
      <w:pPr>
        <w:numPr>
          <w:ilvl w:val="255"/>
          <w:numId w:val="0"/>
        </w:numPr>
        <w:tabs>
          <w:tab w:val="left" w:pos="0"/>
        </w:tabs>
        <w:ind w:left="640" w:leftChars="20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08" w:name="_Toc225353474"/>
      <w:bookmarkStart w:id="109" w:name="_Toc224910890"/>
      <w:r>
        <w:rPr>
          <w:rFonts w:hint="eastAsia" w:ascii="Times New Roman" w:hAnsi="Times New Roman" w:eastAsia="楷体_GB2312" w:cs="楷体_GB2312"/>
          <w:b/>
          <w:bCs/>
          <w:color w:val="000000" w:themeColor="text1"/>
          <w:szCs w:val="32"/>
          <w14:textFill>
            <w14:solidFill>
              <w14:schemeClr w14:val="tx1"/>
            </w14:solidFill>
          </w14:textFill>
        </w:rPr>
        <w:t>附件2 常见危险化学品分类分柜储存建议</w:t>
      </w:r>
      <w:bookmarkEnd w:id="108"/>
      <w:bookmarkEnd w:id="109"/>
    </w:p>
    <w:p>
      <w:pPr>
        <w:spacing w:after="51"/>
        <w:ind w:left="420" w:firstLine="0" w:firstLineChars="0"/>
        <w:rPr>
          <w:rFonts w:ascii="Times New Roman" w:hAnsi="Times New Roman"/>
        </w:rPr>
      </w:pPr>
      <w:r>
        <w:rPr>
          <w:rFonts w:hint="eastAsia" w:ascii="Times New Roman" w:hAnsi="Times New Roman"/>
          <w:w w:val="95"/>
        </w:rPr>
        <w:t>一、易制毒化学品柜储存建议</w:t>
      </w:r>
    </w:p>
    <w:tbl>
      <w:tblPr>
        <w:tblStyle w:val="32"/>
        <w:tblW w:w="38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8"/>
        <w:gridCol w:w="2970"/>
        <w:gridCol w:w="3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jc w:val="center"/>
        </w:trPr>
        <w:tc>
          <w:tcPr>
            <w:tcW w:w="831" w:type="pct"/>
            <w:vAlign w:val="center"/>
          </w:tcPr>
          <w:p>
            <w:pPr>
              <w:pStyle w:val="31"/>
              <w:autoSpaceDE/>
              <w:autoSpaceDN/>
              <w:jc w:val="center"/>
              <w:rPr>
                <w:rFonts w:ascii="Times New Roman" w:hAnsi="Times New Roman" w:eastAsia="仿宋_GB2312"/>
                <w:b/>
                <w:bCs/>
                <w:sz w:val="24"/>
                <w:szCs w:val="24"/>
                <w:lang w:eastAsia="zh-CN"/>
              </w:rPr>
            </w:pPr>
            <w:r>
              <w:rPr>
                <w:rFonts w:hint="eastAsia" w:ascii="Times New Roman" w:hAnsi="Times New Roman" w:eastAsia="仿宋_GB2312"/>
                <w:b/>
                <w:bCs/>
                <w:sz w:val="24"/>
                <w:szCs w:val="24"/>
                <w:lang w:eastAsia="zh-CN"/>
              </w:rPr>
              <w:t>层</w:t>
            </w:r>
          </w:p>
        </w:tc>
        <w:tc>
          <w:tcPr>
            <w:tcW w:w="2060" w:type="pct"/>
            <w:vAlign w:val="center"/>
          </w:tcPr>
          <w:p>
            <w:pPr>
              <w:pStyle w:val="31"/>
              <w:autoSpaceDE/>
              <w:autoSpaceDN/>
              <w:jc w:val="center"/>
              <w:rPr>
                <w:rFonts w:ascii="Times New Roman" w:hAnsi="Times New Roman" w:eastAsia="仿宋_GB2312"/>
                <w:b/>
                <w:bCs/>
                <w:sz w:val="24"/>
                <w:szCs w:val="24"/>
                <w:lang w:eastAsia="zh-CN"/>
              </w:rPr>
            </w:pPr>
            <w:r>
              <w:rPr>
                <w:rFonts w:hint="eastAsia" w:ascii="Times New Roman" w:hAnsi="Times New Roman" w:eastAsia="仿宋_GB2312"/>
                <w:b/>
                <w:bCs/>
                <w:sz w:val="24"/>
                <w:szCs w:val="24"/>
                <w:lang w:eastAsia="zh-CN"/>
              </w:rPr>
              <w:t>危化品名称</w:t>
            </w:r>
          </w:p>
        </w:tc>
        <w:tc>
          <w:tcPr>
            <w:tcW w:w="2109" w:type="pct"/>
            <w:vAlign w:val="center"/>
          </w:tcPr>
          <w:p>
            <w:pPr>
              <w:pStyle w:val="31"/>
              <w:autoSpaceDE/>
              <w:autoSpaceDN/>
              <w:jc w:val="center"/>
              <w:rPr>
                <w:rFonts w:ascii="Times New Roman" w:hAnsi="Times New Roman" w:eastAsia="仿宋_GB2312"/>
                <w:b/>
                <w:bCs/>
                <w:sz w:val="24"/>
                <w:szCs w:val="24"/>
                <w:lang w:eastAsia="zh-CN"/>
              </w:rPr>
            </w:pPr>
            <w:r>
              <w:rPr>
                <w:rFonts w:hint="eastAsia" w:ascii="Times New Roman" w:hAnsi="Times New Roman" w:eastAsia="仿宋_GB2312"/>
                <w:b/>
                <w:bCs/>
                <w:sz w:val="24"/>
                <w:szCs w:val="24"/>
                <w:lang w:eastAsia="zh-CN"/>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831" w:type="pct"/>
            <w:vMerge w:val="restar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可同层</w:t>
            </w:r>
          </w:p>
        </w:tc>
        <w:tc>
          <w:tcPr>
            <w:tcW w:w="2060"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浓盐酸</w:t>
            </w:r>
          </w:p>
        </w:tc>
        <w:tc>
          <w:tcPr>
            <w:tcW w:w="2109"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第 8.1 类 酸性腐蚀品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831"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2060"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浓硫酸</w:t>
            </w:r>
          </w:p>
        </w:tc>
        <w:tc>
          <w:tcPr>
            <w:tcW w:w="2109"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第 8.1 类 酸性腐蚀品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jc w:val="center"/>
        </w:trPr>
        <w:tc>
          <w:tcPr>
            <w:tcW w:w="831"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2060"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液溴</w:t>
            </w:r>
          </w:p>
        </w:tc>
        <w:tc>
          <w:tcPr>
            <w:tcW w:w="2109"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第 8.1 类 酸性腐蚀品；强氧化剂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jc w:val="center"/>
        </w:trPr>
        <w:tc>
          <w:tcPr>
            <w:tcW w:w="831" w:type="pct"/>
            <w:vMerge w:val="restar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可同层</w:t>
            </w:r>
          </w:p>
        </w:tc>
        <w:tc>
          <w:tcPr>
            <w:tcW w:w="2060"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丙酮</w:t>
            </w:r>
          </w:p>
        </w:tc>
        <w:tc>
          <w:tcPr>
            <w:tcW w:w="2109"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第3.1类 低闪点易燃液体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831"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2060"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甲苯</w:t>
            </w:r>
          </w:p>
        </w:tc>
        <w:tc>
          <w:tcPr>
            <w:tcW w:w="2109"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第3.2类 中闪点易燃液体</w:t>
            </w:r>
          </w:p>
        </w:tc>
      </w:tr>
    </w:tbl>
    <w:p>
      <w:pPr>
        <w:spacing w:before="51"/>
        <w:ind w:left="420" w:firstLine="0" w:firstLineChars="0"/>
        <w:rPr>
          <w:rFonts w:ascii="Times New Roman" w:hAnsi="Times New Roman"/>
        </w:rPr>
      </w:pPr>
      <w:r>
        <w:rPr>
          <w:rFonts w:hint="eastAsia" w:ascii="Times New Roman" w:hAnsi="Times New Roman"/>
          <w:w w:val="95"/>
        </w:rPr>
        <w:t>二、易制爆危险化学品柜储存建议</w:t>
      </w:r>
    </w:p>
    <w:p>
      <w:pPr>
        <w:spacing w:before="103" w:after="51"/>
        <w:ind w:left="420" w:firstLine="0" w:firstLineChars="0"/>
        <w:rPr>
          <w:rFonts w:ascii="Times New Roman" w:hAnsi="Times New Roman"/>
        </w:rPr>
      </w:pPr>
      <w:r>
        <w:rPr>
          <w:rFonts w:hint="eastAsia" w:ascii="Times New Roman" w:hAnsi="Times New Roman"/>
        </w:rPr>
        <w:t>（一）易制爆危险化学品柜1</w:t>
      </w:r>
    </w:p>
    <w:tbl>
      <w:tblPr>
        <w:tblStyle w:val="32"/>
        <w:tblW w:w="3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7"/>
        <w:gridCol w:w="2472"/>
        <w:gridCol w:w="3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02" w:type="pct"/>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层</w:t>
            </w:r>
          </w:p>
        </w:tc>
        <w:tc>
          <w:tcPr>
            <w:tcW w:w="1656" w:type="pct"/>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危化品名称</w:t>
            </w:r>
          </w:p>
        </w:tc>
        <w:tc>
          <w:tcPr>
            <w:tcW w:w="2542" w:type="pct"/>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jc w:val="center"/>
        </w:trPr>
        <w:tc>
          <w:tcPr>
            <w:tcW w:w="802" w:type="pct"/>
            <w:vMerge w:val="restar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可同层</w:t>
            </w: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过氧化钠</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氧化性固体，类别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02"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氯酸钾</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氧化性固体，类别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jc w:val="center"/>
        </w:trPr>
        <w:tc>
          <w:tcPr>
            <w:tcW w:w="802"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重铬酸钾</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氧化性固体，类别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02"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硝酸银</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氧化性固体，类别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jc w:val="center"/>
        </w:trPr>
        <w:tc>
          <w:tcPr>
            <w:tcW w:w="802"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硝酸钾</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氧化性固体，类别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802"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高锰酸钾</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氧化性固体，类别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jc w:val="center"/>
        </w:trPr>
        <w:tc>
          <w:tcPr>
            <w:tcW w:w="802" w:type="pct"/>
            <w:vMerge w:val="continue"/>
            <w:tcBorders>
              <w:top w:val="nil"/>
            </w:tcBorders>
            <w:vAlign w:val="center"/>
          </w:tcPr>
          <w:p>
            <w:pPr>
              <w:pStyle w:val="31"/>
              <w:autoSpaceDE/>
              <w:autoSpaceDN/>
              <w:jc w:val="center"/>
              <w:rPr>
                <w:rFonts w:ascii="Times New Roman" w:hAnsi="Times New Roman" w:eastAsia="仿宋_GB2312"/>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硝酸铵</w:t>
            </w:r>
            <w:r>
              <w:rPr>
                <w:rFonts w:hint="eastAsia" w:ascii="Times New Roman" w:hAnsi="Times New Roman" w:eastAsia="仿宋_GB2312"/>
                <w:sz w:val="24"/>
                <w:szCs w:val="24"/>
                <w:vertAlign w:val="superscript"/>
                <w:lang w:eastAsia="zh-CN"/>
              </w:rPr>
              <w:t>1</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第 5.1 类 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802" w:type="pct"/>
            <w:vMerge w:val="restar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可同层</w:t>
            </w: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双氧水</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（1）含量≥60%氧化性液体，类别1</w:t>
            </w:r>
          </w:p>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（2）20%≤含量＜60%氧化性液体，类别2</w:t>
            </w:r>
          </w:p>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（3）8%&lt;含量&lt;20% 氧化性液体，类别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jc w:val="center"/>
        </w:trPr>
        <w:tc>
          <w:tcPr>
            <w:tcW w:w="802" w:type="pct"/>
            <w:vMerge w:val="continue"/>
            <w:tcBorders>
              <w:top w:val="nil"/>
            </w:tcBorders>
            <w:vAlign w:val="center"/>
          </w:tcPr>
          <w:p>
            <w:pPr>
              <w:pStyle w:val="31"/>
              <w:autoSpaceDE w:val="0"/>
              <w:autoSpaceDN w:val="0"/>
              <w:jc w:val="center"/>
              <w:rPr>
                <w:rFonts w:ascii="Times New Roman" w:hAnsi="Times New Roman" w:eastAsia="仿宋_GB2312"/>
                <w:bCs/>
                <w:sz w:val="24"/>
                <w:szCs w:val="24"/>
                <w:lang w:eastAsia="zh-CN"/>
              </w:rPr>
            </w:pPr>
          </w:p>
        </w:tc>
        <w:tc>
          <w:tcPr>
            <w:tcW w:w="1656"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浓硝酸</w:t>
            </w:r>
            <w:r>
              <w:rPr>
                <w:rFonts w:hint="eastAsia" w:ascii="Times New Roman" w:hAnsi="Times New Roman" w:eastAsia="仿宋_GB2312"/>
                <w:sz w:val="24"/>
                <w:szCs w:val="24"/>
                <w:vertAlign w:val="superscript"/>
                <w:lang w:eastAsia="zh-CN"/>
              </w:rPr>
              <w:t>2</w:t>
            </w:r>
          </w:p>
        </w:tc>
        <w:tc>
          <w:tcPr>
            <w:tcW w:w="2542" w:type="pct"/>
            <w:vAlign w:val="center"/>
          </w:tcPr>
          <w:p>
            <w:pPr>
              <w:pStyle w:val="31"/>
              <w:autoSpaceDE/>
              <w:autoSpaceDN/>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氧化性液体，类别 3</w:t>
            </w:r>
          </w:p>
        </w:tc>
      </w:tr>
    </w:tbl>
    <w:p>
      <w:pPr>
        <w:autoSpaceDE w:val="0"/>
        <w:autoSpaceDN w:val="0"/>
        <w:adjustRightInd w:val="0"/>
        <w:spacing w:line="240" w:lineRule="auto"/>
        <w:ind w:firstLine="480"/>
        <w:jc w:val="left"/>
        <w:rPr>
          <w:rFonts w:ascii="Times New Roman" w:hAnsi="Times New Roman" w:cs="Times New Roman"/>
          <w:sz w:val="24"/>
        </w:rPr>
      </w:pPr>
      <w:r>
        <w:rPr>
          <w:rFonts w:hint="eastAsia" w:ascii="Times New Roman" w:hAnsi="Times New Roman" w:cs="Times New Roman"/>
          <w:sz w:val="24"/>
        </w:rPr>
        <w:t>备注：1.硝酸铵，属于爆炸品，按照化学性质储存在此柜，应妥善密封保存。</w:t>
      </w:r>
    </w:p>
    <w:p>
      <w:pPr>
        <w:autoSpaceDE w:val="0"/>
        <w:autoSpaceDN w:val="0"/>
        <w:adjustRightInd w:val="0"/>
        <w:spacing w:line="240" w:lineRule="auto"/>
        <w:ind w:firstLine="1200" w:firstLineChars="500"/>
        <w:jc w:val="left"/>
        <w:rPr>
          <w:rFonts w:ascii="Times New Roman" w:hAnsi="Times New Roman" w:cs="Times New Roman"/>
          <w:sz w:val="24"/>
        </w:rPr>
      </w:pPr>
      <w:r>
        <w:rPr>
          <w:rFonts w:hint="eastAsia" w:ascii="Times New Roman" w:hAnsi="Times New Roman" w:cs="Times New Roman"/>
          <w:sz w:val="24"/>
        </w:rPr>
        <w:t>2.浓硝酸，具有易挥发性，应单独密封保存。</w:t>
      </w:r>
    </w:p>
    <w:p>
      <w:pPr>
        <w:spacing w:after="51"/>
        <w:ind w:left="420" w:firstLine="0" w:firstLineChars="0"/>
        <w:rPr>
          <w:rFonts w:ascii="Times New Roman" w:hAnsi="Times New Roman"/>
        </w:rPr>
      </w:pPr>
      <w:r>
        <w:rPr>
          <w:rFonts w:hint="eastAsia" w:ascii="Times New Roman" w:hAnsi="Times New Roman"/>
        </w:rPr>
        <w:t>（二）易制爆危险化学品柜2</w:t>
      </w:r>
    </w:p>
    <w:tbl>
      <w:tblPr>
        <w:tblStyle w:val="32"/>
        <w:tblW w:w="4396" w:type="pct"/>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9"/>
        <w:gridCol w:w="1586"/>
        <w:gridCol w:w="5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72" w:type="pct"/>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层</w:t>
            </w:r>
          </w:p>
        </w:tc>
        <w:tc>
          <w:tcPr>
            <w:tcW w:w="966" w:type="pct"/>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危化品名称</w:t>
            </w:r>
          </w:p>
        </w:tc>
        <w:tc>
          <w:tcPr>
            <w:tcW w:w="3462" w:type="pct"/>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7" w:hRule="atLeast"/>
        </w:trPr>
        <w:tc>
          <w:tcPr>
            <w:tcW w:w="572" w:type="pct"/>
            <w:vMerge w:val="restar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可同层</w:t>
            </w: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镁粉</w:t>
            </w:r>
          </w:p>
        </w:tc>
        <w:tc>
          <w:tcPr>
            <w:tcW w:w="3462"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粉末：自热物质和混合物，类别 1</w:t>
            </w:r>
          </w:p>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遇水放出易燃气体的物质和混合物，类别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lang w:eastAsia="zh-CN"/>
              </w:rPr>
            </w:pP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铝粉</w:t>
            </w:r>
          </w:p>
        </w:tc>
        <w:tc>
          <w:tcPr>
            <w:tcW w:w="3462"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有涂层：易燃固体，类别 1</w:t>
            </w:r>
          </w:p>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无涂层：遇水放出易燃气体的物质和混合物，类别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lang w:eastAsia="zh-CN"/>
              </w:rPr>
            </w:pP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镁条</w:t>
            </w:r>
          </w:p>
        </w:tc>
        <w:tc>
          <w:tcPr>
            <w:tcW w:w="3462"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丸状、旋屑或带状：易燃固体，类别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lang w:eastAsia="zh-CN"/>
              </w:rPr>
            </w:pP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硫</w:t>
            </w:r>
          </w:p>
        </w:tc>
        <w:tc>
          <w:tcPr>
            <w:tcW w:w="3462"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易燃固体，类别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rPr>
            </w:pP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金属钠</w:t>
            </w:r>
          </w:p>
        </w:tc>
        <w:tc>
          <w:tcPr>
            <w:tcW w:w="3462"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遇水放出易燃气体的物质和混合物，类别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lang w:eastAsia="zh-CN"/>
              </w:rPr>
            </w:pP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金属钾</w:t>
            </w:r>
          </w:p>
        </w:tc>
        <w:tc>
          <w:tcPr>
            <w:tcW w:w="3462"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遇水放出易燃气体的物质和混合物，类别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6"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lang w:eastAsia="zh-CN"/>
              </w:rPr>
            </w:pPr>
          </w:p>
        </w:tc>
        <w:tc>
          <w:tcPr>
            <w:tcW w:w="966"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锌粉</w:t>
            </w:r>
          </w:p>
        </w:tc>
        <w:tc>
          <w:tcPr>
            <w:tcW w:w="3462"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自热物质和混合物，类别 1；</w:t>
            </w:r>
          </w:p>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遇水放出易燃气体的物质和混合物，类别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72" w:type="pct"/>
            <w:vMerge w:val="continue"/>
            <w:vAlign w:val="center"/>
          </w:tcPr>
          <w:p>
            <w:pPr>
              <w:pStyle w:val="31"/>
              <w:autoSpaceDE w:val="0"/>
              <w:autoSpaceDN w:val="0"/>
              <w:jc w:val="center"/>
              <w:rPr>
                <w:rFonts w:ascii="Times New Roman" w:hAnsi="Times New Roman" w:eastAsia="仿宋_GB2312"/>
                <w:bCs/>
                <w:sz w:val="24"/>
                <w:szCs w:val="24"/>
                <w:lang w:eastAsia="zh-CN"/>
              </w:rPr>
            </w:pPr>
          </w:p>
        </w:tc>
        <w:tc>
          <w:tcPr>
            <w:tcW w:w="966"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rPr>
              <w:t>碳化钙</w:t>
            </w:r>
            <w:r>
              <w:rPr>
                <w:rFonts w:hint="eastAsia" w:ascii="Times New Roman" w:hAnsi="Times New Roman" w:eastAsia="仿宋_GB2312"/>
                <w:bCs/>
                <w:sz w:val="24"/>
                <w:szCs w:val="24"/>
                <w:vertAlign w:val="superscript"/>
                <w:lang w:eastAsia="zh-CN"/>
              </w:rPr>
              <w:t>1</w:t>
            </w:r>
          </w:p>
        </w:tc>
        <w:tc>
          <w:tcPr>
            <w:tcW w:w="3462"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 4.3 类 遇湿易燃物品</w:t>
            </w:r>
          </w:p>
        </w:tc>
      </w:tr>
    </w:tbl>
    <w:p>
      <w:pPr>
        <w:spacing w:line="240" w:lineRule="auto"/>
        <w:ind w:firstLine="454"/>
        <w:rPr>
          <w:rFonts w:ascii="Times New Roman" w:hAnsi="Times New Roman"/>
          <w:w w:val="95"/>
          <w:sz w:val="24"/>
        </w:rPr>
      </w:pPr>
      <w:r>
        <w:rPr>
          <w:rFonts w:hint="eastAsia" w:ascii="Times New Roman" w:hAnsi="Times New Roman"/>
          <w:w w:val="95"/>
          <w:sz w:val="24"/>
        </w:rPr>
        <w:t>备注：1.碳化钙不属于易制爆危险化学品，按化学品性质存入此柜。</w:t>
      </w:r>
    </w:p>
    <w:p>
      <w:pPr>
        <w:ind w:left="420" w:firstLine="0" w:firstLineChars="0"/>
        <w:rPr>
          <w:rFonts w:ascii="Times New Roman" w:hAnsi="Times New Roman"/>
        </w:rPr>
      </w:pPr>
      <w:r>
        <w:rPr>
          <w:rFonts w:hint="eastAsia" w:ascii="Times New Roman" w:hAnsi="Times New Roman"/>
          <w:w w:val="95"/>
        </w:rPr>
        <w:t>三、其他危险化学品柜储存建议</w:t>
      </w:r>
    </w:p>
    <w:p>
      <w:pPr>
        <w:spacing w:before="103" w:after="52"/>
        <w:ind w:left="420" w:firstLine="0" w:firstLineChars="0"/>
        <w:rPr>
          <w:rFonts w:ascii="Times New Roman" w:hAnsi="Times New Roman"/>
        </w:rPr>
      </w:pPr>
      <w:r>
        <w:rPr>
          <w:rFonts w:hint="eastAsia" w:ascii="Times New Roman" w:hAnsi="Times New Roman"/>
        </w:rPr>
        <w:t>（一）易燃品柜</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7"/>
        <w:gridCol w:w="3425"/>
        <w:gridCol w:w="47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层</w:t>
            </w:r>
          </w:p>
        </w:tc>
        <w:tc>
          <w:tcPr>
            <w:tcW w:w="1834"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危化品名称</w:t>
            </w:r>
          </w:p>
        </w:tc>
        <w:tc>
          <w:tcPr>
            <w:tcW w:w="2525"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restar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可同层</w:t>
            </w: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乙醛</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第3.1类 低闪点易燃液体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二硫化碳</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第3.1类 低闪点易燃液体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苯</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二甲苯</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第3.3类 高闪点易燃液体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煤油</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第3.3类 高闪点易燃液体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石油醚</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乙酸乙酯</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丙酸乙酯</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N，N，N′，N′-四甲基乙二胺</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无水乙醇</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工业酒精</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1"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834"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甲醇</w:t>
            </w:r>
          </w:p>
        </w:tc>
        <w:tc>
          <w:tcPr>
            <w:tcW w:w="2525"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第3.2类 中闪点易燃液体</w:t>
            </w:r>
          </w:p>
        </w:tc>
      </w:tr>
    </w:tbl>
    <w:p>
      <w:pPr>
        <w:spacing w:before="51" w:after="52"/>
        <w:ind w:left="420" w:firstLine="0" w:firstLineChars="0"/>
        <w:rPr>
          <w:rFonts w:ascii="Times New Roman" w:hAnsi="Times New Roman"/>
        </w:rPr>
      </w:pPr>
      <w:r>
        <w:rPr>
          <w:rFonts w:hint="eastAsia" w:ascii="Times New Roman" w:hAnsi="Times New Roman"/>
        </w:rPr>
        <w:t>（二）腐蚀性化学品柜</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9"/>
        <w:gridCol w:w="2803"/>
        <w:gridCol w:w="5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2"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层</w:t>
            </w:r>
          </w:p>
        </w:tc>
        <w:tc>
          <w:tcPr>
            <w:tcW w:w="1501"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危化品名称</w:t>
            </w:r>
          </w:p>
        </w:tc>
        <w:tc>
          <w:tcPr>
            <w:tcW w:w="2857"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2" w:type="pct"/>
            <w:vMerge w:val="restar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可同层</w:t>
            </w: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磷酸</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第8.1类 酸性腐蚀品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乙酸</w:t>
            </w:r>
          </w:p>
        </w:tc>
        <w:tc>
          <w:tcPr>
            <w:tcW w:w="2857"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第8.1类 酸性腐蚀品；易燃液体 类别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lang w:eastAsia="zh-CN"/>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甲醛</w:t>
            </w:r>
          </w:p>
        </w:tc>
        <w:tc>
          <w:tcPr>
            <w:tcW w:w="2857" w:type="pct"/>
            <w:vAlign w:val="center"/>
          </w:tcPr>
          <w:p>
            <w:pPr>
              <w:pStyle w:val="31"/>
              <w:autoSpaceDE w:val="0"/>
              <w:autoSpaceDN w:val="0"/>
              <w:jc w:val="center"/>
              <w:rPr>
                <w:rFonts w:ascii="Times New Roman" w:hAnsi="Times New Roman" w:eastAsia="仿宋_GB2312"/>
                <w:bCs/>
                <w:sz w:val="24"/>
                <w:szCs w:val="24"/>
                <w:lang w:eastAsia="zh-CN"/>
              </w:rPr>
            </w:pPr>
            <w:r>
              <w:rPr>
                <w:rFonts w:hint="eastAsia" w:ascii="Times New Roman" w:hAnsi="Times New Roman" w:eastAsia="仿宋_GB2312"/>
                <w:bCs/>
                <w:sz w:val="24"/>
                <w:szCs w:val="24"/>
                <w:lang w:eastAsia="zh-CN"/>
              </w:rPr>
              <w:t>第8.3类 其它腐蚀品；易燃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2" w:type="pct"/>
            <w:vMerge w:val="restar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可同层</w:t>
            </w: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氧化钠</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第8.2类碱性腐蚀品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氢氧化钠</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第8.2类 碱性腐蚀品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硫化钠</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第8.2类 碱性腐蚀品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w w:val="99"/>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氨水</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第8.2类 碱性腐蚀品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2" w:type="pct"/>
            <w:vMerge w:val="restart"/>
            <w:vAlign w:val="center"/>
          </w:tcPr>
          <w:p>
            <w:pPr>
              <w:pStyle w:val="31"/>
              <w:autoSpaceDE w:val="0"/>
              <w:autoSpaceDN w:val="0"/>
              <w:jc w:val="center"/>
              <w:rPr>
                <w:rFonts w:ascii="Times New Roman" w:hAnsi="Times New Roman" w:eastAsia="仿宋_GB2312"/>
                <w:bCs/>
                <w:w w:val="99"/>
                <w:sz w:val="24"/>
                <w:szCs w:val="24"/>
                <w:lang w:eastAsia="zh-CN"/>
              </w:rPr>
            </w:pPr>
            <w:r>
              <w:rPr>
                <w:rFonts w:hint="eastAsia" w:ascii="Times New Roman" w:hAnsi="Times New Roman" w:eastAsia="仿宋_GB2312"/>
                <w:bCs/>
                <w:sz w:val="24"/>
                <w:szCs w:val="24"/>
              </w:rPr>
              <w:t>可同层</w:t>
            </w: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氯化铁</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第8.1类 酸性腐蚀品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w w:val="99"/>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氯化铜</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第8.3类 其它腐蚀品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w w:val="99"/>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次氯酸钠</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第8.3类 其它腐蚀品</w:t>
            </w:r>
          </w:p>
        </w:tc>
      </w:tr>
    </w:tbl>
    <w:p>
      <w:pPr>
        <w:spacing w:before="50" w:after="53"/>
        <w:ind w:left="420" w:firstLine="0" w:firstLineChars="0"/>
        <w:rPr>
          <w:rFonts w:ascii="Times New Roman" w:hAnsi="Times New Roman"/>
        </w:rPr>
      </w:pPr>
      <w:r>
        <w:rPr>
          <w:rFonts w:hint="eastAsia" w:ascii="Times New Roman" w:hAnsi="Times New Roman"/>
        </w:rPr>
        <w:t>（三）毒害品及其它储存柜</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9"/>
        <w:gridCol w:w="2803"/>
        <w:gridCol w:w="5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42"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层</w:t>
            </w:r>
          </w:p>
        </w:tc>
        <w:tc>
          <w:tcPr>
            <w:tcW w:w="1501"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危化品名称</w:t>
            </w:r>
          </w:p>
        </w:tc>
        <w:tc>
          <w:tcPr>
            <w:tcW w:w="2857" w:type="pct"/>
            <w:vAlign w:val="center"/>
          </w:tcPr>
          <w:p>
            <w:pPr>
              <w:pStyle w:val="31"/>
              <w:autoSpaceDE w:val="0"/>
              <w:autoSpaceDN w:val="0"/>
              <w:jc w:val="center"/>
              <w:rPr>
                <w:rFonts w:ascii="Times New Roman" w:hAnsi="Times New Roman" w:eastAsia="仿宋_GB2312"/>
                <w:b/>
                <w:w w:val="99"/>
                <w:sz w:val="24"/>
                <w:szCs w:val="24"/>
              </w:rPr>
            </w:pPr>
            <w:r>
              <w:rPr>
                <w:rFonts w:hint="eastAsia" w:ascii="Times New Roman" w:hAnsi="Times New Roman" w:eastAsia="仿宋_GB2312"/>
                <w:b/>
                <w:w w:val="99"/>
                <w:sz w:val="24"/>
                <w:szCs w:val="24"/>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42" w:type="pct"/>
            <w:vMerge w:val="restar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可同层</w:t>
            </w: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氢氧化钡</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第6.1类 毒害品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氯化钡</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第6.1类 毒害品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苯酚</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第6.1类 毒害品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42" w:type="pct"/>
            <w:vMerge w:val="continue"/>
            <w:tcBorders>
              <w:top w:val="nil"/>
            </w:tcBorders>
            <w:vAlign w:val="center"/>
          </w:tcPr>
          <w:p>
            <w:pPr>
              <w:pStyle w:val="31"/>
              <w:autoSpaceDE w:val="0"/>
              <w:autoSpaceDN w:val="0"/>
              <w:jc w:val="center"/>
              <w:rPr>
                <w:rFonts w:ascii="Times New Roman" w:hAnsi="Times New Roman" w:eastAsia="仿宋_GB2312"/>
                <w:bCs/>
                <w:sz w:val="24"/>
                <w:szCs w:val="24"/>
              </w:rPr>
            </w:pPr>
          </w:p>
        </w:tc>
        <w:tc>
          <w:tcPr>
            <w:tcW w:w="1501"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乙酸铅</w:t>
            </w:r>
          </w:p>
        </w:tc>
        <w:tc>
          <w:tcPr>
            <w:tcW w:w="2857" w:type="pct"/>
            <w:vAlign w:val="center"/>
          </w:tcPr>
          <w:p>
            <w:pPr>
              <w:pStyle w:val="31"/>
              <w:autoSpaceDE w:val="0"/>
              <w:autoSpaceDN w:val="0"/>
              <w:jc w:val="center"/>
              <w:rPr>
                <w:rFonts w:ascii="Times New Roman" w:hAnsi="Times New Roman" w:eastAsia="仿宋_GB2312"/>
                <w:bCs/>
                <w:sz w:val="24"/>
                <w:szCs w:val="24"/>
              </w:rPr>
            </w:pPr>
            <w:r>
              <w:rPr>
                <w:rFonts w:hint="eastAsia" w:ascii="Times New Roman" w:hAnsi="Times New Roman" w:eastAsia="仿宋_GB2312"/>
                <w:bCs/>
                <w:sz w:val="24"/>
                <w:szCs w:val="24"/>
              </w:rPr>
              <w:t>第6.1类 毒害品</w:t>
            </w:r>
          </w:p>
        </w:tc>
      </w:tr>
    </w:tbl>
    <w:p>
      <w:pPr>
        <w:autoSpaceDE w:val="0"/>
        <w:autoSpaceDN w:val="0"/>
        <w:adjustRightInd w:val="0"/>
        <w:ind w:firstLine="640"/>
        <w:jc w:val="left"/>
        <w:rPr>
          <w:rFonts w:ascii="Times New Roman" w:hAnsi="Times New Roman" w:cs="Times New Roman"/>
          <w:szCs w:val="32"/>
        </w:rPr>
        <w:sectPr>
          <w:pgSz w:w="11910" w:h="16840"/>
          <w:pgMar w:top="1580" w:right="1562" w:bottom="1900" w:left="1020" w:header="0" w:footer="1621" w:gutter="0"/>
          <w:cols w:space="720" w:num="1"/>
        </w:sectPr>
      </w:pPr>
    </w:p>
    <w:p>
      <w:pPr>
        <w:numPr>
          <w:ilvl w:val="255"/>
          <w:numId w:val="0"/>
        </w:numPr>
        <w:tabs>
          <w:tab w:val="left" w:pos="0"/>
        </w:tabs>
        <w:ind w:left="640" w:leftChars="20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10" w:name="_Toc224910891"/>
      <w:bookmarkStart w:id="111" w:name="_Toc225353475"/>
      <w:r>
        <w:rPr>
          <w:rFonts w:hint="eastAsia" w:ascii="Times New Roman" w:hAnsi="Times New Roman" w:eastAsia="楷体_GB2312" w:cs="楷体_GB2312"/>
          <w:b/>
          <w:bCs/>
          <w:color w:val="000000" w:themeColor="text1"/>
          <w:szCs w:val="32"/>
          <w14:textFill>
            <w14:solidFill>
              <w14:schemeClr w14:val="tx1"/>
            </w14:solidFill>
          </w14:textFill>
        </w:rPr>
        <w:t>附件3 易制毒化学品的分类和品种目录</w:t>
      </w:r>
      <w:bookmarkEnd w:id="110"/>
      <w:r>
        <w:rPr>
          <w:rFonts w:hint="eastAsia" w:ascii="Times New Roman" w:hAnsi="Times New Roman" w:eastAsia="楷体_GB2312" w:cs="楷体_GB2312"/>
          <w:b/>
          <w:bCs/>
          <w:color w:val="000000" w:themeColor="text1"/>
          <w:szCs w:val="32"/>
          <w14:textFill>
            <w14:solidFill>
              <w14:schemeClr w14:val="tx1"/>
            </w14:solidFill>
          </w14:textFill>
        </w:rPr>
        <w:t>（2025年版）</w:t>
      </w:r>
      <w:bookmarkEnd w:id="111"/>
    </w:p>
    <w:p>
      <w:pPr>
        <w:autoSpaceDE w:val="0"/>
        <w:autoSpaceDN w:val="0"/>
        <w:adjustRightInd w:val="0"/>
        <w:ind w:firstLine="640"/>
        <w:jc w:val="left"/>
        <w:rPr>
          <w:rFonts w:ascii="Times New Roman" w:hAnsi="Times New Roman" w:cs="Times New Roman"/>
          <w:szCs w:val="32"/>
        </w:rPr>
      </w:pPr>
      <w:r>
        <w:rPr>
          <w:rFonts w:hint="eastAsia" w:ascii="Times New Roman" w:hAnsi="Times New Roman" w:cs="Times New Roman"/>
          <w:szCs w:val="32"/>
        </w:rPr>
        <w:t>为了加强易制毒化学品管理，规范易制毒化学品的生产、经营、购买、运输和进口、出口行为，防止易制毒化学品被用于制造毒品，维护经济和社会秩序，制定《易制毒化学品管理条例》，条例中规定</w:t>
      </w:r>
      <w:r>
        <w:rPr>
          <w:rFonts w:hint="eastAsia" w:ascii="Times New Roman" w:hAnsi="Times New Roman" w:cs="FZSSK--GBK1-0"/>
          <w:kern w:val="0"/>
          <w:szCs w:val="21"/>
        </w:rPr>
        <w:t>制毒化学品分为三类。第一类是可以用于制毒的主要原料，第二类、第三类是可以用于制毒的化学配剂。易制毒化学品的具体分类和品种，由本条例附表列示。</w:t>
      </w:r>
    </w:p>
    <w:p>
      <w:pPr>
        <w:autoSpaceDE w:val="0"/>
        <w:autoSpaceDN w:val="0"/>
        <w:adjustRightInd w:val="0"/>
        <w:ind w:firstLine="643"/>
        <w:jc w:val="left"/>
        <w:rPr>
          <w:rFonts w:ascii="Times New Roman" w:hAnsi="Times New Roman" w:cs="FZSSK--GBK1-0"/>
          <w:b/>
          <w:bCs/>
          <w:kern w:val="0"/>
          <w:szCs w:val="21"/>
        </w:rPr>
      </w:pPr>
      <w:r>
        <w:rPr>
          <w:rFonts w:hint="eastAsia" w:ascii="Times New Roman" w:hAnsi="Times New Roman" w:cs="FZSSK--GBK1-0"/>
          <w:b/>
          <w:bCs/>
          <w:kern w:val="0"/>
          <w:szCs w:val="21"/>
        </w:rPr>
        <w:t>第一类</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1．1－苯基－2－丙酮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2．3，4－亚甲基二氧苯基－2－丙酮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3．胡椒醛</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4．黄樟素</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5．黄樟油</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6．异黄樟素</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7.N－乙酰邻氨基苯酸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8．邻氨基苯甲酸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9．麦角酸＊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10．麦角胺＊</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11．麦角新碱＊</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12．麻黄素、伪麻黄素、消旋麻黄素、去甲麻黄素、甲基麻黄素、麻黄浸膏、麻黄浸膏粉等麻黄素类物质＊</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13.4-苯胺基-N-苯乙基哌啶</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14.N-苯乙基-4-哌啶酮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15.N-甲基-1-苯基-1-氯-2-丙胺</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16.羟亚胺</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17.1-苯基-2-溴-1-丙酮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18.3-氧-2-苯基丁腈</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19.邻氯苯基环戊酮</w:t>
      </w:r>
    </w:p>
    <w:p>
      <w:pPr>
        <w:autoSpaceDE w:val="0"/>
        <w:autoSpaceDN w:val="0"/>
        <w:adjustRightInd w:val="0"/>
        <w:ind w:firstLine="643"/>
        <w:jc w:val="left"/>
        <w:rPr>
          <w:rFonts w:ascii="Times New Roman" w:hAnsi="Times New Roman" w:cs="FZSSK--GBK1-0"/>
          <w:b/>
          <w:bCs/>
          <w:kern w:val="0"/>
          <w:szCs w:val="21"/>
        </w:rPr>
      </w:pPr>
      <w:r>
        <w:rPr>
          <w:rFonts w:hint="eastAsia" w:ascii="Times New Roman" w:hAnsi="Times New Roman" w:cs="FZSSK--GBK1-0"/>
          <w:b/>
          <w:bCs/>
          <w:kern w:val="0"/>
          <w:szCs w:val="21"/>
        </w:rPr>
        <w:t>第二类</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1.苯乙酸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2.醋酸酐</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3.三氯甲烷</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4.乙醚</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5.哌啶</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6.1-苯基-1-丙酮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7.溴素</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8.3-氧-2-苯基丁酸甲酯</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9.3-氧-2-苯基丁酰胺</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10.2-甲基-3-[3，4-（亚甲二氧基）苯基]缩水甘油酸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11.2-甲基-3-[3，4-（亚甲二氧基）苯基]缩水甘油酸甲酯</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12.4-（N-苯基氨基）哌啶</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13.1-叔丁氧基-4-（N-苯基氨基）哌啶</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14.N-苯基-N-（4-哌啶基）丙酰胺</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15.大麻二酚</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16.2-甲基-3-苯基缩水甘油酸及其酯类物质</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17.3-氧-2-苯基丁酸及其酯类物质</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18.2-甲基-3-[3，4-（亚甲二氧基）苯基]缩水甘油酸酯类物质</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19.4-哌啶酮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20.1-boc-4-哌啶酮</w:t>
      </w:r>
    </w:p>
    <w:p>
      <w:pPr>
        <w:autoSpaceDE w:val="0"/>
        <w:autoSpaceDN w:val="0"/>
        <w:adjustRightInd w:val="0"/>
        <w:ind w:firstLine="643"/>
        <w:jc w:val="left"/>
        <w:rPr>
          <w:rFonts w:ascii="Times New Roman" w:hAnsi="Times New Roman" w:cs="FZSSK--GBK1-0"/>
          <w:b/>
          <w:bCs/>
          <w:kern w:val="0"/>
          <w:szCs w:val="21"/>
        </w:rPr>
      </w:pPr>
      <w:r>
        <w:rPr>
          <w:rFonts w:hint="eastAsia" w:ascii="Times New Roman" w:hAnsi="Times New Roman" w:cs="FZSSK--GBK1-0"/>
          <w:b/>
          <w:bCs/>
          <w:kern w:val="0"/>
          <w:szCs w:val="21"/>
        </w:rPr>
        <w:t>第三类</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1．甲苯</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2．丙酮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3．甲基乙基酮</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4．高锰酸钾</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5．硫酸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6．盐酸</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7．苯乙腈</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8．γ-丁内酯</w:t>
      </w:r>
    </w:p>
    <w:p>
      <w:pPr>
        <w:autoSpaceDE w:val="0"/>
        <w:autoSpaceDN w:val="0"/>
        <w:adjustRightInd w:val="0"/>
        <w:ind w:firstLine="480"/>
        <w:jc w:val="left"/>
        <w:rPr>
          <w:rFonts w:ascii="Times New Roman" w:hAnsi="Times New Roman" w:cs="FZSSK--GBK1-0"/>
          <w:kern w:val="0"/>
          <w:sz w:val="24"/>
        </w:rPr>
      </w:pPr>
      <w:r>
        <w:rPr>
          <w:rFonts w:hint="eastAsia" w:ascii="Times New Roman" w:hAnsi="Times New Roman" w:cs="FZSSK--GBK1-0"/>
          <w:kern w:val="0"/>
          <w:sz w:val="24"/>
        </w:rPr>
        <w:t>说明：</w:t>
      </w:r>
    </w:p>
    <w:p>
      <w:pPr>
        <w:autoSpaceDE w:val="0"/>
        <w:autoSpaceDN w:val="0"/>
        <w:adjustRightInd w:val="0"/>
        <w:ind w:firstLine="480"/>
        <w:jc w:val="left"/>
        <w:rPr>
          <w:rFonts w:ascii="Times New Roman" w:hAnsi="Times New Roman" w:cs="FZSSK--GBK1-0"/>
          <w:kern w:val="0"/>
          <w:sz w:val="24"/>
        </w:rPr>
      </w:pPr>
      <w:r>
        <w:rPr>
          <w:rFonts w:hint="eastAsia" w:ascii="Times New Roman" w:hAnsi="Times New Roman" w:cs="FZSSK--GBK1-0"/>
          <w:kern w:val="0"/>
          <w:sz w:val="24"/>
        </w:rPr>
        <w:t>一、第一类、第二类所列物质可能存在的盐类，也纳入管制。</w:t>
      </w:r>
    </w:p>
    <w:p>
      <w:pPr>
        <w:autoSpaceDE w:val="0"/>
        <w:autoSpaceDN w:val="0"/>
        <w:adjustRightInd w:val="0"/>
        <w:ind w:firstLine="480"/>
        <w:jc w:val="left"/>
        <w:rPr>
          <w:rFonts w:ascii="Times New Roman" w:hAnsi="Times New Roman" w:cs="FZSSK--GBK1-0"/>
          <w:kern w:val="0"/>
          <w:sz w:val="24"/>
        </w:rPr>
        <w:sectPr>
          <w:pgSz w:w="11910" w:h="16840"/>
          <w:pgMar w:top="1580" w:right="1562" w:bottom="1900" w:left="1020" w:header="0" w:footer="1621" w:gutter="0"/>
          <w:cols w:space="720" w:num="1"/>
        </w:sectPr>
      </w:pPr>
      <w:r>
        <w:rPr>
          <w:rFonts w:hint="eastAsia" w:ascii="Times New Roman" w:hAnsi="Times New Roman" w:cs="FZSSK--GBK1-0"/>
          <w:kern w:val="0"/>
          <w:sz w:val="24"/>
        </w:rPr>
        <w:t>二、带有＊标记的品种为第一类中的药品类易制毒化学品，第一类中的药品类易制毒化学品包括原料药及其单方制剂。</w:t>
      </w:r>
    </w:p>
    <w:p>
      <w:pPr>
        <w:numPr>
          <w:ilvl w:val="255"/>
          <w:numId w:val="0"/>
        </w:numPr>
        <w:tabs>
          <w:tab w:val="left" w:pos="0"/>
        </w:tabs>
        <w:ind w:left="640" w:leftChars="20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12" w:name="_Toc225353476"/>
      <w:bookmarkStart w:id="113" w:name="_Toc224910892"/>
      <w:r>
        <w:rPr>
          <w:rFonts w:hint="eastAsia" w:ascii="Times New Roman" w:hAnsi="Times New Roman" w:eastAsia="楷体_GB2312" w:cs="楷体_GB2312"/>
          <w:b/>
          <w:bCs/>
          <w:color w:val="000000" w:themeColor="text1"/>
          <w:szCs w:val="32"/>
          <w14:textFill>
            <w14:solidFill>
              <w14:schemeClr w14:val="tx1"/>
            </w14:solidFill>
          </w14:textFill>
        </w:rPr>
        <w:t>附件4 实验室常见的危险化学物质</w:t>
      </w:r>
      <w:bookmarkEnd w:id="112"/>
      <w:bookmarkEnd w:id="113"/>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一、爆炸品</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硝酸纤维苦味酸、三硝基甲苯、三硝基苯、2，4，6-三硝基苯甲硝胺、叠氮或重氮化合物；</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二、压缩气体和液化气体</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氢气、甲烷、氧、压缩空气、氨、氮、氩、液化石油气、氯等。其中氯、氨有腐蚀毒害性；</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三、易燃液体</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石油醚、乙醚、汽油、二硫化碳、丙酮、苯、乙酸乙酯、甲苯、二甲苯、</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煤油、丙烯腈、乙腈、四氢呋喃、甲醇、乙醇等；</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四、易燃固体</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黄磷、赛璐珞、硝化棉、烷基铝、钾、钠、锂、钙、钠钾合金、钠汞齐、氯化铝锂、电石、连二亚硫酸钠等；</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五、氧化剂和有机过氧化物</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硝酸铵、硝酸钾、硝酸钠、亚硝酸钾、高氯酸钾、高氯酸钠、重铬酸钾、重铬酸钠、高锰酸钾、高锰酸钠、氯酸钾、氯酸铵、过硫酸钠、过氧化氢、过氧化钠、过氧化钾、氧化银、硝酸银、碘酸、高硼酸钠、溴化钾、次氯酸钠、次氯酸钙等；</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六、剧毒物质</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氰化钾、氰化钠、砷、汞、五氧化二砷、氧化汞、硝酸汞、氯化汞、苯酚、硫酸二甲酯；</w:t>
      </w:r>
    </w:p>
    <w:p>
      <w:pPr>
        <w:autoSpaceDE w:val="0"/>
        <w:autoSpaceDN w:val="0"/>
        <w:adjustRightInd w:val="0"/>
        <w:ind w:firstLine="640"/>
        <w:jc w:val="left"/>
        <w:rPr>
          <w:rFonts w:ascii="Times New Roman" w:hAnsi="Times New Roman" w:cs="FZSSK--GBK1-0"/>
          <w:kern w:val="0"/>
          <w:szCs w:val="21"/>
        </w:rPr>
      </w:pPr>
      <w:r>
        <w:rPr>
          <w:rFonts w:hint="eastAsia" w:ascii="Times New Roman" w:hAnsi="Times New Roman" w:cs="FZSSK--GBK1-0"/>
          <w:kern w:val="0"/>
          <w:szCs w:val="21"/>
        </w:rPr>
        <w:t>七、腐蚀性物质</w:t>
      </w:r>
    </w:p>
    <w:p>
      <w:pPr>
        <w:autoSpaceDE w:val="0"/>
        <w:autoSpaceDN w:val="0"/>
        <w:adjustRightInd w:val="0"/>
        <w:ind w:firstLine="640"/>
        <w:jc w:val="left"/>
        <w:rPr>
          <w:rFonts w:ascii="Times New Roman" w:hAnsi="Times New Roman" w:cs="FZSSK--GBK1-0"/>
          <w:kern w:val="0"/>
          <w:szCs w:val="21"/>
        </w:rPr>
        <w:sectPr>
          <w:pgSz w:w="11910" w:h="16840"/>
          <w:pgMar w:top="1580" w:right="1562" w:bottom="1900" w:left="1020" w:header="0" w:footer="1621" w:gutter="0"/>
          <w:cols w:space="720" w:num="1"/>
        </w:sectPr>
      </w:pPr>
      <w:r>
        <w:rPr>
          <w:rFonts w:hint="eastAsia" w:ascii="Times New Roman" w:hAnsi="Times New Roman" w:cs="FZSSK--GBK1-0"/>
          <w:kern w:val="0"/>
          <w:szCs w:val="21"/>
        </w:rPr>
        <w:t>发烟硫酸、浓硫酸、发烟硝酸、浓硝酸、浓盐酸、氢氟酸、氢溴酸、高氯酸、氯磺酸、氯化亚砜、甲酸、乙酸酐、五氧化二磷、液溴、氢氧化钠、氢氧化钾、硫化钠、苯酚钠、水合肼、氨水、甲醛溶液、氢氧化锂、氧化钠、氧化钾、丙烯酸等。</w:t>
      </w:r>
    </w:p>
    <w:p>
      <w:pPr>
        <w:numPr>
          <w:ilvl w:val="255"/>
          <w:numId w:val="0"/>
        </w:numPr>
        <w:tabs>
          <w:tab w:val="left" w:pos="0"/>
        </w:tabs>
        <w:ind w:left="640" w:leftChars="20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14" w:name="_Toc225353477"/>
      <w:bookmarkStart w:id="115" w:name="_Toc224910893"/>
      <w:r>
        <w:rPr>
          <w:rFonts w:hint="eastAsia" w:ascii="Times New Roman" w:hAnsi="Times New Roman" w:eastAsia="楷体_GB2312" w:cs="楷体_GB2312"/>
          <w:b/>
          <w:bCs/>
          <w:color w:val="000000" w:themeColor="text1"/>
          <w:szCs w:val="32"/>
          <w14:textFill>
            <w14:solidFill>
              <w14:schemeClr w14:val="tx1"/>
            </w14:solidFill>
          </w14:textFill>
        </w:rPr>
        <w:t>附件5 易制爆危险化学品名录</w:t>
      </w:r>
      <w:bookmarkEnd w:id="114"/>
      <w:bookmarkEnd w:id="115"/>
    </w:p>
    <w:tbl>
      <w:tblPr>
        <w:tblStyle w:val="1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605"/>
        <w:gridCol w:w="1557"/>
        <w:gridCol w:w="8"/>
        <w:gridCol w:w="1793"/>
        <w:gridCol w:w="40"/>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907" w:type="dxa"/>
            <w:vAlign w:val="center"/>
          </w:tcPr>
          <w:p>
            <w:pPr>
              <w:spacing w:line="240" w:lineRule="auto"/>
              <w:ind w:firstLine="0" w:firstLineChars="0"/>
              <w:jc w:val="center"/>
              <w:rPr>
                <w:rFonts w:ascii="Times New Roman" w:hAnsi="Times New Roman"/>
                <w:b/>
                <w:bCs/>
                <w:sz w:val="24"/>
              </w:rPr>
            </w:pPr>
            <w:r>
              <w:rPr>
                <w:rFonts w:hint="eastAsia" w:ascii="Times New Roman" w:hAnsi="Times New Roman"/>
                <w:b/>
                <w:bCs/>
                <w:sz w:val="24"/>
              </w:rPr>
              <w:t>序号</w:t>
            </w:r>
          </w:p>
        </w:tc>
        <w:tc>
          <w:tcPr>
            <w:tcW w:w="1605" w:type="dxa"/>
            <w:vAlign w:val="center"/>
          </w:tcPr>
          <w:p>
            <w:pPr>
              <w:spacing w:line="240" w:lineRule="auto"/>
              <w:ind w:firstLine="0" w:firstLineChars="0"/>
              <w:jc w:val="center"/>
              <w:rPr>
                <w:rFonts w:ascii="Times New Roman" w:hAnsi="Times New Roman"/>
                <w:b/>
                <w:bCs/>
                <w:sz w:val="24"/>
              </w:rPr>
            </w:pPr>
            <w:r>
              <w:rPr>
                <w:rFonts w:hint="eastAsia" w:ascii="Times New Roman" w:hAnsi="Times New Roman"/>
                <w:b/>
                <w:bCs/>
                <w:sz w:val="24"/>
              </w:rPr>
              <w:t>品名</w:t>
            </w:r>
          </w:p>
        </w:tc>
        <w:tc>
          <w:tcPr>
            <w:tcW w:w="1557" w:type="dxa"/>
            <w:vAlign w:val="center"/>
          </w:tcPr>
          <w:p>
            <w:pPr>
              <w:spacing w:line="240" w:lineRule="auto"/>
              <w:ind w:firstLine="0" w:firstLineChars="0"/>
              <w:jc w:val="center"/>
              <w:rPr>
                <w:rFonts w:ascii="Times New Roman" w:hAnsi="Times New Roman"/>
                <w:b/>
                <w:bCs/>
                <w:sz w:val="24"/>
              </w:rPr>
            </w:pPr>
            <w:r>
              <w:rPr>
                <w:rFonts w:hint="eastAsia" w:ascii="Times New Roman" w:hAnsi="Times New Roman"/>
                <w:b/>
                <w:bCs/>
                <w:sz w:val="24"/>
              </w:rPr>
              <w:t>别名</w:t>
            </w:r>
          </w:p>
        </w:tc>
        <w:tc>
          <w:tcPr>
            <w:tcW w:w="1841" w:type="dxa"/>
            <w:gridSpan w:val="3"/>
            <w:vAlign w:val="center"/>
          </w:tcPr>
          <w:p>
            <w:pPr>
              <w:spacing w:line="240" w:lineRule="auto"/>
              <w:ind w:firstLine="0" w:firstLineChars="0"/>
              <w:jc w:val="center"/>
              <w:rPr>
                <w:rFonts w:ascii="Times New Roman" w:hAnsi="Times New Roman"/>
                <w:b/>
                <w:bCs/>
                <w:sz w:val="24"/>
              </w:rPr>
            </w:pPr>
            <w:r>
              <w:rPr>
                <w:rFonts w:hint="eastAsia" w:ascii="Times New Roman" w:hAnsi="Times New Roman"/>
                <w:b/>
                <w:bCs/>
                <w:sz w:val="24"/>
              </w:rPr>
              <w:t>CAS号</w:t>
            </w:r>
          </w:p>
        </w:tc>
        <w:tc>
          <w:tcPr>
            <w:tcW w:w="2987" w:type="dxa"/>
            <w:vAlign w:val="center"/>
          </w:tcPr>
          <w:p>
            <w:pPr>
              <w:spacing w:line="240" w:lineRule="auto"/>
              <w:ind w:firstLine="0" w:firstLineChars="0"/>
              <w:jc w:val="center"/>
              <w:rPr>
                <w:rFonts w:ascii="Times New Roman" w:hAnsi="Times New Roman"/>
                <w:b/>
                <w:bCs/>
                <w:sz w:val="24"/>
              </w:rPr>
            </w:pPr>
            <w:r>
              <w:rPr>
                <w:rFonts w:hint="eastAsia" w:ascii="Times New Roman" w:hAnsi="Times New Roman"/>
                <w:b/>
                <w:bCs/>
                <w:sz w:val="24"/>
              </w:rPr>
              <w:t>主要的燃爆</w:t>
            </w:r>
          </w:p>
          <w:p>
            <w:pPr>
              <w:spacing w:line="240" w:lineRule="auto"/>
              <w:ind w:firstLine="0" w:firstLineChars="0"/>
              <w:jc w:val="center"/>
              <w:rPr>
                <w:rFonts w:ascii="Times New Roman" w:hAnsi="Times New Roman"/>
                <w:b/>
                <w:bCs/>
                <w:sz w:val="24"/>
              </w:rPr>
            </w:pPr>
            <w:r>
              <w:rPr>
                <w:rFonts w:hint="eastAsia" w:ascii="Times New Roman" w:hAnsi="Times New Roman"/>
                <w:b/>
                <w:bCs/>
                <w:sz w:val="24"/>
              </w:rPr>
              <w:t>危险性分类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1酸类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7697-37-2</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发烟硝酸</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52583-42-3</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高氯酸[浓度＞72%]</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过氯酸</w:t>
            </w: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7601-90-3</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高氯酸[浓度50%～72%]</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高氯酸[浓度≤50%]</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 硝酸盐类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硝酸钠</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7631-99-4</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硝酸钾</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7757-79-1</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2.3</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硝酸铯</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7789-18-6</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硝酸镁</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10377-60-3</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硝酸钙</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10124-37-5</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硝酸锶</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10042-76-9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2.7</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硝酸钡</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10022-31-8</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2.8</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硝酸镍</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二硝酸镍</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13138-45-9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w:t>
            </w:r>
          </w:p>
        </w:tc>
        <w:tc>
          <w:tcPr>
            <w:tcW w:w="1605" w:type="dxa"/>
            <w:vAlign w:val="center"/>
          </w:tcPr>
          <w:p>
            <w:pPr>
              <w:spacing w:line="240" w:lineRule="auto"/>
              <w:ind w:firstLine="0" w:firstLineChars="0"/>
              <w:jc w:val="center"/>
              <w:rPr>
                <w:rFonts w:ascii="Times New Roman" w:hAnsi="Times New Roman"/>
                <w:sz w:val="24"/>
              </w:rPr>
            </w:pPr>
            <w:bookmarkStart w:id="116" w:name="RANGE!B19"/>
            <w:r>
              <w:rPr>
                <w:rFonts w:hint="eastAsia" w:ascii="Times New Roman" w:hAnsi="Times New Roman"/>
                <w:sz w:val="24"/>
              </w:rPr>
              <w:t>硝酸银</w:t>
            </w:r>
            <w:bookmarkEnd w:id="116"/>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7761-88-8</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2.10</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硝酸锌</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7779-88-6</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硝酸铅</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10099-74-8</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 氯酸盐类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氯酸钠</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7775-09-9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pacing w:val="-10"/>
                <w:sz w:val="24"/>
              </w:rPr>
            </w:pPr>
            <w:r>
              <w:rPr>
                <w:rFonts w:hint="eastAsia" w:ascii="Times New Roman" w:hAnsi="Times New Roman"/>
                <w:spacing w:val="-10"/>
                <w:sz w:val="24"/>
              </w:rPr>
              <w:t>氯酸钠溶液</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氯酸钾</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3811-04-9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pacing w:val="-10"/>
                <w:sz w:val="24"/>
              </w:rPr>
            </w:pPr>
            <w:r>
              <w:rPr>
                <w:rFonts w:hint="eastAsia" w:ascii="Times New Roman" w:hAnsi="Times New Roman"/>
                <w:spacing w:val="-10"/>
                <w:sz w:val="24"/>
              </w:rPr>
              <w:t>氯酸钾溶液</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3.3</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氯酸铵</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10192-29-7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爆炸物，不稳定爆炸物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 高氯酸盐类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高氯酸锂</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过氯酸锂</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7791-03-9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4. 2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高氯酸钠</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过氯酸钠</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7601-89-0</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4. 3</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高氯酸钾</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过氯酸钾</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7778-74-7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4. 4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高氯酸铵</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过氯酸铵</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7790-98-9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爆炸物，1.1项</w:t>
            </w:r>
          </w:p>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 重铬酸盐类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1"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5. 1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重铬酸锂</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13843-81-7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5. 2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重铬酸钠</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红矾钠</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10588-01-9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5. 3</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重铬酸钾</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红矾钾</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7778-50-9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5. 4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重铬酸铵</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红矾铵</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7789-09-5</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75"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 过氧化物和超氧化物类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0"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过氧化氢溶液（含量&gt;8%）</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双氧水</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7722-84-1</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（1）含量≥60%</w:t>
            </w:r>
          </w:p>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氧化性液体，类别1</w:t>
            </w:r>
          </w:p>
          <w:p>
            <w:pPr>
              <w:spacing w:line="240" w:lineRule="auto"/>
              <w:ind w:firstLine="0" w:firstLineChars="0"/>
              <w:jc w:val="center"/>
              <w:rPr>
                <w:rFonts w:ascii="Times New Roman" w:hAnsi="Times New Roman"/>
                <w:sz w:val="24"/>
              </w:rPr>
            </w:pPr>
            <w:r>
              <w:rPr>
                <w:rFonts w:hint="eastAsia" w:ascii="Times New Roman" w:hAnsi="Times New Roman"/>
                <w:sz w:val="24"/>
              </w:rPr>
              <w:t>（2）20%≤含量＜60%</w:t>
            </w:r>
          </w:p>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氧化性液体，类别2</w:t>
            </w:r>
          </w:p>
          <w:p>
            <w:pPr>
              <w:spacing w:line="240" w:lineRule="auto"/>
              <w:ind w:firstLine="0" w:firstLineChars="0"/>
              <w:jc w:val="center"/>
              <w:rPr>
                <w:rFonts w:ascii="Times New Roman" w:hAnsi="Times New Roman"/>
                <w:sz w:val="24"/>
              </w:rPr>
            </w:pPr>
            <w:r>
              <w:rPr>
                <w:rFonts w:hint="eastAsia" w:ascii="Times New Roman" w:hAnsi="Times New Roman"/>
                <w:sz w:val="24"/>
              </w:rPr>
              <w:t>（3）8%&lt;含量&lt;20%</w:t>
            </w:r>
          </w:p>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过氧化锂</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二氧化锂</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12031-80-0</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6.3</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过氧化钠</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双氧化钠；二氧化钠</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1313-60-6</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过氧化钾</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二氧化钾</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17014-71-0</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过氧化镁</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二氧化镁</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1335-26-8</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氧化性液体，类别2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过氧化钙</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二氧化钙</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1305-79-9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过氧化锶</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二氧化锶</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1314-18-7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6.8</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过氧化钡</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二氧化钡</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1304-29-6</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6.9</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过氧化锌</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二氧化锌</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1314-22-3</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6.10</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过氧化脲</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过氧化氢尿素；过氧化氢脲</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124-43-6</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8"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6.11</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过乙酸[含量≤16%，含水≥39%，含乙酸≥15%，含过氧化氢≤24%，含有稳定剂]</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过醋酸；过氧乙酸；乙</w:t>
            </w:r>
            <w:r>
              <w:rPr>
                <w:rFonts w:hint="eastAsia" w:ascii="Times New Roman" w:hAnsi="Times New Roman"/>
                <w:spacing w:val="-10"/>
                <w:sz w:val="24"/>
              </w:rPr>
              <w:t>酰过氧化氢</w:t>
            </w: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79-21-0</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有机过氧化物F型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98"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过乙酸[含量≤43%，含水≥5%，含乙酸≥35%，含过氧化氢≤6%，含有稳定剂]</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易燃液体，类别3</w:t>
            </w:r>
          </w:p>
          <w:p>
            <w:pPr>
              <w:spacing w:line="240" w:lineRule="auto"/>
              <w:ind w:firstLine="0" w:firstLineChars="0"/>
              <w:jc w:val="center"/>
              <w:rPr>
                <w:rFonts w:ascii="Times New Roman" w:hAnsi="Times New Roman"/>
                <w:sz w:val="24"/>
              </w:rPr>
            </w:pPr>
            <w:r>
              <w:rPr>
                <w:rFonts w:hint="eastAsia" w:ascii="Times New Roman" w:hAnsi="Times New Roman"/>
                <w:sz w:val="24"/>
              </w:rPr>
              <w:t>有机过氧化物，D型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过氧化二异丙苯[52%＜含量≤100%]</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二枯基过氧化物；硫化剂DCP</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80-43-3</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有机过氧化物，F型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6.13</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过氧化氢苯甲酰</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过苯甲酸</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93-59-4</w:t>
            </w: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有机过氧化物，C型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超氧化钠</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12034-12-7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6.15</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超氧化钾</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12030-88-5</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氧化性固体，类别1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 易燃物还原剂类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锂</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金属锂</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7439-93-2</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钠</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金属钠</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7440-23-5</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7.3</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钾</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金属钾</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7440-09-7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9"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镁</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7439-95-4</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（1）粉末：自热物质和混合物，类别1</w:t>
            </w:r>
          </w:p>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遇水放出易燃气体的物质和混合物，类别2</w:t>
            </w:r>
          </w:p>
          <w:p>
            <w:pPr>
              <w:spacing w:line="240" w:lineRule="auto"/>
              <w:ind w:firstLine="0" w:firstLineChars="0"/>
              <w:jc w:val="center"/>
              <w:rPr>
                <w:rFonts w:ascii="Times New Roman" w:hAnsi="Times New Roman"/>
                <w:sz w:val="24"/>
              </w:rPr>
            </w:pPr>
            <w:r>
              <w:rPr>
                <w:rFonts w:hint="eastAsia" w:ascii="Times New Roman" w:hAnsi="Times New Roman"/>
                <w:sz w:val="24"/>
              </w:rPr>
              <w:t>（2）</w:t>
            </w:r>
            <w:r>
              <w:rPr>
                <w:rFonts w:hint="eastAsia" w:ascii="Times New Roman" w:hAnsi="Times New Roman"/>
                <w:spacing w:val="-10"/>
                <w:sz w:val="24"/>
              </w:rPr>
              <w:t>丸状、旋屑或带状：</w:t>
            </w:r>
          </w:p>
          <w:p>
            <w:pPr>
              <w:spacing w:line="240" w:lineRule="auto"/>
              <w:ind w:firstLine="0" w:firstLineChars="0"/>
              <w:jc w:val="center"/>
              <w:rPr>
                <w:rFonts w:ascii="Times New Roman" w:hAnsi="Times New Roman"/>
                <w:sz w:val="24"/>
              </w:rPr>
            </w:pPr>
            <w:r>
              <w:rPr>
                <w:rFonts w:hint="eastAsia" w:ascii="Times New Roman" w:hAnsi="Times New Roman"/>
                <w:sz w:val="24"/>
              </w:rPr>
              <w:t>易燃固体，类别2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7.5</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镁铝粉</w:t>
            </w:r>
          </w:p>
        </w:tc>
        <w:tc>
          <w:tcPr>
            <w:tcW w:w="1557" w:type="dxa"/>
            <w:vAlign w:val="center"/>
          </w:tcPr>
          <w:p>
            <w:pPr>
              <w:spacing w:line="240" w:lineRule="auto"/>
              <w:ind w:firstLine="0" w:firstLineChars="0"/>
              <w:jc w:val="center"/>
              <w:rPr>
                <w:rFonts w:ascii="Times New Roman" w:hAnsi="Times New Roman"/>
                <w:spacing w:val="-10"/>
                <w:sz w:val="24"/>
              </w:rPr>
            </w:pPr>
            <w:r>
              <w:rPr>
                <w:rFonts w:hint="eastAsia" w:ascii="Times New Roman" w:hAnsi="Times New Roman"/>
                <w:spacing w:val="-10"/>
                <w:sz w:val="24"/>
              </w:rPr>
              <w:t>镁铝合金粉</w:t>
            </w:r>
          </w:p>
        </w:tc>
        <w:tc>
          <w:tcPr>
            <w:tcW w:w="1841" w:type="dxa"/>
            <w:gridSpan w:val="3"/>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遇水放出易燃气体的物质和混合物，类别2</w:t>
            </w:r>
          </w:p>
          <w:p>
            <w:pPr>
              <w:spacing w:line="240" w:lineRule="auto"/>
              <w:ind w:firstLine="0" w:firstLineChars="0"/>
              <w:jc w:val="center"/>
              <w:rPr>
                <w:rFonts w:ascii="Times New Roman" w:hAnsi="Times New Roman"/>
                <w:spacing w:val="-16"/>
                <w:sz w:val="24"/>
              </w:rPr>
            </w:pPr>
            <w:r>
              <w:rPr>
                <w:rFonts w:hint="eastAsia" w:ascii="Times New Roman" w:hAnsi="Times New Roman"/>
                <w:spacing w:val="-16"/>
                <w:sz w:val="24"/>
              </w:rPr>
              <w:t>自热物质和混合物，类别1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铝粉</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7429-90-5</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（1）有涂层：易燃固体，类别1</w:t>
            </w:r>
          </w:p>
          <w:p>
            <w:pPr>
              <w:spacing w:line="240" w:lineRule="auto"/>
              <w:ind w:firstLine="0" w:firstLineChars="0"/>
              <w:jc w:val="center"/>
              <w:rPr>
                <w:rFonts w:ascii="Times New Roman" w:hAnsi="Times New Roman"/>
                <w:sz w:val="24"/>
              </w:rPr>
            </w:pPr>
            <w:r>
              <w:rPr>
                <w:rFonts w:hint="eastAsia" w:ascii="Times New Roman" w:hAnsi="Times New Roman"/>
                <w:sz w:val="24"/>
              </w:rPr>
              <w:t>（2）无涂层：遇水放出易燃气体的物质和混合物，类别2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硅铝</w:t>
            </w:r>
          </w:p>
        </w:tc>
        <w:tc>
          <w:tcPr>
            <w:tcW w:w="1557" w:type="dxa"/>
            <w:vMerge w:val="restart"/>
            <w:vAlign w:val="center"/>
          </w:tcPr>
          <w:p>
            <w:pPr>
              <w:spacing w:line="240" w:lineRule="auto"/>
              <w:ind w:firstLine="0" w:firstLineChars="0"/>
              <w:jc w:val="center"/>
              <w:rPr>
                <w:rFonts w:ascii="Times New Roman" w:hAnsi="Times New Roman"/>
                <w:sz w:val="24"/>
              </w:rPr>
            </w:pP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57485-31-1</w:t>
            </w:r>
          </w:p>
        </w:tc>
        <w:tc>
          <w:tcPr>
            <w:tcW w:w="298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硅铝粉</w:t>
            </w:r>
          </w:p>
        </w:tc>
        <w:tc>
          <w:tcPr>
            <w:tcW w:w="1557" w:type="dxa"/>
            <w:vMerge w:val="continue"/>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Merge w:val="continue"/>
            <w:vAlign w:val="center"/>
          </w:tcPr>
          <w:p>
            <w:pPr>
              <w:spacing w:line="240" w:lineRule="auto"/>
              <w:ind w:firstLine="0" w:firstLineChars="0"/>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硫磺</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硫</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7704-34-9</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7.9</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锌尘</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7440-66-6</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自热物质和混合物，类别1；遇水放出易燃气</w:t>
            </w:r>
            <w:r>
              <w:rPr>
                <w:rFonts w:hint="eastAsia" w:ascii="Times New Roman" w:hAnsi="Times New Roman"/>
                <w:spacing w:val="-16"/>
                <w:sz w:val="24"/>
              </w:rPr>
              <w:t>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05"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锌粉</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自热物质和混合物，类别1；遇水放出易燃气</w:t>
            </w:r>
            <w:r>
              <w:rPr>
                <w:rFonts w:hint="eastAsia" w:ascii="Times New Roman" w:hAnsi="Times New Roman"/>
                <w:spacing w:val="-16"/>
                <w:sz w:val="24"/>
              </w:rPr>
              <w:t>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锌灰</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7.10</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金属锆</w:t>
            </w:r>
          </w:p>
        </w:tc>
        <w:tc>
          <w:tcPr>
            <w:tcW w:w="1557" w:type="dxa"/>
            <w:vAlign w:val="center"/>
          </w:tcPr>
          <w:p>
            <w:pPr>
              <w:spacing w:line="240" w:lineRule="auto"/>
              <w:ind w:firstLine="0" w:firstLineChars="0"/>
              <w:jc w:val="center"/>
              <w:rPr>
                <w:rFonts w:ascii="Times New Roman" w:hAnsi="Times New Roman"/>
                <w:sz w:val="24"/>
              </w:rPr>
            </w:pP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7440-67-7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金属锆粉</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锆粉</w:t>
            </w: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自燃固体，类别1，遇水放出易燃气体的物质和混合物，类别1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7.11</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六亚甲基四胺</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六甲撑四</w:t>
            </w:r>
            <w:r>
              <w:rPr>
                <w:rFonts w:hint="eastAsia" w:ascii="Times New Roman" w:hAnsi="Times New Roman"/>
                <w:spacing w:val="-20"/>
                <w:sz w:val="24"/>
              </w:rPr>
              <w:t>胺；乌洛托品</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100-97-0</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7.12</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1，2-乙二胺</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1，2-二氨基乙烷；乙撑二胺</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107-15-3</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7.13</w:t>
            </w:r>
          </w:p>
        </w:tc>
        <w:tc>
          <w:tcPr>
            <w:tcW w:w="1605" w:type="dxa"/>
            <w:vAlign w:val="center"/>
          </w:tcPr>
          <w:p>
            <w:pPr>
              <w:spacing w:line="240" w:lineRule="auto"/>
              <w:ind w:firstLine="0" w:firstLineChars="0"/>
              <w:jc w:val="center"/>
              <w:rPr>
                <w:rFonts w:ascii="Times New Roman" w:hAnsi="Times New Roman"/>
                <w:spacing w:val="-20"/>
                <w:sz w:val="24"/>
              </w:rPr>
            </w:pPr>
            <w:r>
              <w:rPr>
                <w:rFonts w:hint="eastAsia" w:ascii="Times New Roman" w:hAnsi="Times New Roman"/>
                <w:spacing w:val="-20"/>
                <w:sz w:val="24"/>
              </w:rPr>
              <w:t>一甲胺[无水]</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氨基甲烷；甲胺</w:t>
            </w:r>
          </w:p>
        </w:tc>
        <w:tc>
          <w:tcPr>
            <w:tcW w:w="1841" w:type="dxa"/>
            <w:gridSpan w:val="3"/>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74-89-5</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易燃气体，类别1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spacing w:line="240" w:lineRule="auto"/>
              <w:ind w:firstLine="0" w:firstLineChars="0"/>
              <w:jc w:val="center"/>
              <w:rPr>
                <w:rFonts w:ascii="Times New Roman" w:hAnsi="Times New Roman"/>
                <w:spacing w:val="-20"/>
                <w:sz w:val="24"/>
              </w:rPr>
            </w:pPr>
            <w:r>
              <w:rPr>
                <w:rFonts w:hint="eastAsia" w:ascii="Times New Roman" w:hAnsi="Times New Roman"/>
                <w:spacing w:val="-20"/>
                <w:sz w:val="24"/>
              </w:rPr>
              <w:t>一甲胺溶液</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氨基甲烷溶液；甲胺溶液</w:t>
            </w:r>
          </w:p>
        </w:tc>
        <w:tc>
          <w:tcPr>
            <w:tcW w:w="1841" w:type="dxa"/>
            <w:gridSpan w:val="3"/>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易燃液体，类别1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7.14</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硼氢化锂</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氢硼化锂</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16949-15-8</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7.15</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硼氢化钠</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氢硼化钠</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16940-66-2</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7.16</w:t>
            </w:r>
          </w:p>
        </w:tc>
        <w:tc>
          <w:tcPr>
            <w:tcW w:w="1605"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硼氢化钾</w:t>
            </w:r>
          </w:p>
        </w:tc>
        <w:tc>
          <w:tcPr>
            <w:tcW w:w="155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氢硼化钾</w:t>
            </w:r>
          </w:p>
        </w:tc>
        <w:tc>
          <w:tcPr>
            <w:tcW w:w="1841" w:type="dxa"/>
            <w:gridSpan w:val="3"/>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13762-51-1</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遇水放出易燃气体的物质和混合物，类别1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 硝基化合物类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8.1</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硝基甲烷</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75-52-5</w:t>
            </w:r>
          </w:p>
        </w:tc>
        <w:tc>
          <w:tcPr>
            <w:tcW w:w="3027" w:type="dxa"/>
            <w:gridSpan w:val="2"/>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8.2</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硝基乙烷</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79-24-3</w:t>
            </w:r>
          </w:p>
        </w:tc>
        <w:tc>
          <w:tcPr>
            <w:tcW w:w="3027" w:type="dxa"/>
            <w:gridSpan w:val="2"/>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易燃液体，类别3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8.3</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2，4-二硝基甲苯</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121-14-2</w:t>
            </w:r>
          </w:p>
        </w:tc>
        <w:tc>
          <w:tcPr>
            <w:tcW w:w="3027" w:type="dxa"/>
            <w:gridSpan w:val="2"/>
            <w:vAlign w:val="center"/>
          </w:tcPr>
          <w:p>
            <w:pPr>
              <w:widowControl/>
              <w:spacing w:line="240" w:lineRule="auto"/>
              <w:ind w:firstLine="0" w:firstLineChars="0"/>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8.4</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2，6-二硝基甲苯</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606-20-2</w:t>
            </w:r>
          </w:p>
        </w:tc>
        <w:tc>
          <w:tcPr>
            <w:tcW w:w="3027" w:type="dxa"/>
            <w:gridSpan w:val="2"/>
            <w:vAlign w:val="center"/>
          </w:tcPr>
          <w:p>
            <w:pPr>
              <w:widowControl/>
              <w:spacing w:line="240" w:lineRule="auto"/>
              <w:ind w:firstLine="0" w:firstLineChars="0"/>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4"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8.5</w:t>
            </w:r>
          </w:p>
        </w:tc>
        <w:tc>
          <w:tcPr>
            <w:tcW w:w="1605" w:type="dxa"/>
            <w:vAlign w:val="center"/>
          </w:tcPr>
          <w:p>
            <w:pPr>
              <w:widowControl/>
              <w:spacing w:line="240" w:lineRule="auto"/>
              <w:ind w:firstLine="0" w:firstLineChars="0"/>
              <w:jc w:val="center"/>
              <w:rPr>
                <w:rFonts w:ascii="Times New Roman" w:hAnsi="Times New Roman"/>
                <w:spacing w:val="-30"/>
                <w:sz w:val="24"/>
              </w:rPr>
            </w:pPr>
            <w:r>
              <w:rPr>
                <w:rFonts w:hint="eastAsia" w:ascii="Times New Roman" w:hAnsi="Times New Roman"/>
                <w:spacing w:val="-30"/>
                <w:sz w:val="24"/>
              </w:rPr>
              <w:t>1，5-二硝基萘</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605-71-0</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8.6</w:t>
            </w:r>
          </w:p>
        </w:tc>
        <w:tc>
          <w:tcPr>
            <w:tcW w:w="1605" w:type="dxa"/>
            <w:vAlign w:val="center"/>
          </w:tcPr>
          <w:p>
            <w:pPr>
              <w:widowControl/>
              <w:spacing w:line="240" w:lineRule="auto"/>
              <w:ind w:firstLine="0" w:firstLineChars="0"/>
              <w:jc w:val="center"/>
              <w:rPr>
                <w:rFonts w:ascii="Times New Roman" w:hAnsi="Times New Roman"/>
                <w:spacing w:val="-30"/>
                <w:sz w:val="24"/>
              </w:rPr>
            </w:pPr>
            <w:r>
              <w:rPr>
                <w:rFonts w:hint="eastAsia" w:ascii="Times New Roman" w:hAnsi="Times New Roman"/>
                <w:spacing w:val="-30"/>
                <w:sz w:val="24"/>
              </w:rPr>
              <w:t>1，8-二硝基萘</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602-38-0</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8.7</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二硝基苯酚[干的或含水＜15%]</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Merge w:val="restart"/>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25550-58-7</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爆炸物，1.1项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二硝基苯酚溶液</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Merge w:val="continue"/>
            <w:vAlign w:val="center"/>
          </w:tcPr>
          <w:p>
            <w:pPr>
              <w:widowControl/>
              <w:spacing w:line="240" w:lineRule="auto"/>
              <w:ind w:firstLine="0" w:firstLineChars="0"/>
              <w:jc w:val="center"/>
              <w:rPr>
                <w:rFonts w:ascii="Times New Roman" w:hAnsi="Times New Roman"/>
                <w:sz w:val="24"/>
              </w:rPr>
            </w:pPr>
          </w:p>
        </w:tc>
        <w:tc>
          <w:tcPr>
            <w:tcW w:w="3027" w:type="dxa"/>
            <w:gridSpan w:val="2"/>
            <w:vAlign w:val="center"/>
          </w:tcPr>
          <w:p>
            <w:pPr>
              <w:widowControl/>
              <w:spacing w:line="240" w:lineRule="auto"/>
              <w:ind w:firstLine="0" w:firstLineChars="0"/>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8.8</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2，4-二硝基苯酚[含水≥15%]</w:t>
            </w:r>
          </w:p>
        </w:tc>
        <w:tc>
          <w:tcPr>
            <w:tcW w:w="155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1-羟基-2，</w:t>
            </w:r>
            <w:r>
              <w:rPr>
                <w:rFonts w:hint="eastAsia" w:ascii="Times New Roman" w:hAnsi="Times New Roman"/>
                <w:spacing w:val="-10"/>
                <w:sz w:val="24"/>
              </w:rPr>
              <w:t>4-二硝基苯</w:t>
            </w: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51-28-5</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8.9</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2，5-二硝基苯酚[含水≥15%]</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329-71-5</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8.10</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2，6-二硝基苯酚[含水≥15%]</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573-56-8</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8.11</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2，4-二硝基苯酚钠</w:t>
            </w:r>
          </w:p>
        </w:tc>
        <w:tc>
          <w:tcPr>
            <w:tcW w:w="1557" w:type="dxa"/>
            <w:vAlign w:val="center"/>
          </w:tcPr>
          <w:p>
            <w:pPr>
              <w:widowControl/>
              <w:spacing w:line="240" w:lineRule="auto"/>
              <w:ind w:firstLine="0" w:firstLineChars="0"/>
              <w:jc w:val="center"/>
              <w:rPr>
                <w:rFonts w:ascii="Times New Roman" w:hAnsi="Times New Roman"/>
                <w:sz w:val="24"/>
              </w:rPr>
            </w:pPr>
          </w:p>
        </w:tc>
        <w:tc>
          <w:tcPr>
            <w:tcW w:w="1801"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1011-73-0</w:t>
            </w:r>
          </w:p>
        </w:tc>
        <w:tc>
          <w:tcPr>
            <w:tcW w:w="3027"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爆炸物，1.3项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8897" w:type="dxa"/>
            <w:gridSpan w:val="7"/>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 w:hRule="atLeast"/>
        </w:trPr>
        <w:tc>
          <w:tcPr>
            <w:tcW w:w="907" w:type="dxa"/>
            <w:vMerge w:val="restart"/>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9.1</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硝化纤维素[干的或含水（或乙醇）＜25%]</w:t>
            </w:r>
          </w:p>
        </w:tc>
        <w:tc>
          <w:tcPr>
            <w:tcW w:w="1565" w:type="dxa"/>
            <w:gridSpan w:val="2"/>
            <w:vMerge w:val="restart"/>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硝化棉</w:t>
            </w:r>
          </w:p>
        </w:tc>
        <w:tc>
          <w:tcPr>
            <w:tcW w:w="1833" w:type="dxa"/>
            <w:gridSpan w:val="2"/>
            <w:vMerge w:val="restart"/>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9004-70-0</w:t>
            </w: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爆炸物，1.1项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硝化纤维素[含氮≤12.6%，含乙醇≥25%]</w:t>
            </w:r>
          </w:p>
        </w:tc>
        <w:tc>
          <w:tcPr>
            <w:tcW w:w="1565" w:type="dxa"/>
            <w:gridSpan w:val="2"/>
            <w:vMerge w:val="continue"/>
            <w:vAlign w:val="center"/>
          </w:tcPr>
          <w:p>
            <w:pPr>
              <w:spacing w:line="240" w:lineRule="auto"/>
              <w:ind w:firstLine="0" w:firstLineChars="0"/>
              <w:jc w:val="center"/>
              <w:rPr>
                <w:rFonts w:ascii="Times New Roman" w:hAnsi="Times New Roman"/>
                <w:sz w:val="24"/>
              </w:rPr>
            </w:pPr>
          </w:p>
        </w:tc>
        <w:tc>
          <w:tcPr>
            <w:tcW w:w="1833" w:type="dxa"/>
            <w:gridSpan w:val="2"/>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硝化纤维素[含氮≤12.6%]</w:t>
            </w:r>
          </w:p>
        </w:tc>
        <w:tc>
          <w:tcPr>
            <w:tcW w:w="1565" w:type="dxa"/>
            <w:gridSpan w:val="2"/>
            <w:vMerge w:val="continue"/>
            <w:vAlign w:val="center"/>
          </w:tcPr>
          <w:p>
            <w:pPr>
              <w:spacing w:line="240" w:lineRule="auto"/>
              <w:ind w:firstLine="0" w:firstLineChars="0"/>
              <w:jc w:val="center"/>
              <w:rPr>
                <w:rFonts w:ascii="Times New Roman" w:hAnsi="Times New Roman"/>
                <w:sz w:val="24"/>
              </w:rPr>
            </w:pPr>
          </w:p>
        </w:tc>
        <w:tc>
          <w:tcPr>
            <w:tcW w:w="1833" w:type="dxa"/>
            <w:gridSpan w:val="2"/>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硝化纤维素[含水≥25%]</w:t>
            </w:r>
          </w:p>
        </w:tc>
        <w:tc>
          <w:tcPr>
            <w:tcW w:w="1565" w:type="dxa"/>
            <w:gridSpan w:val="2"/>
            <w:vMerge w:val="continue"/>
            <w:vAlign w:val="center"/>
          </w:tcPr>
          <w:p>
            <w:pPr>
              <w:spacing w:line="240" w:lineRule="auto"/>
              <w:ind w:firstLine="0" w:firstLineChars="0"/>
              <w:jc w:val="center"/>
              <w:rPr>
                <w:rFonts w:ascii="Times New Roman" w:hAnsi="Times New Roman"/>
                <w:sz w:val="24"/>
              </w:rPr>
            </w:pPr>
          </w:p>
        </w:tc>
        <w:tc>
          <w:tcPr>
            <w:tcW w:w="1833" w:type="dxa"/>
            <w:gridSpan w:val="2"/>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易燃固体，类别1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硝化纤维素[含乙醇≥25%]</w:t>
            </w:r>
          </w:p>
        </w:tc>
        <w:tc>
          <w:tcPr>
            <w:tcW w:w="1565" w:type="dxa"/>
            <w:gridSpan w:val="2"/>
            <w:vMerge w:val="continue"/>
            <w:vAlign w:val="center"/>
          </w:tcPr>
          <w:p>
            <w:pPr>
              <w:spacing w:line="240" w:lineRule="auto"/>
              <w:ind w:firstLine="0" w:firstLineChars="0"/>
              <w:jc w:val="center"/>
              <w:rPr>
                <w:rFonts w:ascii="Times New Roman" w:hAnsi="Times New Roman"/>
                <w:sz w:val="24"/>
              </w:rPr>
            </w:pPr>
          </w:p>
        </w:tc>
        <w:tc>
          <w:tcPr>
            <w:tcW w:w="1833" w:type="dxa"/>
            <w:gridSpan w:val="2"/>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爆炸物，1.3项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0"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硝化纤维素[未改型的，或增塑的，含增塑剂＜18%]</w:t>
            </w:r>
          </w:p>
        </w:tc>
        <w:tc>
          <w:tcPr>
            <w:tcW w:w="1565" w:type="dxa"/>
            <w:gridSpan w:val="2"/>
            <w:vMerge w:val="continue"/>
            <w:vAlign w:val="center"/>
          </w:tcPr>
          <w:p>
            <w:pPr>
              <w:spacing w:line="240" w:lineRule="auto"/>
              <w:ind w:firstLine="0" w:firstLineChars="0"/>
              <w:jc w:val="center"/>
              <w:rPr>
                <w:rFonts w:ascii="Times New Roman" w:hAnsi="Times New Roman"/>
                <w:sz w:val="24"/>
              </w:rPr>
            </w:pPr>
          </w:p>
        </w:tc>
        <w:tc>
          <w:tcPr>
            <w:tcW w:w="1833" w:type="dxa"/>
            <w:gridSpan w:val="2"/>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爆炸物，1.1项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Merge w:val="continue"/>
            <w:vAlign w:val="center"/>
          </w:tcPr>
          <w:p>
            <w:pPr>
              <w:spacing w:line="240" w:lineRule="auto"/>
              <w:ind w:firstLine="0" w:firstLineChars="0"/>
              <w:jc w:val="center"/>
              <w:rPr>
                <w:rFonts w:ascii="Times New Roman" w:hAnsi="Times New Roman"/>
                <w:sz w:val="24"/>
              </w:rPr>
            </w:pP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硝化纤维素溶液[含氮量≤12.6%，含硝化纤维素≤55%]</w:t>
            </w:r>
          </w:p>
        </w:tc>
        <w:tc>
          <w:tcPr>
            <w:tcW w:w="1565" w:type="dxa"/>
            <w:gridSpan w:val="2"/>
            <w:vAlign w:val="center"/>
          </w:tcPr>
          <w:p>
            <w:pPr>
              <w:spacing w:line="240" w:lineRule="auto"/>
              <w:ind w:firstLine="0" w:firstLineChars="0"/>
              <w:jc w:val="center"/>
              <w:rPr>
                <w:rFonts w:ascii="Times New Roman" w:hAnsi="Times New Roman"/>
                <w:spacing w:val="-10"/>
                <w:sz w:val="24"/>
              </w:rPr>
            </w:pPr>
            <w:r>
              <w:rPr>
                <w:rFonts w:hint="eastAsia" w:ascii="Times New Roman" w:hAnsi="Times New Roman"/>
                <w:spacing w:val="-10"/>
                <w:sz w:val="24"/>
              </w:rPr>
              <w:t>硝化棉溶液</w:t>
            </w:r>
          </w:p>
        </w:tc>
        <w:tc>
          <w:tcPr>
            <w:tcW w:w="1833" w:type="dxa"/>
            <w:gridSpan w:val="2"/>
            <w:vMerge w:val="continue"/>
            <w:vAlign w:val="center"/>
          </w:tcPr>
          <w:p>
            <w:pPr>
              <w:spacing w:line="240" w:lineRule="auto"/>
              <w:ind w:firstLine="0" w:firstLineChars="0"/>
              <w:jc w:val="center"/>
              <w:rPr>
                <w:rFonts w:ascii="Times New Roman" w:hAnsi="Times New Roman"/>
                <w:sz w:val="24"/>
              </w:rPr>
            </w:pP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易燃液体，类别2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9.2</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4，6-二硝基-2-氨基苯酚钠</w:t>
            </w:r>
          </w:p>
        </w:tc>
        <w:tc>
          <w:tcPr>
            <w:tcW w:w="1565" w:type="dxa"/>
            <w:gridSpan w:val="2"/>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苦氨酸钠</w:t>
            </w:r>
          </w:p>
        </w:tc>
        <w:tc>
          <w:tcPr>
            <w:tcW w:w="1833" w:type="dxa"/>
            <w:gridSpan w:val="2"/>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831-52-7</w:t>
            </w:r>
          </w:p>
        </w:tc>
        <w:tc>
          <w:tcPr>
            <w:tcW w:w="298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爆炸物，1.3项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9.3</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高锰酸钾</w:t>
            </w:r>
          </w:p>
        </w:tc>
        <w:tc>
          <w:tcPr>
            <w:tcW w:w="1565"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过锰酸钾；灰锰氧</w:t>
            </w:r>
          </w:p>
        </w:tc>
        <w:tc>
          <w:tcPr>
            <w:tcW w:w="1833"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7722-64-7</w:t>
            </w: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9.4</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高锰酸钠</w:t>
            </w:r>
          </w:p>
        </w:tc>
        <w:tc>
          <w:tcPr>
            <w:tcW w:w="1565"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过锰酸钠</w:t>
            </w:r>
          </w:p>
        </w:tc>
        <w:tc>
          <w:tcPr>
            <w:tcW w:w="1833"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10101-50-5</w:t>
            </w: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氧化性固体，类别2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9.5</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硝酸胍</w:t>
            </w:r>
          </w:p>
        </w:tc>
        <w:tc>
          <w:tcPr>
            <w:tcW w:w="1565" w:type="dxa"/>
            <w:gridSpan w:val="2"/>
            <w:vAlign w:val="center"/>
          </w:tcPr>
          <w:p>
            <w:pPr>
              <w:widowControl/>
              <w:spacing w:line="240" w:lineRule="auto"/>
              <w:ind w:firstLine="0" w:firstLineChars="0"/>
              <w:jc w:val="center"/>
              <w:rPr>
                <w:rFonts w:ascii="Times New Roman" w:hAnsi="Times New Roman"/>
                <w:spacing w:val="-10"/>
                <w:sz w:val="24"/>
              </w:rPr>
            </w:pPr>
            <w:r>
              <w:rPr>
                <w:rFonts w:hint="eastAsia" w:ascii="Times New Roman" w:hAnsi="Times New Roman"/>
                <w:spacing w:val="-10"/>
                <w:sz w:val="24"/>
              </w:rPr>
              <w:t>硝酸亚氨脲</w:t>
            </w:r>
          </w:p>
        </w:tc>
        <w:tc>
          <w:tcPr>
            <w:tcW w:w="1833"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506-93-4</w:t>
            </w:r>
          </w:p>
        </w:tc>
        <w:tc>
          <w:tcPr>
            <w:tcW w:w="2987"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氧化性固体，类别3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9.6</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水合肼</w:t>
            </w:r>
          </w:p>
        </w:tc>
        <w:tc>
          <w:tcPr>
            <w:tcW w:w="1565"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水合联氨</w:t>
            </w:r>
          </w:p>
        </w:tc>
        <w:tc>
          <w:tcPr>
            <w:tcW w:w="1833"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10217-52-4</w:t>
            </w:r>
          </w:p>
        </w:tc>
        <w:tc>
          <w:tcPr>
            <w:tcW w:w="2987" w:type="dxa"/>
            <w:vAlign w:val="center"/>
          </w:tcPr>
          <w:p>
            <w:pPr>
              <w:widowControl/>
              <w:spacing w:line="240" w:lineRule="auto"/>
              <w:ind w:firstLine="0" w:firstLineChars="0"/>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907" w:type="dxa"/>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9.7</w:t>
            </w:r>
          </w:p>
        </w:tc>
        <w:tc>
          <w:tcPr>
            <w:tcW w:w="1605" w:type="dxa"/>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2，2-双（羟甲基）1，3-丙二醇</w:t>
            </w:r>
          </w:p>
        </w:tc>
        <w:tc>
          <w:tcPr>
            <w:tcW w:w="1565"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季戊四醇、四羟甲基甲烷</w:t>
            </w:r>
          </w:p>
        </w:tc>
        <w:tc>
          <w:tcPr>
            <w:tcW w:w="1833" w:type="dxa"/>
            <w:gridSpan w:val="2"/>
            <w:vAlign w:val="center"/>
          </w:tcPr>
          <w:p>
            <w:pPr>
              <w:widowControl/>
              <w:spacing w:line="240" w:lineRule="auto"/>
              <w:ind w:firstLine="0" w:firstLineChars="0"/>
              <w:jc w:val="center"/>
              <w:rPr>
                <w:rFonts w:ascii="Times New Roman" w:hAnsi="Times New Roman"/>
                <w:sz w:val="24"/>
              </w:rPr>
            </w:pPr>
            <w:r>
              <w:rPr>
                <w:rFonts w:hint="eastAsia" w:ascii="Times New Roman" w:hAnsi="Times New Roman"/>
                <w:sz w:val="24"/>
              </w:rPr>
              <w:t>115-77-5</w:t>
            </w:r>
          </w:p>
        </w:tc>
        <w:tc>
          <w:tcPr>
            <w:tcW w:w="2987" w:type="dxa"/>
            <w:vAlign w:val="center"/>
          </w:tcPr>
          <w:p>
            <w:pPr>
              <w:widowControl/>
              <w:spacing w:line="240" w:lineRule="auto"/>
              <w:ind w:firstLine="0" w:firstLineChars="0"/>
              <w:jc w:val="center"/>
              <w:rPr>
                <w:rFonts w:ascii="Times New Roman" w:hAnsi="Times New Roman"/>
                <w:sz w:val="24"/>
              </w:rPr>
            </w:pPr>
          </w:p>
        </w:tc>
      </w:tr>
    </w:tbl>
    <w:p>
      <w:pPr>
        <w:ind w:firstLine="640"/>
        <w:rPr>
          <w:rFonts w:ascii="Times New Roman" w:hAnsi="Times New Roman"/>
        </w:rPr>
        <w:sectPr>
          <w:pgSz w:w="11910" w:h="16840"/>
          <w:pgMar w:top="1580" w:right="1562" w:bottom="1900" w:left="1020" w:header="0" w:footer="1621" w:gutter="0"/>
          <w:cols w:space="720" w:num="1"/>
        </w:sectPr>
      </w:pPr>
    </w:p>
    <w:p>
      <w:pPr>
        <w:numPr>
          <w:ilvl w:val="255"/>
          <w:numId w:val="0"/>
        </w:numPr>
        <w:tabs>
          <w:tab w:val="left" w:pos="0"/>
        </w:tabs>
        <w:ind w:left="640" w:leftChars="20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17" w:name="_Toc224910894"/>
      <w:bookmarkStart w:id="118" w:name="_Toc225353478"/>
      <w:r>
        <w:rPr>
          <w:rFonts w:hint="eastAsia" w:ascii="Times New Roman" w:hAnsi="Times New Roman" w:eastAsia="楷体_GB2312" w:cs="楷体_GB2312"/>
          <w:b/>
          <w:bCs/>
          <w:color w:val="000000" w:themeColor="text1"/>
          <w:szCs w:val="32"/>
          <w14:textFill>
            <w14:solidFill>
              <w14:schemeClr w14:val="tx1"/>
            </w14:solidFill>
          </w14:textFill>
        </w:rPr>
        <w:t>附件6 北京市重点监管的危险化学品名录</w:t>
      </w:r>
      <w:bookmarkEnd w:id="117"/>
      <w:bookmarkEnd w:id="118"/>
    </w:p>
    <w:p>
      <w:pPr>
        <w:ind w:firstLine="640"/>
        <w:rPr>
          <w:rFonts w:ascii="Times New Roman" w:hAnsi="Times New Roman"/>
        </w:rPr>
      </w:pPr>
      <w:r>
        <w:rPr>
          <w:rFonts w:hint="eastAsia" w:ascii="Times New Roman" w:hAnsi="Times New Roman"/>
        </w:rPr>
        <w:t>《北京市安全生产监督管理局关于加强涉及危险化学品使用单位安全管理工作的通知》（京安监发〔2013〕62号）</w:t>
      </w:r>
    </w:p>
    <w:tbl>
      <w:tblPr>
        <w:tblStyle w:val="32"/>
        <w:tblW w:w="8602" w:type="dxa"/>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578"/>
        <w:gridCol w:w="1843"/>
        <w:gridCol w:w="1701"/>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8" w:type="dxa"/>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序号</w:t>
            </w:r>
          </w:p>
        </w:tc>
        <w:tc>
          <w:tcPr>
            <w:tcW w:w="2578" w:type="dxa"/>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化学品名称</w:t>
            </w:r>
          </w:p>
        </w:tc>
        <w:tc>
          <w:tcPr>
            <w:tcW w:w="1843" w:type="dxa"/>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别名</w:t>
            </w:r>
          </w:p>
        </w:tc>
        <w:tc>
          <w:tcPr>
            <w:tcW w:w="1701" w:type="dxa"/>
            <w:vAlign w:val="center"/>
          </w:tcPr>
          <w:p>
            <w:pPr>
              <w:pStyle w:val="31"/>
              <w:autoSpaceDE w:val="0"/>
              <w:autoSpaceDN w:val="0"/>
              <w:jc w:val="center"/>
              <w:rPr>
                <w:rFonts w:ascii="Times New Roman" w:hAnsi="Times New Roman" w:eastAsia="仿宋_GB2312"/>
                <w:b/>
                <w:sz w:val="24"/>
                <w:szCs w:val="24"/>
              </w:rPr>
            </w:pPr>
            <w:r>
              <w:rPr>
                <w:rFonts w:hint="eastAsia" w:ascii="Times New Roman" w:hAnsi="Times New Roman" w:eastAsia="仿宋_GB2312"/>
                <w:b/>
                <w:sz w:val="24"/>
                <w:szCs w:val="24"/>
              </w:rPr>
              <w:t>CAS</w:t>
            </w:r>
            <w:r>
              <w:rPr>
                <w:rFonts w:hint="eastAsia" w:ascii="Times New Roman" w:hAnsi="Times New Roman" w:eastAsia="仿宋_GB2312"/>
                <w:b/>
                <w:spacing w:val="-6"/>
                <w:sz w:val="24"/>
                <w:szCs w:val="24"/>
              </w:rPr>
              <w:t>号</w:t>
            </w:r>
          </w:p>
        </w:tc>
        <w:tc>
          <w:tcPr>
            <w:tcW w:w="1842" w:type="dxa"/>
            <w:vAlign w:val="center"/>
          </w:tcPr>
          <w:p>
            <w:pPr>
              <w:pStyle w:val="31"/>
              <w:autoSpaceDE w:val="0"/>
              <w:autoSpaceDN w:val="0"/>
              <w:jc w:val="center"/>
              <w:rPr>
                <w:rFonts w:ascii="Times New Roman" w:hAnsi="Times New Roman" w:eastAsia="仿宋_GB2312"/>
                <w:b/>
                <w:sz w:val="24"/>
                <w:szCs w:val="24"/>
                <w:lang w:eastAsia="zh-CN"/>
              </w:rPr>
            </w:pPr>
            <w:r>
              <w:rPr>
                <w:rFonts w:hint="eastAsia" w:ascii="Times New Roman" w:hAnsi="Times New Roman" w:eastAsia="仿宋_GB2312"/>
                <w:b/>
                <w:spacing w:val="-2"/>
                <w:sz w:val="24"/>
                <w:szCs w:val="24"/>
                <w:lang w:eastAsia="zh-CN"/>
              </w:rPr>
              <w:t>重大危险源临</w:t>
            </w:r>
            <w:r>
              <w:rPr>
                <w:rFonts w:hint="eastAsia" w:ascii="Times New Roman" w:hAnsi="Times New Roman" w:eastAsia="仿宋_GB2312"/>
                <w:b/>
                <w:sz w:val="24"/>
                <w:szCs w:val="24"/>
                <w:lang w:eastAsia="zh-CN"/>
              </w:rPr>
              <w:t>界量（t）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氯</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液氯、氯气</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7782-50-5</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氨</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液氨、氨气</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7664-41-7</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3</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汽油（含甲醇汽油、乙醇汽油）</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8006-61-9</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4</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氢</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氢气</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1333-74-0</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苯（含粗苯）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71-43-2</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甲醇</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木醇、木精</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67-56-1</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丙烯腈</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氰基乙烯、乙烯</w:t>
            </w:r>
          </w:p>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基氰</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107-13-1</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8</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环氧乙烷</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氧化乙烯</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75-21-8</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9</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乙炔</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电石气</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74-86-2</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甲苯</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甲基苯、苯基甲</w:t>
            </w:r>
          </w:p>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烷</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108-88-3</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11</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74-85-1</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12</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苯乙烯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100-42-5</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13</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1，3-丁二烯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106-99-0</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14</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氰化钠</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143-33-9</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15</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1-丙烯、丙烯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115-07-1</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16</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苯胺</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62-53-3</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17</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甲醚</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115-10-6</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18</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氯苯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108-90-7</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19</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乙酸乙烯酯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108-05-4</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20</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苯酚</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石炭酸</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108-95-2</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21</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甲苯二异氰酸酯</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TDI</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584-84-9</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22</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过氧乙酸</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过乙酸、过醇酸</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79-21-0</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23</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乙烷</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74-84-0</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24</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甲基叔丁基醚</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1634-04-4</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25</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乙酸乙酯</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141-78-6</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26</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丙烯酸</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1979-10-7</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lang w:eastAsia="zh-CN"/>
              </w:rPr>
            </w:pPr>
            <w:r>
              <w:rPr>
                <w:rFonts w:hint="eastAsia" w:ascii="Times New Roman" w:hAnsi="Times New Roman" w:eastAsia="仿宋_GB2312"/>
                <w:sz w:val="24"/>
                <w:szCs w:val="24"/>
              </w:rPr>
              <w:t>27</w:t>
            </w:r>
          </w:p>
        </w:tc>
        <w:tc>
          <w:tcPr>
            <w:tcW w:w="2578" w:type="dxa"/>
            <w:vAlign w:val="center"/>
          </w:tcPr>
          <w:p>
            <w:pPr>
              <w:pStyle w:val="31"/>
              <w:autoSpaceDE w:val="0"/>
              <w:autoSpaceDN w:val="0"/>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硝酸铵（含可燃物大于 2%）</w:t>
            </w:r>
          </w:p>
        </w:tc>
        <w:tc>
          <w:tcPr>
            <w:tcW w:w="1843" w:type="dxa"/>
            <w:vAlign w:val="center"/>
          </w:tcPr>
          <w:p>
            <w:pPr>
              <w:pStyle w:val="31"/>
              <w:autoSpaceDE w:val="0"/>
              <w:autoSpaceDN w:val="0"/>
              <w:jc w:val="center"/>
              <w:rPr>
                <w:rFonts w:ascii="Times New Roman" w:hAnsi="Times New Roman" w:eastAsia="仿宋_GB2312"/>
                <w:sz w:val="24"/>
                <w:szCs w:val="24"/>
                <w:lang w:eastAsia="zh-CN"/>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6484-52-2</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lang w:eastAsia="zh-CN"/>
              </w:rPr>
            </w:pPr>
            <w:r>
              <w:rPr>
                <w:rFonts w:hint="eastAsia" w:ascii="Times New Roman" w:hAnsi="Times New Roman" w:eastAsia="仿宋_GB2312"/>
                <w:sz w:val="24"/>
                <w:szCs w:val="24"/>
              </w:rPr>
              <w:t>28</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三氯甲烷</w:t>
            </w:r>
          </w:p>
        </w:tc>
        <w:tc>
          <w:tcPr>
            <w:tcW w:w="1843"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氯仿</w:t>
            </w: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67-66-3</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29</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乙醛</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75-07-0</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30</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乙醚</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60-29-7</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31</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丙酮</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67-64-1</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乙腈</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75-05-8</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33</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乙醇</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64-17-5</w:t>
            </w:r>
          </w:p>
        </w:tc>
        <w:tc>
          <w:tcPr>
            <w:tcW w:w="1842"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63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34</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油墨</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p>
        </w:tc>
        <w:tc>
          <w:tcPr>
            <w:tcW w:w="1842" w:type="dxa"/>
            <w:vAlign w:val="center"/>
          </w:tcPr>
          <w:p>
            <w:pPr>
              <w:pStyle w:val="31"/>
              <w:autoSpaceDE w:val="0"/>
              <w:autoSpaceDN w:val="0"/>
              <w:jc w:val="center"/>
              <w:rPr>
                <w:rFonts w:ascii="Times New Roman" w:hAnsi="Times New Roman" w:eastAsia="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38" w:type="dxa"/>
            <w:vAlign w:val="center"/>
          </w:tcPr>
          <w:p>
            <w:pPr>
              <w:pStyle w:val="31"/>
              <w:autoSpaceDE w:val="0"/>
              <w:autoSpaceDN w:val="0"/>
              <w:jc w:val="center"/>
              <w:rPr>
                <w:rFonts w:ascii="Times New Roman" w:hAnsi="Times New Roman" w:eastAsia="仿宋_GB2312"/>
                <w:sz w:val="24"/>
                <w:szCs w:val="24"/>
                <w:lang w:eastAsia="zh-CN"/>
              </w:rPr>
            </w:pPr>
            <w:r>
              <w:rPr>
                <w:rFonts w:hint="eastAsia" w:ascii="Times New Roman" w:hAnsi="Times New Roman" w:eastAsia="仿宋_GB2312"/>
                <w:sz w:val="24"/>
                <w:szCs w:val="24"/>
              </w:rPr>
              <w:t>35</w:t>
            </w:r>
          </w:p>
        </w:tc>
        <w:tc>
          <w:tcPr>
            <w:tcW w:w="2578" w:type="dxa"/>
            <w:vAlign w:val="center"/>
          </w:tcPr>
          <w:p>
            <w:pPr>
              <w:pStyle w:val="31"/>
              <w:autoSpaceDE w:val="0"/>
              <w:autoSpaceDN w:val="0"/>
              <w:jc w:val="center"/>
              <w:rPr>
                <w:rFonts w:ascii="Times New Roman" w:hAnsi="Times New Roman" w:eastAsia="仿宋_GB2312"/>
                <w:sz w:val="24"/>
                <w:szCs w:val="24"/>
              </w:rPr>
            </w:pPr>
            <w:r>
              <w:rPr>
                <w:rFonts w:hint="eastAsia" w:ascii="Times New Roman" w:hAnsi="Times New Roman" w:eastAsia="仿宋_GB2312"/>
                <w:sz w:val="24"/>
                <w:szCs w:val="24"/>
              </w:rPr>
              <w:t>油漆稀料</w:t>
            </w:r>
          </w:p>
        </w:tc>
        <w:tc>
          <w:tcPr>
            <w:tcW w:w="1843" w:type="dxa"/>
            <w:vAlign w:val="center"/>
          </w:tcPr>
          <w:p>
            <w:pPr>
              <w:pStyle w:val="31"/>
              <w:autoSpaceDE w:val="0"/>
              <w:autoSpaceDN w:val="0"/>
              <w:jc w:val="center"/>
              <w:rPr>
                <w:rFonts w:ascii="Times New Roman" w:hAnsi="Times New Roman" w:eastAsia="仿宋_GB2312"/>
                <w:sz w:val="24"/>
                <w:szCs w:val="24"/>
              </w:rPr>
            </w:pPr>
          </w:p>
        </w:tc>
        <w:tc>
          <w:tcPr>
            <w:tcW w:w="1701" w:type="dxa"/>
            <w:vAlign w:val="center"/>
          </w:tcPr>
          <w:p>
            <w:pPr>
              <w:pStyle w:val="31"/>
              <w:autoSpaceDE w:val="0"/>
              <w:autoSpaceDN w:val="0"/>
              <w:jc w:val="center"/>
              <w:rPr>
                <w:rFonts w:ascii="Times New Roman" w:hAnsi="Times New Roman" w:eastAsia="仿宋_GB2312"/>
                <w:sz w:val="24"/>
                <w:szCs w:val="24"/>
              </w:rPr>
            </w:pPr>
          </w:p>
        </w:tc>
        <w:tc>
          <w:tcPr>
            <w:tcW w:w="1842" w:type="dxa"/>
            <w:vAlign w:val="center"/>
          </w:tcPr>
          <w:p>
            <w:pPr>
              <w:pStyle w:val="31"/>
              <w:autoSpaceDE w:val="0"/>
              <w:autoSpaceDN w:val="0"/>
              <w:jc w:val="center"/>
              <w:rPr>
                <w:rFonts w:ascii="Times New Roman" w:hAnsi="Times New Roman" w:eastAsia="仿宋_GB2312"/>
                <w:sz w:val="24"/>
                <w:szCs w:val="24"/>
              </w:rPr>
            </w:pPr>
          </w:p>
        </w:tc>
      </w:tr>
    </w:tbl>
    <w:p>
      <w:pPr>
        <w:ind w:firstLineChars="0"/>
        <w:jc w:val="center"/>
        <w:rPr>
          <w:rFonts w:ascii="Times New Roman" w:hAnsi="Times New Roman"/>
        </w:rPr>
      </w:pPr>
    </w:p>
    <w:p>
      <w:pPr>
        <w:ind w:firstLineChars="0"/>
        <w:jc w:val="center"/>
        <w:rPr>
          <w:rFonts w:ascii="Times New Roman" w:hAnsi="Times New Roman"/>
        </w:rPr>
      </w:pPr>
    </w:p>
    <w:p>
      <w:pPr>
        <w:ind w:firstLineChars="0"/>
        <w:jc w:val="center"/>
        <w:rPr>
          <w:rFonts w:ascii="Times New Roman" w:hAnsi="Times New Roman"/>
        </w:rPr>
      </w:pPr>
    </w:p>
    <w:p>
      <w:pPr>
        <w:ind w:firstLineChars="0"/>
        <w:jc w:val="center"/>
        <w:rPr>
          <w:rFonts w:ascii="Times New Roman" w:hAnsi="Times New Roman"/>
        </w:rPr>
      </w:pPr>
    </w:p>
    <w:p>
      <w:pPr>
        <w:ind w:firstLineChars="0"/>
        <w:jc w:val="center"/>
        <w:rPr>
          <w:rFonts w:ascii="Times New Roman" w:hAnsi="Times New Roman"/>
        </w:rPr>
        <w:sectPr>
          <w:pgSz w:w="11910" w:h="16840"/>
          <w:pgMar w:top="1580" w:right="1562" w:bottom="1900" w:left="1020" w:header="0" w:footer="1621" w:gutter="0"/>
          <w:cols w:space="720" w:num="1"/>
        </w:sectPr>
      </w:pPr>
    </w:p>
    <w:p>
      <w:pPr>
        <w:numPr>
          <w:ilvl w:val="255"/>
          <w:numId w:val="0"/>
        </w:numPr>
        <w:tabs>
          <w:tab w:val="left" w:pos="0"/>
        </w:tabs>
        <w:ind w:left="640" w:leftChars="20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19" w:name="_Toc224910895"/>
      <w:bookmarkStart w:id="120" w:name="_Toc225353479"/>
      <w:r>
        <w:rPr>
          <w:rFonts w:hint="eastAsia" w:ascii="Times New Roman" w:hAnsi="Times New Roman" w:eastAsia="楷体_GB2312" w:cs="楷体_GB2312"/>
          <w:b/>
          <w:bCs/>
          <w:color w:val="000000" w:themeColor="text1"/>
          <w:szCs w:val="32"/>
          <w14:textFill>
            <w14:solidFill>
              <w14:schemeClr w14:val="tx1"/>
            </w14:solidFill>
          </w14:textFill>
        </w:rPr>
        <w:t>附件7 剧毒危险化学品目录（2015）</w:t>
      </w:r>
      <w:bookmarkEnd w:id="119"/>
      <w:bookmarkEnd w:id="120"/>
    </w:p>
    <w:tbl>
      <w:tblPr>
        <w:tblStyle w:val="15"/>
        <w:tblW w:w="8606" w:type="dxa"/>
        <w:jc w:val="center"/>
        <w:shd w:val="clear" w:color="auto" w:fill="FFFFFF"/>
        <w:tblLayout w:type="fixed"/>
        <w:tblCellMar>
          <w:top w:w="0" w:type="dxa"/>
          <w:left w:w="0" w:type="dxa"/>
          <w:bottom w:w="0" w:type="dxa"/>
          <w:right w:w="0" w:type="dxa"/>
        </w:tblCellMar>
      </w:tblPr>
      <w:tblGrid>
        <w:gridCol w:w="687"/>
        <w:gridCol w:w="1125"/>
        <w:gridCol w:w="2912"/>
        <w:gridCol w:w="1522"/>
        <w:gridCol w:w="1417"/>
        <w:gridCol w:w="943"/>
      </w:tblGrid>
      <w:tr>
        <w:trPr>
          <w:trHeight w:val="240" w:hRule="atLeast"/>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b/>
                <w:bCs/>
                <w:sz w:val="24"/>
              </w:rPr>
              <w:t>序号</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b/>
                <w:bCs/>
                <w:spacing w:val="-11"/>
                <w:sz w:val="24"/>
              </w:rPr>
              <w:t>危险化学品目录序号</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b/>
                <w:bCs/>
                <w:sz w:val="24"/>
              </w:rPr>
              <w:t>品名</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b/>
                <w:bCs/>
                <w:sz w:val="24"/>
              </w:rPr>
              <w:t>别名</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b/>
                <w:bCs/>
                <w:sz w:val="24"/>
              </w:rPr>
              <w:t>CAS号</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b/>
                <w:bCs/>
                <w:sz w:val="24"/>
              </w:rPr>
              <w:t>备注</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5-氨基-3-苯基-1-[双（N，N-二甲基氨基氧膦基）]-1，2，4-三唑[含量＞20%]</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威菌磷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1031-47-6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3-氨基丙烯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烯丙胺</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107-11-9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八氟异丁烯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全氟异丁烯；1，1，3，3，3-五氟-2-（三氟甲基）-1-丙烯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382-21-8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八甲基焦磷酰胺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八甲磷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152-16-9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1，3，4，5，6，7，8，8-八氯-1，3，3a，4，7，7a-六氢-4，7-甲撑异苯并呋喃[含量＞1%]</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八氯六氢亚甲基苯并呋喃；碳氯灵</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297-78-9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苯基硫醇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苯硫酚；巯基苯；硫代苯酚</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108-98-5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苯胂化二氯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二氯化苯胂；二氯苯胂</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696-28-6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1-（3-吡啶甲基）-3-（4-硝基苯基）脲</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1-（4-硝基苯基）-3-（3-吡啶基甲基）脲；灭鼠优</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53558-25-1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丙腈</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乙基氰</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107-12-0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2-丙炔-1-醇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丙炔醇；炔丙醇</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107-19-7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丙酮氰醇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丙酮合氰化氢；2-羟基异丁腈；氰丙醇</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75-86-5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2-丙烯-1-醇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烯丙醇；蒜醇；乙烯甲醇</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107-18-6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丙烯亚胺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2-甲基氮丙啶；2-甲基乙撑亚胺；丙撑亚胺</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75-55-8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叠氮化钠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三氮化钠</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26628-22-8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3-丁烯-2-酮</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甲基乙烯基酮；丁烯酮</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78-94-4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1-（对氯苯基）-2，8，9-三氧-5-氮-1-硅双环（3，3，3）十二烷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毒鼠硅；氯硅宁；硅灭鼠</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29025-67-0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321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2-（二苯基乙酰基）-2，3-二氢-1，3-茚二酮</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2-（2，2-二苯基乙酰基）-1，3-茚满二酮；敌鼠</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82-66-6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339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1，3-二氟丙-2-醇（Ⅰ）与1-氯-3-氟丙-2-醇（Ⅱ）的混合物</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鼠甘伏；甘氟</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8065-71-2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340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二氟化氧</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一氧化二氟</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7783-41-7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trHeight w:val="30" w:hRule="atLeast"/>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367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O-O-二甲基-O-（2-甲氧甲酰基-1-甲基）乙烯基磷酸酯[含量＞5%]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甲基-3-[（二甲氧基磷酰基）氧代]-2-丁烯酸酯；速灭磷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7786-34-7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385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二甲基-4-（甲基硫代）苯基磷酸酯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甲硫磷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3254-63-5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393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（E）-O，O-二甲基-O-[1-甲基-2-（二甲基氨基甲酰）乙烯基]磷酸酯[含量＞25%]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3-二甲氧基磷氧基-N，N-二甲基异丁烯酰胺；百治磷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141-66-2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394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O，O-二甲基-O-[1-甲基-2-（甲基氨基甲酰）乙烯基]磷酸酯[含量＞0.5%]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久效磷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6923-22-4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410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N，N-二甲基氨基乙腈</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2-（二甲氨基）乙腈</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926-64-7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434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O，O-二甲基-对硝基苯基磷酸酯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甲基对氧磷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950-35-6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461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1，1-二甲基肼</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二甲基肼[不对称]；N，N-二甲基肼</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57-14-7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462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1，2-二甲基肼</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二甲基肼[对称]</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540-73-8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463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O，O'-二甲基硫代磷酰氯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二甲基硫代磷酰氯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2524-03-0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481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二甲双胍</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双甲胍；马钱子碱</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57-24-9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486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二甲氧基马钱子碱</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番木鳖碱</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357-57-3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568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2，3-二氢-2，2-二甲基苯并呋喃-7-基-N-甲基氨基甲酸酯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克百威</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1563-66-2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2，6-二噻-1，3，5，7-四氮三环-[3，3，1，1，3，7]癸烷-2，2，6，6-四氧化物</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毒鼠强</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80-12-6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trHeight w:val="520" w:hRule="atLeast"/>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648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S-[2-（二乙氨基）乙基]-O，O-二乙基硫赶磷酸酯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胺吸磷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78-53-5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649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N-二乙氨基乙基氯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2-氯乙基二乙胺</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100-35-6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O，O-二乙基-N-（1，3-二硫戊环-2-亚基）磷酰胺[含量＞15%]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2-（二乙氧基磷酰亚氨基）-1，3-二硫戊环；硫环磷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947-02-4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trHeight w:val="540" w:hRule="atLeast"/>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O，O-二乙基-N-（4-甲基-1，3-二硫戊环-2-亚基）磷酰胺[含量＞5%]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二乙基（4-甲基-1，3-二硫戊环-2-叉氨基）磷酸酯；地胺磷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950-10-7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O，O-二乙基-N-1，3-二噻丁环-2-亚基磷酰胺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丁硫环磷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21548-32-3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O，O-二乙基-O-（2-乙硫基乙基）硫代磷酸酯与O，O-二乙基-S-（2-乙硫基乙基）硫代磷酸酯的混合物[含量＞3%]</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内吸磷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8065-48-3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O，O-二乙基-O-（4-甲基香豆素基-7）硫代磷酸酯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扑杀磷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299-45-6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O，O-二乙基-O-（4-硝基苯基）磷酸酯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对氧磷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311-45-5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O，O-二乙基-O-（4-硝基苯基）硫代磷酸酯[含量＞4%]</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对硫磷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56-38-2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O，O-二乙基-O-[2-氯-1-（2，4-二氯苯基）乙烯基]磷酸酯[含量＞20%]</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2-氯-1-（2，4-二氯苯基）乙烯基二乙基磷酸酯；毒虫畏</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470-90-6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O，O-二乙基-O-2-吡嗪基硫代磷酸酯[含量＞5%]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虫线磷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297-97-2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O，O-二乙基-S-（2-乙硫基乙基）二硫代磷酸酯[含量＞15%]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乙拌磷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298-04-4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O，O-二乙基-S-（4-甲基亚磺酰基苯基）硫代磷酸酯[含量＞4%]</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丰索磷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115-90-2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O，O-二乙基-S-（对硝基苯基）硫代磷酸</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硫代磷酸-O，O-二乙基-S-（4-硝基苯基）酯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3270-86-8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O，O-二乙基-S-（乙硫基甲基）二硫代磷酸酯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甲拌磷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298-02-2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O，O-二乙基-S-（异丙基氨基甲酰甲基）二硫代磷酸酯[含量＞15%]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发硫磷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2275-18-5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O，O-二乙基-S-氯甲基二硫代磷酸酯[含量＞15%]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氯甲硫磷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24934-91-6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680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O，O-二乙基-S-叔丁基硫甲基二硫代磷酸酯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特丁硫磷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13071-79-9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692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二乙基汞</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二乙汞</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627-44-1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732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7782-41-4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氟乙酸</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氟醋酸</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144-49-0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氟乙酸甲酯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453-18-9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氟乙酸钠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氟醋酸钠</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62-74-8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氟乙酰胺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640-19-7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849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癸硼烷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十硼烷；十硼氢</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17702-41-9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4-己烯-1-炔-3-醇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10138-60-0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1041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3-（1-甲基-2-四氢吡咯基）吡啶硫酸盐</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硫酸化烟碱</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65-30-5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2-甲基-4，6-二硝基酚</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4，6-二硝基邻甲苯酚；二硝酚</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534-52-1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O-甲基-S-甲基-硫代磷酰胺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甲胺磷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10265-92-6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1081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O-甲基氨基甲酰基-2-甲基-2-（甲硫基）丙醛肟</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涕灭威</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116-06-3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1082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O-甲基氨基甲酰基-3，3-二甲基-1-（甲硫基）丁醛肟</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O-甲基氨基甲酰基-3，3-二甲基-1-（甲硫基）丁醛肟；久效威</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39196-18-4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1097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（S）-3-（1-甲基吡咯烷-2-基）吡啶</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烟碱；尼古丁；1-甲基-2-（3-吡啶基）吡咯烷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54-11-5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1126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甲基磺酰氯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氯化硫酰甲烷；甲烷磺酰氯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124-63-0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1128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甲基肼</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一甲肼；甲基联氨</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60-34-4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1189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甲烷磺酰氟</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甲磺氟酰；甲基磺酰氟</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558-25-8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1202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甲藻毒素（二盐酸盐）</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石房蛤毒素（盐酸盐）</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35523-89-8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1236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抗霉素A</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1397-94-0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1248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镰刀菌酮X</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23255-69-8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1266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磷化氢</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磷化三氢；膦</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7803-51-2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1278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硫代磷酰氯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硫代氯化磷酰；三氯化硫磷；三氯硫磷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3982-91-0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1327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硫酸三乙基锡</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57-52-3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1328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硫酸铊</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硫酸亚铊</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7446-18-6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1332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六氟-2，3-二氯-2-丁烯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2，3-二氯六氟-2-丁烯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303-04-8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1351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（1R，4S，4aS，5R，6R，7S，8S，8aR）-1，2，3，4，10，10-六氯-1，4，4a，5，6，7，8，8a-八氢-6，7-环氧-1，4，5，8-二亚甲基萘[含量2%～90%]</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狄氏剂</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60-57-1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1352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（1R，4S，5R，8S）-1，2，3，4，10，10-六-1，4，4a，5，6，7，8，8a-八氢-6，7-环氧-1，4；5，8-二亚甲基萘[含量＞5%]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异狄氏剂</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72-20-8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1353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1，2，3，4，10，10-六氯-1，4，4a，5，8，8a-六氢-1，4-挂-5，8-挂二亚甲基萘[含量＞10%]</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异艾氏剂</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465-73-6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1354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1，2，3，4，10，10-六氯-1，4，4a，5，8，8a-六氢-1，4：5，8-桥，挂-二甲撑萘[含量＞75%]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六氯-六氢-二甲撑萘；艾氏剂</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309-00-2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1358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六氯环戊二烯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全氯环戊二烯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77-47-4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1381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液氯；氯气</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7782-50-5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1422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2-[（RS）-2-（4-氯苯基）-2-苯基乙酰基]-2，3-二氢-1，3-茚二酮[含量＞4%]</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2-（苯基对氯苯基乙酰）茚满-1，3-二酮；氯鼠酮</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3691-35-8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1442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氯代膦酸二乙酯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氯化磷酸二乙酯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814-49-3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1464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氯化汞</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氯化高汞；二氯化汞；升汞</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7487-94-7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1476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氯化氰</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氰化氯；氯甲腈</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506-77-4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1502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氯甲基甲醚</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甲基氯甲醚；氯二甲醚</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107-30-2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1509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氯甲酸甲酯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氯碳酸甲酯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79-22-1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1513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氯甲酸乙酯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氯碳酸乙酯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541-41-3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1549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2-氯乙醇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乙撑氯醇；氯乙醇</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107-07-3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1637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2-羟基丙腈</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乳腈</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78-97-7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1642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羟基乙腈</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乙醇腈</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107-16-4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1646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羟间唑啉（盐酸盐）</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2315-02-8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1677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氰胍甲汞</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氰甲汞胍</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502-39-6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1681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氰化镉</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542-83-6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1686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氰化钾</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山奈钾</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151-50-8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1688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氰化钠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山奈</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143-33-9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1693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氰化氢</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无水氢氰酸</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74-90-8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1704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氰化银钾</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银氰化钾</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506-61-6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1723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全氯甲硫醇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三氯硫氯甲烷；过氯甲硫醇；四氯硫代碳酰</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594-42-3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1735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乳酸苯汞三乙醇铵</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23319-66-6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1854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三氯硝基甲烷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氯化苦；硝基三氯甲烷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76-06-2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1912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三氧化二砷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白砒；砒霜；亚砷酸酐</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1327-53-3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1923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三正丁胺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三丁胺</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102-82-9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1927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砷化氢</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砷化三氢；胂</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7784-42-1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1998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双（1-甲基乙基）氟磷酸酯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二异丙基氟磷酸酯；丙氟磷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55-91-4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1999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双（2-氯乙基）甲胺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氮芥；双（氯乙基）甲胺</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51-75-2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2000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5-[（双（2-氯乙基）氨基]-2，4-（1H，3H）嘧啶二酮</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尿嘧啶芳芥；嘧啶苯芥</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66-75-1</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2003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O，O-双（4-氯苯基）N-（1-亚氨基）乙基硫代磷酸胺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毒鼠磷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4104-14-7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2005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双（二甲胺基）磷酰氟[含量＞2%]</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甲氟磷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115-26-4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2047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2，3，7，8-四氯二苯并对二</w:t>
            </w:r>
            <w:r>
              <w:rPr>
                <w:rFonts w:hint="eastAsia" w:ascii="Times New Roman" w:hAnsi="Times New Roman" w:eastAsia="微软雅黑" w:cs="微软雅黑"/>
                <w:spacing w:val="-11"/>
                <w:sz w:val="24"/>
              </w:rPr>
              <w:t>噁</w:t>
            </w:r>
            <w:r>
              <w:rPr>
                <w:rFonts w:hint="eastAsia" w:ascii="Times New Roman" w:hAnsi="Times New Roman" w:cs="仿宋_GB2312"/>
                <w:spacing w:val="-11"/>
                <w:sz w:val="24"/>
              </w:rPr>
              <w:t>英</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w:t>
            </w:r>
            <w:r>
              <w:rPr>
                <w:rFonts w:hint="eastAsia" w:ascii="Times New Roman" w:hAnsi="Times New Roman" w:eastAsia="微软雅黑" w:cs="微软雅黑"/>
                <w:spacing w:val="-11"/>
                <w:sz w:val="24"/>
              </w:rPr>
              <w:t>噁</w:t>
            </w:r>
            <w:r>
              <w:rPr>
                <w:rFonts w:hint="eastAsia" w:ascii="Times New Roman" w:hAnsi="Times New Roman"/>
                <w:spacing w:val="-11"/>
                <w:sz w:val="24"/>
              </w:rPr>
              <w:t>英；2，3，7，8-TCDD；四氯二苯二</w:t>
            </w:r>
            <w:r>
              <w:rPr>
                <w:rFonts w:hint="eastAsia" w:ascii="Times New Roman" w:hAnsi="Times New Roman" w:eastAsia="微软雅黑" w:cs="微软雅黑"/>
                <w:spacing w:val="-11"/>
                <w:sz w:val="24"/>
              </w:rPr>
              <w:t>噁</w:t>
            </w:r>
            <w:r>
              <w:rPr>
                <w:rFonts w:hint="eastAsia" w:ascii="Times New Roman" w:hAnsi="Times New Roman"/>
                <w:spacing w:val="-11"/>
                <w:sz w:val="24"/>
              </w:rPr>
              <w:t>英</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1746-01-6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2067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3-（1，2，3，4-四氢-1-萘基）-4-羟基香豆素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杀鼠醚</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5836-29-3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2078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四硝基甲烷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509-14-8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2087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四氧化锇</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锇酸酐</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20816-12-0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2091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O，O，O'，O'-四乙基二硫代焦磷酸酯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治螟磷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3689-24-5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2092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四乙基焦磷酸酯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特普</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107-49-3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2093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四乙基铅</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发动机燃料抗爆混合物</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78-00-2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2115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碳酰氯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光气</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75-44-5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2118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羰基镍</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四羰基镍；四碳酰镍</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13463-39-3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2133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乌头碱</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附子精</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302-27-2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2138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五氟化氯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13637-63-3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2144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五氯苯酚</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五氯酚</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87-86-5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2147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2，3，4，7，8-五氯二苯并呋喃</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2，3，4，7，8-PCDF</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57117-31-4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2153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五氯化锑</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过氯化锑；氯化锑</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7647-18-9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2157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五羰基铁</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羰基铁</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13463-40-6</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2163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五氧化二砷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砷酸酐；五氧化砷；氧化砷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1303-28-2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2177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戊硼烷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五硼烷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19624-22-7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2198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硒酸钠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13410-01-0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2222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2-硝基-4-甲氧基苯胺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枣红色基GP</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96-96-8</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129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2413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3-[3-（4'-溴联苯-4-基）-1，2，3，4-四氢-1-萘基]-4-羟基香豆素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溴鼠灵</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56073-10-0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2414</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3-[3-（4-溴联苯-4-基）-3-羟基-1-苯丙基]-4-羟基香豆素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溴敌隆</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28772-56-7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2460</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亚砷酸钙</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亚砒酸钙</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27152-57-4</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2477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亚硒酸氢钠</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重亚硒酸钠</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7782-82-3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2527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盐酸吐根碱</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盐酸依米丁</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316-42-7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2533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氧化汞</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一氧化汞；黄降汞；红降汞</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21908-53-2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2549</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一氟乙酸对溴苯胺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351-05-3</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136</w:t>
            </w:r>
          </w:p>
        </w:tc>
        <w:tc>
          <w:tcPr>
            <w:tcW w:w="1125"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2567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乙撑亚胺</w:t>
            </w:r>
          </w:p>
        </w:tc>
        <w:tc>
          <w:tcPr>
            <w:tcW w:w="1522"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吖丙啶；1-氮杂环丙烷；氮丙啶</w:t>
            </w:r>
          </w:p>
        </w:tc>
        <w:tc>
          <w:tcPr>
            <w:tcW w:w="14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151-56-4</w:t>
            </w:r>
          </w:p>
        </w:tc>
        <w:tc>
          <w:tcPr>
            <w:tcW w:w="943"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vMerge w:val="continue"/>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ascii="Times New Roman" w:hAnsi="Times New Roman"/>
                <w:sz w:val="24"/>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ascii="Times New Roman" w:hAnsi="Times New Roman"/>
                <w:sz w:val="24"/>
              </w:rPr>
            </w:pP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乙撑亚胺[稳定的]</w:t>
            </w:r>
          </w:p>
        </w:tc>
        <w:tc>
          <w:tcPr>
            <w:tcW w:w="1522" w:type="dxa"/>
            <w:vMerge w:val="continue"/>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ascii="Times New Roman" w:hAnsi="Times New Roman"/>
                <w:spacing w:val="-11"/>
                <w:sz w:val="24"/>
              </w:rPr>
            </w:pPr>
          </w:p>
        </w:tc>
        <w:tc>
          <w:tcPr>
            <w:tcW w:w="1417" w:type="dxa"/>
            <w:vMerge w:val="continue"/>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ascii="Times New Roman" w:hAnsi="Times New Roman"/>
                <w:sz w:val="24"/>
              </w:rPr>
            </w:pPr>
          </w:p>
        </w:tc>
        <w:tc>
          <w:tcPr>
            <w:tcW w:w="943" w:type="dxa"/>
            <w:vMerge w:val="continue"/>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ascii="Times New Roman" w:hAnsi="Times New Roman"/>
                <w:sz w:val="24"/>
              </w:rPr>
            </w:pP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2588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O-乙基-O-（4-硝基苯基）苯基硫代膦酸酯[含量＞15%]</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苯硫膦</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2104-64-5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2593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O-乙基-S-苯基乙基二硫代膦酸酯[含量＞6%]</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地虫硫膦</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944-22-9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139</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2626</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乙硼烷</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二硼烷</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19287-45-7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140</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2635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乙酸汞</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乙酸高汞；醋酸汞</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1600-27-7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141</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2637</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乙酸甲氧基乙基汞</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醋酸甲氧基乙基汞</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151-38-2</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142</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2642</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乙酸三甲基锡</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醋酸三甲基锡</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1118-14-5</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143</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2643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乙酸三乙基锡</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三乙基乙酸锡</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1907-13-7</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144</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2665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乙烯砜</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二乙烯砜</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77-77-0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145</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2671</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N-乙烯基乙撑亚胺</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N-乙烯基氮丙环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5628-99-9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146</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2685</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1-异丙基-3-甲基吡唑-5-基N，N-二甲基氨基甲酸酯[含量＞20%]</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异索威</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119-38-0</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147</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2718</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异氰酸苯酯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苯基异氰酸酯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103-71-9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r>
        <w:tblPrEx>
          <w:shd w:val="clear" w:color="auto" w:fill="FFFFFF"/>
          <w:tblCellMar>
            <w:top w:w="0" w:type="dxa"/>
            <w:left w:w="0" w:type="dxa"/>
            <w:bottom w:w="0" w:type="dxa"/>
            <w:right w:w="0" w:type="dxa"/>
          </w:tblCellMar>
        </w:tblPrEx>
        <w:trPr>
          <w:jc w:val="center"/>
        </w:trPr>
        <w:tc>
          <w:tcPr>
            <w:tcW w:w="68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148</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2723</w:t>
            </w:r>
          </w:p>
        </w:tc>
        <w:tc>
          <w:tcPr>
            <w:tcW w:w="291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异氰酸甲酯</w:t>
            </w:r>
          </w:p>
        </w:tc>
        <w:tc>
          <w:tcPr>
            <w:tcW w:w="1522"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rPr>
                <w:rFonts w:ascii="Times New Roman" w:hAnsi="Times New Roman"/>
                <w:spacing w:val="-11"/>
                <w:sz w:val="24"/>
              </w:rPr>
            </w:pPr>
            <w:r>
              <w:rPr>
                <w:rFonts w:hint="eastAsia" w:ascii="Times New Roman" w:hAnsi="Times New Roman"/>
                <w:spacing w:val="-11"/>
                <w:sz w:val="24"/>
              </w:rPr>
              <w:t>甲基异氰酸酯</w:t>
            </w:r>
          </w:p>
        </w:tc>
        <w:tc>
          <w:tcPr>
            <w:tcW w:w="14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624-83-9</w:t>
            </w:r>
          </w:p>
        </w:tc>
        <w:tc>
          <w:tcPr>
            <w:tcW w:w="94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240" w:lineRule="auto"/>
              <w:ind w:firstLine="0" w:firstLineChars="0"/>
              <w:jc w:val="center"/>
              <w:rPr>
                <w:rFonts w:ascii="Times New Roman" w:hAnsi="Times New Roman"/>
                <w:sz w:val="24"/>
              </w:rPr>
            </w:pPr>
            <w:r>
              <w:rPr>
                <w:rFonts w:hint="eastAsia" w:ascii="Times New Roman" w:hAnsi="Times New Roman"/>
                <w:sz w:val="24"/>
              </w:rPr>
              <w:t>剧毒</w:t>
            </w:r>
          </w:p>
        </w:tc>
      </w:tr>
    </w:tbl>
    <w:p>
      <w:pPr>
        <w:spacing w:line="240" w:lineRule="auto"/>
        <w:ind w:firstLine="0" w:firstLineChars="0"/>
        <w:rPr>
          <w:rFonts w:ascii="Times New Roman" w:hAnsi="Times New Roman"/>
          <w:sz w:val="24"/>
        </w:rPr>
        <w:sectPr>
          <w:pgSz w:w="11906" w:h="16838"/>
          <w:pgMar w:top="1440" w:right="1800" w:bottom="1440" w:left="1800" w:header="851" w:footer="992" w:gutter="0"/>
          <w:cols w:space="425" w:num="1"/>
          <w:docGrid w:type="lines" w:linePitch="435" w:charSpace="0"/>
        </w:sectPr>
      </w:pPr>
    </w:p>
    <w:p>
      <w:pPr>
        <w:numPr>
          <w:ilvl w:val="255"/>
          <w:numId w:val="0"/>
        </w:numPr>
        <w:tabs>
          <w:tab w:val="left" w:pos="0"/>
        </w:tabs>
        <w:ind w:left="42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21" w:name="_Toc224910896"/>
      <w:bookmarkStart w:id="122" w:name="_Toc225353480"/>
      <w:r>
        <w:rPr>
          <w:rFonts w:hint="eastAsia" w:ascii="Times New Roman" w:hAnsi="Times New Roman" w:eastAsia="楷体_GB2312" w:cs="楷体_GB2312"/>
          <w:b/>
          <w:bCs/>
          <w:color w:val="000000" w:themeColor="text1"/>
          <w:szCs w:val="32"/>
          <w14:textFill>
            <w14:solidFill>
              <w14:schemeClr w14:val="tx1"/>
            </w14:solidFill>
          </w14:textFill>
        </w:rPr>
        <w:t>附件8 北京市危险化学品禁止、限制、控制措施（2024年版）</w:t>
      </w:r>
      <w:bookmarkEnd w:id="121"/>
      <w:bookmarkEnd w:id="122"/>
    </w:p>
    <w:p>
      <w:pPr>
        <w:autoSpaceDE w:val="0"/>
        <w:autoSpaceDN w:val="0"/>
        <w:adjustRightInd w:val="0"/>
        <w:ind w:firstLine="640"/>
        <w:jc w:val="center"/>
        <w:rPr>
          <w:rFonts w:ascii="Times New Roman" w:hAnsi="Times New Roman" w:cs="FZSSK--GBK1-0"/>
          <w:kern w:val="0"/>
          <w:szCs w:val="21"/>
        </w:rPr>
      </w:pPr>
      <w:r>
        <w:rPr>
          <w:rFonts w:hint="eastAsia" w:ascii="Times New Roman" w:hAnsi="Times New Roman" w:cs="FZSSK--GBK1-0"/>
          <w:kern w:val="0"/>
          <w:szCs w:val="21"/>
        </w:rPr>
        <w:t>北京市危险化学品禁止目录（62种）</w:t>
      </w:r>
    </w:p>
    <w:tbl>
      <w:tblPr>
        <w:tblStyle w:val="32"/>
        <w:tblW w:w="522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3"/>
        <w:gridCol w:w="1286"/>
        <w:gridCol w:w="3535"/>
        <w:gridCol w:w="1427"/>
        <w:gridCol w:w="1394"/>
        <w:gridCol w:w="5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jc w:val="center"/>
        </w:trPr>
        <w:tc>
          <w:tcPr>
            <w:tcW w:w="284" w:type="pct"/>
            <w:vAlign w:val="center"/>
          </w:tcPr>
          <w:p>
            <w:pPr>
              <w:pStyle w:val="29"/>
              <w:jc w:val="center"/>
              <w:rPr>
                <w:rFonts w:ascii="Times New Roman" w:hAnsi="Times New Roman" w:eastAsia="仿宋_GB2312"/>
                <w:b/>
                <w:bCs/>
                <w:color w:val="0D0D0D"/>
                <w:position w:val="2"/>
                <w:sz w:val="24"/>
                <w:szCs w:val="24"/>
              </w:rPr>
            </w:pPr>
            <w:r>
              <w:rPr>
                <w:rFonts w:hint="eastAsia" w:ascii="Times New Roman" w:hAnsi="Times New Roman" w:eastAsia="仿宋_GB2312"/>
                <w:b/>
                <w:bCs/>
                <w:color w:val="0D0D0D"/>
                <w:position w:val="2"/>
                <w:sz w:val="24"/>
                <w:szCs w:val="24"/>
                <w:lang w:eastAsia="zh-CN"/>
              </w:rPr>
              <w:t>序号</w:t>
            </w:r>
          </w:p>
        </w:tc>
        <w:tc>
          <w:tcPr>
            <w:tcW w:w="738" w:type="pct"/>
            <w:vAlign w:val="center"/>
          </w:tcPr>
          <w:p>
            <w:pPr>
              <w:pStyle w:val="29"/>
              <w:jc w:val="center"/>
              <w:rPr>
                <w:rFonts w:ascii="Times New Roman" w:hAnsi="Times New Roman" w:eastAsia="仿宋_GB2312"/>
                <w:b/>
                <w:bCs/>
                <w:color w:val="0D0D0D"/>
                <w:spacing w:val="1"/>
                <w:position w:val="2"/>
                <w:sz w:val="24"/>
                <w:szCs w:val="24"/>
                <w:lang w:eastAsia="zh-CN"/>
              </w:rPr>
            </w:pPr>
            <w:r>
              <w:rPr>
                <w:rFonts w:hint="eastAsia" w:ascii="Times New Roman" w:hAnsi="Times New Roman" w:eastAsia="仿宋_GB2312"/>
                <w:b/>
                <w:bCs/>
                <w:color w:val="0D0D0D"/>
                <w:spacing w:val="-11"/>
                <w:position w:val="2"/>
                <w:sz w:val="24"/>
                <w:szCs w:val="24"/>
                <w:lang w:eastAsia="zh-CN"/>
              </w:rPr>
              <w:t>《危险化学品目录（2015版）》</w:t>
            </w:r>
          </w:p>
        </w:tc>
        <w:tc>
          <w:tcPr>
            <w:tcW w:w="2029" w:type="pct"/>
            <w:vAlign w:val="center"/>
          </w:tcPr>
          <w:p>
            <w:pPr>
              <w:pStyle w:val="29"/>
              <w:jc w:val="center"/>
              <w:rPr>
                <w:rFonts w:ascii="Times New Roman" w:hAnsi="Times New Roman" w:eastAsia="仿宋_GB2312"/>
                <w:b/>
                <w:bCs/>
                <w:color w:val="0D0D0D"/>
                <w:spacing w:val="4"/>
                <w:position w:val="2"/>
                <w:sz w:val="24"/>
                <w:szCs w:val="24"/>
                <w:lang w:eastAsia="zh-CN"/>
              </w:rPr>
            </w:pPr>
            <w:r>
              <w:rPr>
                <w:rFonts w:hint="eastAsia" w:ascii="Times New Roman" w:hAnsi="Times New Roman" w:eastAsia="仿宋_GB2312"/>
                <w:b/>
                <w:bCs/>
                <w:color w:val="0D0D0D"/>
                <w:spacing w:val="4"/>
                <w:position w:val="2"/>
                <w:sz w:val="24"/>
                <w:szCs w:val="24"/>
                <w:lang w:eastAsia="zh-CN"/>
              </w:rPr>
              <w:t>品名</w:t>
            </w:r>
          </w:p>
        </w:tc>
        <w:tc>
          <w:tcPr>
            <w:tcW w:w="819" w:type="pct"/>
            <w:vAlign w:val="center"/>
          </w:tcPr>
          <w:p>
            <w:pPr>
              <w:autoSpaceDE w:val="0"/>
              <w:autoSpaceDN w:val="0"/>
              <w:spacing w:line="240" w:lineRule="auto"/>
              <w:ind w:firstLine="0" w:firstLineChars="0"/>
              <w:jc w:val="center"/>
              <w:rPr>
                <w:rFonts w:ascii="Times New Roman" w:hAnsi="Times New Roman" w:cs="仿宋_GB2312"/>
                <w:b/>
                <w:bCs/>
                <w:color w:val="0D0D0D"/>
                <w:spacing w:val="2"/>
                <w:sz w:val="24"/>
                <w:lang w:eastAsia="en-US"/>
              </w:rPr>
            </w:pPr>
            <w:r>
              <w:rPr>
                <w:rFonts w:hint="eastAsia" w:ascii="Times New Roman" w:hAnsi="Times New Roman" w:cs="仿宋_GB2312"/>
                <w:b/>
                <w:bCs/>
                <w:color w:val="0D0D0D"/>
                <w:spacing w:val="2"/>
                <w:sz w:val="24"/>
                <w:lang w:eastAsia="en-US"/>
              </w:rPr>
              <w:t>别名</w:t>
            </w:r>
          </w:p>
        </w:tc>
        <w:tc>
          <w:tcPr>
            <w:tcW w:w="800" w:type="pct"/>
            <w:vAlign w:val="center"/>
          </w:tcPr>
          <w:p>
            <w:pPr>
              <w:pStyle w:val="29"/>
              <w:jc w:val="center"/>
              <w:rPr>
                <w:rFonts w:ascii="Times New Roman" w:hAnsi="Times New Roman" w:eastAsia="仿宋_GB2312"/>
                <w:b/>
                <w:bCs/>
                <w:color w:val="0D0D0D"/>
                <w:spacing w:val="2"/>
                <w:position w:val="2"/>
                <w:sz w:val="24"/>
                <w:szCs w:val="24"/>
                <w:lang w:eastAsia="zh-CN"/>
              </w:rPr>
            </w:pPr>
            <w:r>
              <w:rPr>
                <w:rFonts w:hint="eastAsia" w:ascii="Times New Roman" w:hAnsi="Times New Roman" w:eastAsia="仿宋_GB2312"/>
                <w:b/>
                <w:bCs/>
                <w:color w:val="0D0D0D"/>
                <w:spacing w:val="2"/>
                <w:position w:val="2"/>
                <w:sz w:val="24"/>
                <w:szCs w:val="24"/>
                <w:lang w:eastAsia="zh-CN"/>
              </w:rPr>
              <w:t>CAS号</w:t>
            </w:r>
          </w:p>
        </w:tc>
        <w:tc>
          <w:tcPr>
            <w:tcW w:w="326" w:type="pct"/>
            <w:vAlign w:val="center"/>
          </w:tcPr>
          <w:p>
            <w:pPr>
              <w:autoSpaceDE w:val="0"/>
              <w:autoSpaceDN w:val="0"/>
              <w:spacing w:line="240" w:lineRule="auto"/>
              <w:ind w:firstLine="0" w:firstLineChars="0"/>
              <w:jc w:val="center"/>
              <w:rPr>
                <w:rFonts w:ascii="Times New Roman" w:hAnsi="Times New Roman"/>
                <w:b/>
                <w:bCs/>
                <w:sz w:val="24"/>
                <w:lang w:eastAsia="en-US"/>
              </w:rPr>
            </w:pPr>
            <w:r>
              <w:rPr>
                <w:rFonts w:hint="eastAsia" w:ascii="Times New Roman" w:hAnsi="Times New Roman"/>
                <w:b/>
                <w:bCs/>
                <w:sz w:val="24"/>
                <w:lang w:eastAsia="en-US"/>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1</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43</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position w:val="2"/>
                <w:sz w:val="24"/>
                <w:szCs w:val="24"/>
              </w:rPr>
              <w:t>1，2，4，5，6，7，8，8-</w:t>
            </w:r>
            <w:r>
              <w:rPr>
                <w:rFonts w:hint="eastAsia" w:ascii="Times New Roman" w:hAnsi="Times New Roman" w:eastAsia="仿宋_GB2312" w:cs="仿宋_GB2312"/>
                <w:color w:val="0D0D0D"/>
                <w:spacing w:val="-11"/>
                <w:position w:val="2"/>
                <w:sz w:val="24"/>
                <w:szCs w:val="24"/>
              </w:rPr>
              <w:t>八氯</w:t>
            </w:r>
            <w:r>
              <w:rPr>
                <w:rFonts w:hint="eastAsia" w:ascii="Times New Roman" w:hAnsi="Times New Roman" w:eastAsia="仿宋_GB2312"/>
                <w:color w:val="0D0D0D"/>
                <w:spacing w:val="-11"/>
                <w:position w:val="2"/>
                <w:sz w:val="24"/>
                <w:szCs w:val="24"/>
              </w:rPr>
              <w:t>-2，3，3a，4，7，7a-</w:t>
            </w:r>
            <w:r>
              <w:rPr>
                <w:rFonts w:hint="eastAsia" w:ascii="Times New Roman" w:hAnsi="Times New Roman" w:eastAsia="仿宋_GB2312" w:cs="仿宋_GB2312"/>
                <w:color w:val="0D0D0D"/>
                <w:spacing w:val="-11"/>
                <w:position w:val="2"/>
                <w:sz w:val="24"/>
                <w:szCs w:val="24"/>
              </w:rPr>
              <w:t>六氢</w:t>
            </w:r>
            <w:r>
              <w:rPr>
                <w:rFonts w:hint="eastAsia" w:ascii="Times New Roman" w:hAnsi="Times New Roman" w:eastAsia="仿宋_GB2312"/>
                <w:color w:val="0D0D0D"/>
                <w:spacing w:val="-11"/>
                <w:position w:val="2"/>
                <w:sz w:val="24"/>
                <w:szCs w:val="24"/>
              </w:rPr>
              <w:t>-4，7-</w:t>
            </w:r>
            <w:r>
              <w:rPr>
                <w:rFonts w:hint="eastAsia" w:ascii="Times New Roman" w:hAnsi="Times New Roman" w:eastAsia="仿宋_GB2312" w:cs="仿宋_GB2312"/>
                <w:color w:val="0D0D0D"/>
                <w:spacing w:val="-11"/>
                <w:position w:val="2"/>
                <w:sz w:val="24"/>
                <w:szCs w:val="24"/>
              </w:rPr>
              <w:t>亚甲基茚</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氯丹</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57-74-9</w:t>
            </w:r>
          </w:p>
        </w:tc>
        <w:tc>
          <w:tcPr>
            <w:tcW w:w="326"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44</w:t>
            </w:r>
          </w:p>
        </w:tc>
        <w:tc>
          <w:tcPr>
            <w:tcW w:w="202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八氯莰烯</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毒杀芬</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8001-35-2</w:t>
            </w:r>
          </w:p>
        </w:tc>
        <w:tc>
          <w:tcPr>
            <w:tcW w:w="326"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3</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253</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s="仿宋_GB2312"/>
                <w:color w:val="0D0D0D"/>
                <w:spacing w:val="-11"/>
                <w:position w:val="1"/>
                <w:sz w:val="24"/>
                <w:szCs w:val="24"/>
              </w:rPr>
              <w:t>短链氯化石蜡（</w:t>
            </w:r>
            <w:r>
              <w:rPr>
                <w:rFonts w:hint="eastAsia" w:ascii="Times New Roman" w:hAnsi="Times New Roman" w:eastAsia="仿宋_GB2312"/>
                <w:color w:val="0D0D0D"/>
                <w:spacing w:val="-11"/>
                <w:position w:val="1"/>
                <w:sz w:val="24"/>
                <w:szCs w:val="24"/>
              </w:rPr>
              <w:t>C</w:t>
            </w:r>
            <w:r>
              <w:rPr>
                <w:rFonts w:hint="eastAsia" w:ascii="Times New Roman" w:hAnsi="Times New Roman" w:eastAsia="仿宋_GB2312"/>
                <w:color w:val="0D0D0D"/>
                <w:spacing w:val="-11"/>
                <w:sz w:val="24"/>
                <w:szCs w:val="24"/>
                <w:vertAlign w:val="subscript"/>
              </w:rPr>
              <w:t>10-13</w:t>
            </w:r>
            <w:r>
              <w:rPr>
                <w:rFonts w:hint="eastAsia" w:ascii="Times New Roman" w:hAnsi="Times New Roman" w:eastAsia="仿宋_GB2312" w:cs="仿宋_GB2312"/>
                <w:color w:val="0D0D0D"/>
                <w:spacing w:val="-11"/>
                <w:position w:val="1"/>
                <w:sz w:val="24"/>
                <w:szCs w:val="24"/>
              </w:rPr>
              <w:t>）</w:t>
            </w:r>
          </w:p>
        </w:tc>
        <w:tc>
          <w:tcPr>
            <w:tcW w:w="81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position w:val="1"/>
                <w:sz w:val="24"/>
                <w:szCs w:val="24"/>
              </w:rPr>
              <w:t>C</w:t>
            </w:r>
            <w:r>
              <w:rPr>
                <w:rFonts w:hint="eastAsia" w:ascii="Times New Roman" w:hAnsi="Times New Roman" w:eastAsia="仿宋_GB2312"/>
                <w:color w:val="0D0D0D"/>
                <w:spacing w:val="-11"/>
                <w:position w:val="1"/>
                <w:sz w:val="24"/>
                <w:szCs w:val="24"/>
                <w:vertAlign w:val="subscript"/>
              </w:rPr>
              <w:t>10-1</w:t>
            </w:r>
            <w:r>
              <w:rPr>
                <w:rFonts w:hint="eastAsia" w:ascii="Times New Roman" w:hAnsi="Times New Roman" w:eastAsia="仿宋_GB2312"/>
                <w:color w:val="0D0D0D"/>
                <w:spacing w:val="-11"/>
                <w:position w:val="1"/>
                <w:sz w:val="24"/>
                <w:szCs w:val="24"/>
                <w:vertAlign w:val="subscript"/>
                <w:lang w:eastAsia="zh-CN"/>
              </w:rPr>
              <w:t>3</w:t>
            </w:r>
            <w:r>
              <w:rPr>
                <w:rFonts w:hint="eastAsia" w:ascii="Times New Roman" w:hAnsi="Times New Roman" w:eastAsia="仿宋_GB2312" w:cs="仿宋_GB2312"/>
                <w:color w:val="0D0D0D"/>
                <w:spacing w:val="-11"/>
                <w:position w:val="1"/>
                <w:sz w:val="24"/>
                <w:szCs w:val="24"/>
              </w:rPr>
              <w:t>氯代烃</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85535-84-8</w:t>
            </w:r>
          </w:p>
        </w:tc>
        <w:tc>
          <w:tcPr>
            <w:tcW w:w="326"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4</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258</w:t>
            </w:r>
          </w:p>
        </w:tc>
        <w:tc>
          <w:tcPr>
            <w:tcW w:w="2029" w:type="pct"/>
            <w:vAlign w:val="center"/>
          </w:tcPr>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olor w:val="0D0D0D"/>
                <w:spacing w:val="-11"/>
                <w:position w:val="2"/>
                <w:sz w:val="24"/>
                <w:szCs w:val="24"/>
                <w:lang w:eastAsia="zh-CN"/>
              </w:rPr>
              <w:t>1-（</w:t>
            </w:r>
            <w:r>
              <w:rPr>
                <w:rFonts w:hint="eastAsia" w:ascii="Times New Roman" w:hAnsi="Times New Roman" w:eastAsia="仿宋_GB2312" w:cs="仿宋_GB2312"/>
                <w:color w:val="0D0D0D"/>
                <w:spacing w:val="-11"/>
                <w:position w:val="2"/>
                <w:sz w:val="24"/>
                <w:szCs w:val="24"/>
                <w:lang w:eastAsia="zh-CN"/>
              </w:rPr>
              <w:t>对氯苯基</w:t>
            </w:r>
            <w:r>
              <w:rPr>
                <w:rFonts w:hint="eastAsia" w:ascii="Times New Roman" w:hAnsi="Times New Roman" w:eastAsia="仿宋_GB2312"/>
                <w:color w:val="0D0D0D"/>
                <w:spacing w:val="-11"/>
                <w:position w:val="2"/>
                <w:sz w:val="24"/>
                <w:szCs w:val="24"/>
                <w:lang w:eastAsia="zh-CN"/>
              </w:rPr>
              <w:t>）-2，8，9-</w:t>
            </w:r>
            <w:r>
              <w:rPr>
                <w:rFonts w:hint="eastAsia" w:ascii="Times New Roman" w:hAnsi="Times New Roman" w:eastAsia="仿宋_GB2312" w:cs="仿宋_GB2312"/>
                <w:color w:val="0D0D0D"/>
                <w:spacing w:val="-11"/>
                <w:position w:val="2"/>
                <w:sz w:val="24"/>
                <w:szCs w:val="24"/>
                <w:lang w:eastAsia="zh-CN"/>
              </w:rPr>
              <w:t>三氧</w:t>
            </w:r>
            <w:r>
              <w:rPr>
                <w:rFonts w:hint="eastAsia" w:ascii="Times New Roman" w:hAnsi="Times New Roman" w:eastAsia="仿宋_GB2312"/>
                <w:color w:val="0D0D0D"/>
                <w:spacing w:val="-11"/>
                <w:position w:val="2"/>
                <w:sz w:val="24"/>
                <w:szCs w:val="24"/>
                <w:lang w:eastAsia="zh-CN"/>
              </w:rPr>
              <w:t>-5-</w:t>
            </w:r>
            <w:r>
              <w:rPr>
                <w:rFonts w:hint="eastAsia" w:ascii="Times New Roman" w:hAnsi="Times New Roman" w:eastAsia="仿宋_GB2312" w:cs="仿宋_GB2312"/>
                <w:color w:val="0D0D0D"/>
                <w:spacing w:val="-11"/>
                <w:position w:val="2"/>
                <w:sz w:val="24"/>
                <w:szCs w:val="24"/>
                <w:lang w:eastAsia="zh-CN"/>
              </w:rPr>
              <w:t>氮</w:t>
            </w:r>
            <w:r>
              <w:rPr>
                <w:rFonts w:hint="eastAsia" w:ascii="Times New Roman" w:hAnsi="Times New Roman" w:eastAsia="仿宋_GB2312"/>
                <w:color w:val="0D0D0D"/>
                <w:spacing w:val="-11"/>
                <w:position w:val="2"/>
                <w:sz w:val="24"/>
                <w:szCs w:val="24"/>
                <w:lang w:eastAsia="zh-CN"/>
              </w:rPr>
              <w:t>-1-</w:t>
            </w:r>
            <w:r>
              <w:rPr>
                <w:rFonts w:hint="eastAsia" w:ascii="Times New Roman" w:hAnsi="Times New Roman" w:eastAsia="仿宋_GB2312" w:cs="仿宋_GB2312"/>
                <w:color w:val="0D0D0D"/>
                <w:spacing w:val="-11"/>
                <w:position w:val="2"/>
                <w:sz w:val="24"/>
                <w:szCs w:val="24"/>
                <w:lang w:eastAsia="zh-CN"/>
              </w:rPr>
              <w:t>硅双环</w:t>
            </w:r>
            <w:r>
              <w:rPr>
                <w:rFonts w:hint="eastAsia" w:ascii="Times New Roman" w:hAnsi="Times New Roman" w:eastAsia="仿宋_GB2312"/>
                <w:color w:val="0D0D0D"/>
                <w:spacing w:val="-11"/>
                <w:position w:val="2"/>
                <w:sz w:val="24"/>
                <w:szCs w:val="24"/>
                <w:lang w:eastAsia="zh-CN"/>
              </w:rPr>
              <w:t>（3，3，3）</w:t>
            </w:r>
            <w:r>
              <w:rPr>
                <w:rFonts w:hint="eastAsia" w:ascii="Times New Roman" w:hAnsi="Times New Roman" w:eastAsia="仿宋_GB2312" w:cs="仿宋_GB2312"/>
                <w:color w:val="0D0D0D"/>
                <w:spacing w:val="-11"/>
                <w:position w:val="2"/>
                <w:sz w:val="24"/>
                <w:szCs w:val="24"/>
                <w:lang w:eastAsia="zh-CN"/>
              </w:rPr>
              <w:t>十二烷</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zh-CN"/>
              </w:rPr>
            </w:pPr>
            <w:r>
              <w:rPr>
                <w:rFonts w:hint="eastAsia" w:ascii="Times New Roman" w:hAnsi="Times New Roman" w:cs="仿宋_GB2312"/>
                <w:color w:val="0D0D0D"/>
                <w:spacing w:val="-11"/>
                <w:sz w:val="24"/>
                <w:lang w:eastAsia="zh-CN"/>
              </w:rPr>
              <w:t>毒鼠硅；氯硅宁；硅</w:t>
            </w:r>
          </w:p>
          <w:p>
            <w:pPr>
              <w:autoSpaceDE w:val="0"/>
              <w:autoSpaceDN w:val="0"/>
              <w:spacing w:line="240" w:lineRule="auto"/>
              <w:ind w:firstLine="0" w:firstLineChars="0"/>
              <w:jc w:val="center"/>
              <w:rPr>
                <w:rFonts w:ascii="Times New Roman" w:hAnsi="Times New Roman" w:cs="仿宋_GB2312"/>
                <w:spacing w:val="-11"/>
                <w:sz w:val="24"/>
                <w:lang w:eastAsia="zh-CN"/>
              </w:rPr>
            </w:pPr>
            <w:r>
              <w:rPr>
                <w:rFonts w:hint="eastAsia" w:ascii="Times New Roman" w:hAnsi="Times New Roman" w:cs="仿宋_GB2312"/>
                <w:color w:val="0D0D0D"/>
                <w:spacing w:val="-11"/>
                <w:sz w:val="24"/>
                <w:lang w:eastAsia="zh-CN"/>
              </w:rPr>
              <w:t>灭鼠</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29025-67-0</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sz w:val="24"/>
                <w:szCs w:val="24"/>
              </w:rPr>
              <w:t>5</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274</w:t>
            </w:r>
          </w:p>
        </w:tc>
        <w:tc>
          <w:tcPr>
            <w:tcW w:w="202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多氯联苯</w:t>
            </w:r>
          </w:p>
        </w:tc>
        <w:tc>
          <w:tcPr>
            <w:tcW w:w="819"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sz w:val="24"/>
                <w:szCs w:val="24"/>
              </w:rPr>
              <w:t>PCBs</w:t>
            </w:r>
          </w:p>
        </w:tc>
        <w:tc>
          <w:tcPr>
            <w:tcW w:w="800"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c>
          <w:tcPr>
            <w:tcW w:w="326"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6</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275</w:t>
            </w:r>
          </w:p>
        </w:tc>
        <w:tc>
          <w:tcPr>
            <w:tcW w:w="202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多氯三联苯</w:t>
            </w:r>
          </w:p>
        </w:tc>
        <w:tc>
          <w:tcPr>
            <w:tcW w:w="819"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61788-33-8</w:t>
            </w:r>
          </w:p>
        </w:tc>
        <w:tc>
          <w:tcPr>
            <w:tcW w:w="326"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sz w:val="24"/>
                <w:szCs w:val="24"/>
              </w:rPr>
              <w:t>7</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339</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sz w:val="24"/>
                <w:szCs w:val="24"/>
              </w:rPr>
              <w:t>1，3-</w:t>
            </w:r>
            <w:r>
              <w:rPr>
                <w:rFonts w:hint="eastAsia" w:ascii="Times New Roman" w:hAnsi="Times New Roman" w:eastAsia="仿宋_GB2312" w:cs="仿宋_GB2312"/>
                <w:color w:val="0D0D0D"/>
                <w:spacing w:val="-11"/>
                <w:sz w:val="24"/>
                <w:szCs w:val="24"/>
              </w:rPr>
              <w:t>二氟丙</w:t>
            </w:r>
            <w:r>
              <w:rPr>
                <w:rFonts w:hint="eastAsia" w:ascii="Times New Roman" w:hAnsi="Times New Roman" w:eastAsia="仿宋_GB2312"/>
                <w:color w:val="0D0D0D"/>
                <w:spacing w:val="-11"/>
                <w:sz w:val="24"/>
                <w:szCs w:val="24"/>
              </w:rPr>
              <w:t>-2-</w:t>
            </w:r>
            <w:r>
              <w:rPr>
                <w:rFonts w:hint="eastAsia" w:ascii="Times New Roman" w:hAnsi="Times New Roman" w:eastAsia="仿宋_GB2312" w:cs="仿宋_GB2312"/>
                <w:color w:val="0D0D0D"/>
                <w:spacing w:val="-11"/>
                <w:sz w:val="24"/>
                <w:szCs w:val="24"/>
              </w:rPr>
              <w:t>醇</w:t>
            </w:r>
            <w:r>
              <w:rPr>
                <w:rFonts w:hint="eastAsia" w:ascii="Times New Roman" w:hAnsi="Times New Roman" w:eastAsia="仿宋_GB2312"/>
                <w:color w:val="0D0D0D"/>
                <w:spacing w:val="-11"/>
                <w:sz w:val="24"/>
                <w:szCs w:val="24"/>
              </w:rPr>
              <w:t>（</w:t>
            </w:r>
            <w:r>
              <w:rPr>
                <w:rFonts w:hint="eastAsia" w:ascii="Times New Roman" w:hAnsi="Times New Roman" w:eastAsia="仿宋_GB2312" w:cs="微软雅黑"/>
                <w:color w:val="0D0D0D"/>
                <w:spacing w:val="-11"/>
                <w:sz w:val="24"/>
                <w:szCs w:val="24"/>
              </w:rPr>
              <w:t>Ⅰ</w:t>
            </w:r>
            <w:r>
              <w:rPr>
                <w:rFonts w:hint="eastAsia" w:ascii="Times New Roman" w:hAnsi="Times New Roman" w:eastAsia="仿宋_GB2312"/>
                <w:color w:val="0D0D0D"/>
                <w:spacing w:val="-11"/>
                <w:sz w:val="24"/>
                <w:szCs w:val="24"/>
              </w:rPr>
              <w:t>）</w:t>
            </w:r>
            <w:r>
              <w:rPr>
                <w:rFonts w:hint="eastAsia" w:ascii="Times New Roman" w:hAnsi="Times New Roman" w:eastAsia="仿宋_GB2312" w:cs="仿宋_GB2312"/>
                <w:color w:val="0D0D0D"/>
                <w:spacing w:val="-11"/>
                <w:sz w:val="24"/>
                <w:szCs w:val="24"/>
              </w:rPr>
              <w:t>与</w:t>
            </w:r>
            <w:r>
              <w:rPr>
                <w:rFonts w:hint="eastAsia" w:ascii="Times New Roman" w:hAnsi="Times New Roman" w:eastAsia="仿宋_GB2312"/>
                <w:color w:val="0D0D0D"/>
                <w:spacing w:val="-11"/>
                <w:sz w:val="24"/>
                <w:szCs w:val="24"/>
              </w:rPr>
              <w:t>1-</w:t>
            </w:r>
            <w:r>
              <w:rPr>
                <w:rFonts w:hint="eastAsia" w:ascii="Times New Roman" w:hAnsi="Times New Roman" w:eastAsia="仿宋_GB2312" w:cs="仿宋_GB2312"/>
                <w:color w:val="0D0D0D"/>
                <w:spacing w:val="-11"/>
                <w:sz w:val="24"/>
                <w:szCs w:val="24"/>
              </w:rPr>
              <w:t>氯</w:t>
            </w:r>
            <w:r>
              <w:rPr>
                <w:rFonts w:hint="eastAsia" w:ascii="Times New Roman" w:hAnsi="Times New Roman" w:eastAsia="仿宋_GB2312"/>
                <w:color w:val="0D0D0D"/>
                <w:spacing w:val="-11"/>
                <w:sz w:val="24"/>
                <w:szCs w:val="24"/>
              </w:rPr>
              <w:t>-3-</w:t>
            </w:r>
            <w:r>
              <w:rPr>
                <w:rFonts w:hint="eastAsia" w:ascii="Times New Roman" w:hAnsi="Times New Roman" w:eastAsia="仿宋_GB2312" w:cs="仿宋_GB2312"/>
                <w:color w:val="0D0D0D"/>
                <w:spacing w:val="-11"/>
                <w:sz w:val="24"/>
                <w:szCs w:val="24"/>
              </w:rPr>
              <w:t>氟丙</w:t>
            </w:r>
            <w:r>
              <w:rPr>
                <w:rFonts w:hint="eastAsia" w:ascii="Times New Roman" w:hAnsi="Times New Roman" w:eastAsia="仿宋_GB2312"/>
                <w:color w:val="0D0D0D"/>
                <w:spacing w:val="-11"/>
                <w:sz w:val="24"/>
                <w:szCs w:val="24"/>
              </w:rPr>
              <w:t>-2-</w:t>
            </w:r>
            <w:r>
              <w:rPr>
                <w:rFonts w:hint="eastAsia" w:ascii="Times New Roman" w:hAnsi="Times New Roman" w:eastAsia="仿宋_GB2312" w:cs="仿宋_GB2312"/>
                <w:color w:val="0D0D0D"/>
                <w:spacing w:val="-11"/>
                <w:sz w:val="24"/>
                <w:szCs w:val="24"/>
              </w:rPr>
              <w:t>醇</w:t>
            </w:r>
            <w:r>
              <w:rPr>
                <w:rFonts w:hint="eastAsia" w:ascii="Times New Roman" w:hAnsi="Times New Roman" w:eastAsia="仿宋_GB2312"/>
                <w:color w:val="0D0D0D"/>
                <w:spacing w:val="-11"/>
                <w:sz w:val="24"/>
                <w:szCs w:val="24"/>
              </w:rPr>
              <w:t>（</w:t>
            </w:r>
            <w:r>
              <w:rPr>
                <w:rFonts w:hint="eastAsia" w:ascii="Times New Roman" w:hAnsi="Times New Roman" w:eastAsia="仿宋_GB2312" w:cs="微软雅黑"/>
                <w:color w:val="0D0D0D"/>
                <w:spacing w:val="-11"/>
                <w:sz w:val="24"/>
                <w:szCs w:val="24"/>
              </w:rPr>
              <w:t>Ⅱ</w:t>
            </w:r>
            <w:r>
              <w:rPr>
                <w:rFonts w:hint="eastAsia" w:ascii="Times New Roman" w:hAnsi="Times New Roman" w:eastAsia="仿宋_GB2312"/>
                <w:color w:val="0D0D0D"/>
                <w:spacing w:val="-11"/>
                <w:sz w:val="24"/>
                <w:szCs w:val="24"/>
              </w:rPr>
              <w:t>）</w:t>
            </w:r>
            <w:r>
              <w:rPr>
                <w:rFonts w:hint="eastAsia" w:ascii="Times New Roman" w:hAnsi="Times New Roman" w:eastAsia="仿宋_GB2312" w:cs="仿宋_GB2312"/>
                <w:color w:val="0D0D0D"/>
                <w:spacing w:val="-11"/>
                <w:sz w:val="24"/>
                <w:szCs w:val="24"/>
              </w:rPr>
              <w:t>的混合物</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鼠甘伏；甘氟</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8065-71-2</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8</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391</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二甲基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-（4-</w:t>
            </w:r>
            <w:r>
              <w:rPr>
                <w:rFonts w:hint="eastAsia" w:ascii="Times New Roman" w:hAnsi="Times New Roman" w:eastAsia="仿宋_GB2312" w:cs="仿宋_GB2312"/>
                <w:color w:val="0D0D0D"/>
                <w:spacing w:val="-11"/>
                <w:position w:val="2"/>
                <w:sz w:val="24"/>
                <w:szCs w:val="24"/>
              </w:rPr>
              <w:t>硝基苯基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硫代磷酸酯</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甲基对硫磷</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298-00-0</w:t>
            </w:r>
          </w:p>
        </w:tc>
        <w:tc>
          <w:tcPr>
            <w:tcW w:w="326"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9</w:t>
            </w:r>
          </w:p>
        </w:tc>
        <w:tc>
          <w:tcPr>
            <w:tcW w:w="738"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394</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二甲基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-[1-</w:t>
            </w:r>
            <w:r>
              <w:rPr>
                <w:rFonts w:hint="eastAsia" w:ascii="Times New Roman" w:hAnsi="Times New Roman" w:eastAsia="仿宋_GB2312" w:cs="仿宋_GB2312"/>
                <w:color w:val="0D0D0D"/>
                <w:spacing w:val="-11"/>
                <w:position w:val="2"/>
                <w:sz w:val="24"/>
                <w:szCs w:val="24"/>
              </w:rPr>
              <w:t>甲基</w:t>
            </w:r>
            <w:r>
              <w:rPr>
                <w:rFonts w:hint="eastAsia" w:ascii="Times New Roman" w:hAnsi="Times New Roman" w:eastAsia="仿宋_GB2312"/>
                <w:color w:val="0D0D0D"/>
                <w:spacing w:val="-11"/>
                <w:position w:val="2"/>
                <w:sz w:val="24"/>
                <w:szCs w:val="24"/>
              </w:rPr>
              <w:t>-2-（</w:t>
            </w:r>
            <w:r>
              <w:rPr>
                <w:rFonts w:hint="eastAsia" w:ascii="Times New Roman" w:hAnsi="Times New Roman" w:eastAsia="仿宋_GB2312" w:cs="仿宋_GB2312"/>
                <w:color w:val="0D0D0D"/>
                <w:spacing w:val="-11"/>
                <w:position w:val="2"/>
                <w:sz w:val="24"/>
                <w:szCs w:val="24"/>
              </w:rPr>
              <w:t>甲基氨基甲酰</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乙烯基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磷酸酯</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含量＞</w:t>
            </w:r>
            <w:r>
              <w:rPr>
                <w:rFonts w:hint="eastAsia" w:ascii="Times New Roman" w:hAnsi="Times New Roman" w:eastAsia="仿宋_GB2312"/>
                <w:color w:val="0D0D0D"/>
                <w:spacing w:val="-11"/>
                <w:position w:val="3"/>
                <w:sz w:val="24"/>
                <w:szCs w:val="24"/>
              </w:rPr>
              <w:t>0.5%]</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久效磷</w:t>
            </w:r>
          </w:p>
        </w:tc>
        <w:tc>
          <w:tcPr>
            <w:tcW w:w="800" w:type="pct"/>
            <w:vAlign w:val="center"/>
          </w:tcPr>
          <w:p>
            <w:pPr>
              <w:pStyle w:val="29"/>
              <w:jc w:val="center"/>
              <w:rPr>
                <w:rFonts w:ascii="Times New Roman" w:hAnsi="Times New Roman" w:eastAsia="仿宋_GB2312"/>
                <w:spacing w:val="-11"/>
                <w:sz w:val="24"/>
                <w:szCs w:val="24"/>
              </w:rPr>
            </w:pPr>
            <w:r>
              <w:rPr>
                <w:rFonts w:hint="eastAsia" w:ascii="Times New Roman" w:hAnsi="Times New Roman" w:eastAsia="仿宋_GB2312"/>
                <w:color w:val="0D0D0D"/>
                <w:spacing w:val="-11"/>
                <w:position w:val="2"/>
                <w:sz w:val="24"/>
                <w:szCs w:val="24"/>
              </w:rPr>
              <w:t>6923-22-4</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10</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395</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二甲基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-[1-</w:t>
            </w:r>
            <w:r>
              <w:rPr>
                <w:rFonts w:hint="eastAsia" w:ascii="Times New Roman" w:hAnsi="Times New Roman" w:eastAsia="仿宋_GB2312" w:cs="仿宋_GB2312"/>
                <w:color w:val="0D0D0D"/>
                <w:spacing w:val="-11"/>
                <w:position w:val="2"/>
                <w:sz w:val="24"/>
                <w:szCs w:val="24"/>
              </w:rPr>
              <w:t>甲基</w:t>
            </w:r>
            <w:r>
              <w:rPr>
                <w:rFonts w:hint="eastAsia" w:ascii="Times New Roman" w:hAnsi="Times New Roman" w:eastAsia="仿宋_GB2312"/>
                <w:color w:val="0D0D0D"/>
                <w:spacing w:val="-11"/>
                <w:position w:val="2"/>
                <w:sz w:val="24"/>
                <w:szCs w:val="24"/>
              </w:rPr>
              <w:t>-2</w:t>
            </w:r>
            <w:r>
              <w:rPr>
                <w:rFonts w:hint="eastAsia" w:ascii="Times New Roman" w:hAnsi="Times New Roman" w:eastAsia="仿宋_GB2312" w:cs="仿宋_GB2312"/>
                <w:color w:val="0D0D0D"/>
                <w:spacing w:val="-11"/>
                <w:position w:val="2"/>
                <w:sz w:val="24"/>
                <w:szCs w:val="24"/>
              </w:rPr>
              <w:t>氯</w:t>
            </w:r>
            <w:r>
              <w:rPr>
                <w:rFonts w:hint="eastAsia" w:ascii="Times New Roman" w:hAnsi="Times New Roman" w:eastAsia="仿宋_GB2312"/>
                <w:color w:val="0D0D0D"/>
                <w:spacing w:val="-11"/>
                <w:position w:val="2"/>
                <w:sz w:val="24"/>
                <w:szCs w:val="24"/>
              </w:rPr>
              <w:t>-2-（</w:t>
            </w:r>
            <w:r>
              <w:rPr>
                <w:rFonts w:hint="eastAsia" w:ascii="Times New Roman" w:hAnsi="Times New Roman" w:eastAsia="仿宋_GB2312" w:cs="仿宋_GB2312"/>
                <w:color w:val="0D0D0D"/>
                <w:spacing w:val="-11"/>
                <w:position w:val="2"/>
                <w:sz w:val="24"/>
                <w:szCs w:val="24"/>
              </w:rPr>
              <w:t>二乙基氨基甲酰</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乙烯基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磷酸酯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olor w:val="0D0D0D"/>
                <w:spacing w:val="-11"/>
                <w:sz w:val="24"/>
                <w:lang w:eastAsia="en-US"/>
              </w:rPr>
              <w:t>2-</w:t>
            </w:r>
            <w:r>
              <w:rPr>
                <w:rFonts w:hint="eastAsia" w:ascii="Times New Roman" w:hAnsi="Times New Roman" w:cs="仿宋_GB2312"/>
                <w:color w:val="0D0D0D"/>
                <w:spacing w:val="-11"/>
                <w:sz w:val="24"/>
                <w:lang w:eastAsia="en-US"/>
              </w:rPr>
              <w:t>氯</w:t>
            </w:r>
            <w:r>
              <w:rPr>
                <w:rFonts w:hint="eastAsia" w:ascii="Times New Roman" w:hAnsi="Times New Roman"/>
                <w:color w:val="0D0D0D"/>
                <w:spacing w:val="-11"/>
                <w:sz w:val="24"/>
                <w:lang w:eastAsia="en-US"/>
              </w:rPr>
              <w:t>-3-（</w:t>
            </w:r>
            <w:r>
              <w:rPr>
                <w:rFonts w:hint="eastAsia" w:ascii="Times New Roman" w:hAnsi="Times New Roman" w:cs="仿宋_GB2312"/>
                <w:color w:val="0D0D0D"/>
                <w:spacing w:val="-11"/>
                <w:sz w:val="24"/>
                <w:lang w:eastAsia="en-US"/>
              </w:rPr>
              <w:t>二乙氨基</w:t>
            </w:r>
            <w:r>
              <w:rPr>
                <w:rFonts w:hint="eastAsia" w:ascii="Times New Roman" w:hAnsi="Times New Roman"/>
                <w:color w:val="0D0D0D"/>
                <w:spacing w:val="-11"/>
                <w:sz w:val="24"/>
                <w:lang w:eastAsia="en-US"/>
              </w:rPr>
              <w:t>）-1-</w:t>
            </w:r>
            <w:r>
              <w:rPr>
                <w:rFonts w:hint="eastAsia" w:ascii="Times New Roman" w:hAnsi="Times New Roman" w:cs="仿宋_GB2312"/>
                <w:color w:val="0D0D0D"/>
                <w:spacing w:val="-11"/>
                <w:sz w:val="24"/>
                <w:lang w:eastAsia="en-US"/>
              </w:rPr>
              <w:t>甲基</w:t>
            </w:r>
            <w:r>
              <w:rPr>
                <w:rFonts w:hint="eastAsia" w:ascii="Times New Roman" w:hAnsi="Times New Roman"/>
                <w:color w:val="0D0D0D"/>
                <w:spacing w:val="-11"/>
                <w:sz w:val="24"/>
                <w:lang w:eastAsia="en-US"/>
              </w:rPr>
              <w:t>-3-</w:t>
            </w:r>
            <w:r>
              <w:rPr>
                <w:rFonts w:hint="eastAsia" w:ascii="Times New Roman" w:hAnsi="Times New Roman" w:cs="仿宋_GB2312"/>
                <w:color w:val="0D0D0D"/>
                <w:spacing w:val="-11"/>
                <w:sz w:val="24"/>
                <w:lang w:eastAsia="en-US"/>
              </w:rPr>
              <w:t>氧代</w:t>
            </w:r>
            <w:r>
              <w:rPr>
                <w:rFonts w:hint="eastAsia" w:ascii="Times New Roman" w:hAnsi="Times New Roman"/>
                <w:color w:val="0D0D0D"/>
                <w:spacing w:val="-11"/>
                <w:sz w:val="24"/>
                <w:lang w:eastAsia="en-US"/>
              </w:rPr>
              <w:t>-1-</w:t>
            </w:r>
            <w:r>
              <w:rPr>
                <w:rFonts w:hint="eastAsia" w:ascii="Times New Roman" w:hAnsi="Times New Roman" w:cs="仿宋_GB2312"/>
                <w:color w:val="0D0D0D"/>
                <w:spacing w:val="-11"/>
                <w:sz w:val="24"/>
                <w:lang w:eastAsia="en-US"/>
              </w:rPr>
              <w:t>丙烯二甲基磷酸酯；磷胺</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13171-21-6</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11</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572</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olor w:val="0D0D0D"/>
                <w:spacing w:val="-11"/>
                <w:position w:val="2"/>
                <w:sz w:val="24"/>
                <w:szCs w:val="24"/>
                <w:lang w:eastAsia="zh-CN"/>
              </w:rPr>
              <w:t>2，6-</w:t>
            </w:r>
            <w:r>
              <w:rPr>
                <w:rFonts w:hint="eastAsia" w:ascii="Times New Roman" w:hAnsi="Times New Roman" w:eastAsia="仿宋_GB2312" w:cs="仿宋_GB2312"/>
                <w:color w:val="0D0D0D"/>
                <w:spacing w:val="-11"/>
                <w:position w:val="2"/>
                <w:sz w:val="24"/>
                <w:szCs w:val="24"/>
                <w:lang w:eastAsia="zh-CN"/>
              </w:rPr>
              <w:t>二噻</w:t>
            </w:r>
            <w:r>
              <w:rPr>
                <w:rFonts w:hint="eastAsia" w:ascii="Times New Roman" w:hAnsi="Times New Roman" w:eastAsia="仿宋_GB2312"/>
                <w:color w:val="0D0D0D"/>
                <w:spacing w:val="-11"/>
                <w:position w:val="2"/>
                <w:sz w:val="24"/>
                <w:szCs w:val="24"/>
                <w:lang w:eastAsia="zh-CN"/>
              </w:rPr>
              <w:t>-1，3，5，7-</w:t>
            </w:r>
            <w:r>
              <w:rPr>
                <w:rFonts w:hint="eastAsia" w:ascii="Times New Roman" w:hAnsi="Times New Roman" w:eastAsia="仿宋_GB2312" w:cs="仿宋_GB2312"/>
                <w:color w:val="0D0D0D"/>
                <w:spacing w:val="-11"/>
                <w:position w:val="2"/>
                <w:sz w:val="24"/>
                <w:szCs w:val="24"/>
                <w:lang w:eastAsia="zh-CN"/>
              </w:rPr>
              <w:t>四氮三环</w:t>
            </w:r>
            <w:r>
              <w:rPr>
                <w:rFonts w:hint="eastAsia" w:ascii="Times New Roman" w:hAnsi="Times New Roman" w:eastAsia="仿宋_GB2312"/>
                <w:color w:val="0D0D0D"/>
                <w:spacing w:val="-11"/>
                <w:position w:val="2"/>
                <w:sz w:val="24"/>
                <w:szCs w:val="24"/>
                <w:lang w:eastAsia="zh-CN"/>
              </w:rPr>
              <w:t>-[3，3，1，1，3，7]</w:t>
            </w:r>
            <w:r>
              <w:rPr>
                <w:rFonts w:hint="eastAsia" w:ascii="Times New Roman" w:hAnsi="Times New Roman" w:eastAsia="仿宋_GB2312" w:cs="仿宋_GB2312"/>
                <w:color w:val="0D0D0D"/>
                <w:spacing w:val="-11"/>
                <w:position w:val="2"/>
                <w:sz w:val="24"/>
                <w:szCs w:val="24"/>
                <w:lang w:eastAsia="zh-CN"/>
              </w:rPr>
              <w:t>癸烷</w:t>
            </w:r>
            <w:r>
              <w:rPr>
                <w:rFonts w:hint="eastAsia" w:ascii="Times New Roman" w:hAnsi="Times New Roman" w:eastAsia="仿宋_GB2312"/>
                <w:color w:val="0D0D0D"/>
                <w:spacing w:val="-11"/>
                <w:position w:val="2"/>
                <w:sz w:val="24"/>
                <w:szCs w:val="24"/>
                <w:lang w:eastAsia="zh-CN"/>
              </w:rPr>
              <w:t>-2，2，6，6-</w:t>
            </w:r>
            <w:r>
              <w:rPr>
                <w:rFonts w:hint="eastAsia" w:ascii="Times New Roman" w:hAnsi="Times New Roman" w:eastAsia="仿宋_GB2312" w:cs="仿宋_GB2312"/>
                <w:color w:val="0D0D0D"/>
                <w:spacing w:val="-11"/>
                <w:position w:val="2"/>
                <w:sz w:val="24"/>
                <w:szCs w:val="24"/>
                <w:lang w:eastAsia="zh-CN"/>
              </w:rPr>
              <w:t>四氧化物</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毒鼠强</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80-12-6</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630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w:t>
            </w:r>
            <w:r>
              <w:rPr>
                <w:rFonts w:hint="eastAsia" w:ascii="Times New Roman" w:hAnsi="Times New Roman" w:eastAsia="仿宋_GB2312" w:cs="仿宋_GB2312"/>
                <w:color w:val="0D0D0D"/>
                <w:spacing w:val="-11"/>
                <w:position w:val="2"/>
                <w:sz w:val="24"/>
                <w:szCs w:val="24"/>
              </w:rPr>
              <w:t>二溴乙烷</w:t>
            </w:r>
          </w:p>
        </w:tc>
        <w:tc>
          <w:tcPr>
            <w:tcW w:w="819" w:type="pct"/>
            <w:vAlign w:val="center"/>
          </w:tcPr>
          <w:p>
            <w:pPr>
              <w:autoSpaceDE w:val="0"/>
              <w:autoSpaceDN w:val="0"/>
              <w:spacing w:line="240" w:lineRule="auto"/>
              <w:ind w:firstLine="0" w:firstLineChars="0"/>
              <w:jc w:val="center"/>
              <w:rPr>
                <w:rFonts w:ascii="Times New Roman" w:hAnsi="Times New Roman" w:cs="仿宋_GB2312"/>
                <w:spacing w:val="-11"/>
                <w:sz w:val="24"/>
                <w:lang w:eastAsia="zh-CN"/>
              </w:rPr>
            </w:pPr>
            <w:r>
              <w:rPr>
                <w:rFonts w:hint="eastAsia" w:ascii="Times New Roman" w:hAnsi="Times New Roman" w:cs="仿宋_GB2312"/>
                <w:color w:val="0D0D0D"/>
                <w:spacing w:val="-11"/>
                <w:sz w:val="24"/>
                <w:lang w:eastAsia="zh-CN"/>
              </w:rPr>
              <w:t>乙撑二溴；二溴化乙</w:t>
            </w:r>
          </w:p>
          <w:p>
            <w:pPr>
              <w:autoSpaceDE w:val="0"/>
              <w:autoSpaceDN w:val="0"/>
              <w:spacing w:line="240" w:lineRule="auto"/>
              <w:ind w:firstLine="0" w:firstLineChars="0"/>
              <w:jc w:val="center"/>
              <w:rPr>
                <w:rFonts w:ascii="Times New Roman" w:hAnsi="Times New Roman" w:cs="仿宋_GB2312"/>
                <w:color w:val="0D0D0D"/>
                <w:spacing w:val="-11"/>
                <w:sz w:val="24"/>
                <w:lang w:eastAsia="zh-CN"/>
              </w:rPr>
            </w:pPr>
            <w:r>
              <w:rPr>
                <w:rFonts w:hint="eastAsia" w:ascii="Times New Roman" w:hAnsi="Times New Roman" w:cs="仿宋_GB2312"/>
                <w:color w:val="0D0D0D"/>
                <w:spacing w:val="-11"/>
                <w:sz w:val="24"/>
                <w:lang w:eastAsia="zh-CN"/>
              </w:rPr>
              <w:t>烯</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106-93-4</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654</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olor w:val="0D0D0D"/>
                <w:spacing w:val="-11"/>
                <w:position w:val="2"/>
                <w:sz w:val="24"/>
                <w:szCs w:val="24"/>
                <w:lang w:eastAsia="zh-CN"/>
              </w:rPr>
              <w:t>O，O-</w:t>
            </w:r>
            <w:r>
              <w:rPr>
                <w:rFonts w:hint="eastAsia" w:ascii="Times New Roman" w:hAnsi="Times New Roman" w:eastAsia="仿宋_GB2312" w:cs="仿宋_GB2312"/>
                <w:color w:val="0D0D0D"/>
                <w:spacing w:val="-11"/>
                <w:position w:val="2"/>
                <w:sz w:val="24"/>
                <w:szCs w:val="24"/>
                <w:lang w:eastAsia="zh-CN"/>
              </w:rPr>
              <w:t>二乙基</w:t>
            </w:r>
            <w:r>
              <w:rPr>
                <w:rFonts w:hint="eastAsia" w:ascii="Times New Roman" w:hAnsi="Times New Roman" w:eastAsia="仿宋_GB2312"/>
                <w:color w:val="0D0D0D"/>
                <w:spacing w:val="-11"/>
                <w:position w:val="2"/>
                <w:sz w:val="24"/>
                <w:szCs w:val="24"/>
                <w:lang w:eastAsia="zh-CN"/>
              </w:rPr>
              <w:t>-N-（1，3-</w:t>
            </w:r>
            <w:r>
              <w:rPr>
                <w:rFonts w:hint="eastAsia" w:ascii="Times New Roman" w:hAnsi="Times New Roman" w:eastAsia="仿宋_GB2312" w:cs="仿宋_GB2312"/>
                <w:color w:val="0D0D0D"/>
                <w:spacing w:val="-11"/>
                <w:position w:val="2"/>
                <w:sz w:val="24"/>
                <w:szCs w:val="24"/>
                <w:lang w:eastAsia="zh-CN"/>
              </w:rPr>
              <w:t>二硫戊环</w:t>
            </w:r>
            <w:r>
              <w:rPr>
                <w:rFonts w:hint="eastAsia" w:ascii="Times New Roman" w:hAnsi="Times New Roman" w:eastAsia="仿宋_GB2312"/>
                <w:color w:val="0D0D0D"/>
                <w:spacing w:val="-11"/>
                <w:position w:val="2"/>
                <w:sz w:val="24"/>
                <w:szCs w:val="24"/>
                <w:lang w:eastAsia="zh-CN"/>
              </w:rPr>
              <w:t>-2-</w:t>
            </w:r>
            <w:r>
              <w:rPr>
                <w:rFonts w:hint="eastAsia" w:ascii="Times New Roman" w:hAnsi="Times New Roman" w:eastAsia="仿宋_GB2312" w:cs="仿宋_GB2312"/>
                <w:color w:val="0D0D0D"/>
                <w:spacing w:val="-11"/>
                <w:position w:val="2"/>
                <w:sz w:val="24"/>
                <w:szCs w:val="24"/>
                <w:lang w:eastAsia="zh-CN"/>
              </w:rPr>
              <w:t>亚基</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磷酰胺</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 xml:space="preserve">含量＞ </w:t>
            </w:r>
            <w:r>
              <w:rPr>
                <w:rFonts w:hint="eastAsia" w:ascii="Times New Roman" w:hAnsi="Times New Roman" w:eastAsia="仿宋_GB2312"/>
                <w:color w:val="0D0D0D"/>
                <w:spacing w:val="-11"/>
                <w:position w:val="2"/>
                <w:sz w:val="24"/>
                <w:szCs w:val="24"/>
                <w:lang w:eastAsia="zh-CN"/>
              </w:rPr>
              <w:t>15%]</w:t>
            </w:r>
          </w:p>
        </w:tc>
        <w:tc>
          <w:tcPr>
            <w:tcW w:w="819" w:type="pct"/>
            <w:vAlign w:val="center"/>
          </w:tcPr>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olor w:val="0D0D0D"/>
                <w:spacing w:val="-11"/>
                <w:position w:val="2"/>
                <w:sz w:val="24"/>
                <w:szCs w:val="24"/>
                <w:lang w:eastAsia="zh-CN"/>
              </w:rPr>
              <w:t>2-（</w:t>
            </w:r>
            <w:r>
              <w:rPr>
                <w:rFonts w:hint="eastAsia" w:ascii="Times New Roman" w:hAnsi="Times New Roman" w:eastAsia="仿宋_GB2312" w:cs="仿宋_GB2312"/>
                <w:color w:val="0D0D0D"/>
                <w:spacing w:val="-11"/>
                <w:position w:val="2"/>
                <w:sz w:val="24"/>
                <w:szCs w:val="24"/>
                <w:lang w:eastAsia="zh-CN"/>
              </w:rPr>
              <w:t>二乙氧基磷酰亚</w:t>
            </w:r>
          </w:p>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s="仿宋_GB2312"/>
                <w:color w:val="0D0D0D"/>
                <w:spacing w:val="-11"/>
                <w:position w:val="2"/>
                <w:sz w:val="24"/>
                <w:szCs w:val="24"/>
                <w:lang w:eastAsia="zh-CN"/>
              </w:rPr>
              <w:t>氨基</w:t>
            </w:r>
            <w:r>
              <w:rPr>
                <w:rFonts w:hint="eastAsia" w:ascii="Times New Roman" w:hAnsi="Times New Roman" w:eastAsia="仿宋_GB2312"/>
                <w:color w:val="0D0D0D"/>
                <w:spacing w:val="-11"/>
                <w:position w:val="2"/>
                <w:sz w:val="24"/>
                <w:szCs w:val="24"/>
                <w:lang w:eastAsia="zh-CN"/>
              </w:rPr>
              <w:t>）-1，3-</w:t>
            </w:r>
            <w:r>
              <w:rPr>
                <w:rFonts w:hint="eastAsia" w:ascii="Times New Roman" w:hAnsi="Times New Roman" w:eastAsia="仿宋_GB2312" w:cs="仿宋_GB2312"/>
                <w:color w:val="0D0D0D"/>
                <w:spacing w:val="-11"/>
                <w:position w:val="2"/>
                <w:sz w:val="24"/>
                <w:szCs w:val="24"/>
                <w:lang w:eastAsia="zh-CN"/>
              </w:rPr>
              <w:t>二硫戊环；</w:t>
            </w:r>
          </w:p>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硫环磷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947-02-4</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14</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659</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二乙基</w:t>
            </w:r>
            <w:r>
              <w:rPr>
                <w:rFonts w:hint="eastAsia" w:ascii="Times New Roman" w:hAnsi="Times New Roman" w:eastAsia="仿宋_GB2312"/>
                <w:color w:val="0D0D0D"/>
                <w:spacing w:val="-11"/>
                <w:position w:val="2"/>
                <w:sz w:val="24"/>
                <w:szCs w:val="24"/>
              </w:rPr>
              <w:t>-O-（3-</w:t>
            </w:r>
            <w:r>
              <w:rPr>
                <w:rFonts w:hint="eastAsia" w:ascii="Times New Roman" w:hAnsi="Times New Roman" w:eastAsia="仿宋_GB2312" w:cs="仿宋_GB2312"/>
                <w:color w:val="0D0D0D"/>
                <w:spacing w:val="-11"/>
                <w:position w:val="2"/>
                <w:sz w:val="24"/>
                <w:szCs w:val="24"/>
              </w:rPr>
              <w:t>氯</w:t>
            </w:r>
            <w:r>
              <w:rPr>
                <w:rFonts w:hint="eastAsia" w:ascii="Times New Roman" w:hAnsi="Times New Roman" w:eastAsia="仿宋_GB2312"/>
                <w:color w:val="0D0D0D"/>
                <w:spacing w:val="-11"/>
                <w:position w:val="2"/>
                <w:sz w:val="24"/>
                <w:szCs w:val="24"/>
              </w:rPr>
              <w:t>-4-</w:t>
            </w:r>
            <w:r>
              <w:rPr>
                <w:rFonts w:hint="eastAsia" w:ascii="Times New Roman" w:hAnsi="Times New Roman" w:eastAsia="仿宋_GB2312" w:cs="仿宋_GB2312"/>
                <w:color w:val="0D0D0D"/>
                <w:spacing w:val="-11"/>
                <w:position w:val="2"/>
                <w:sz w:val="24"/>
                <w:szCs w:val="24"/>
              </w:rPr>
              <w:t>甲基香豆素</w:t>
            </w:r>
            <w:r>
              <w:rPr>
                <w:rFonts w:hint="eastAsia" w:ascii="Times New Roman" w:hAnsi="Times New Roman" w:eastAsia="仿宋_GB2312"/>
                <w:color w:val="0D0D0D"/>
                <w:spacing w:val="-11"/>
                <w:position w:val="2"/>
                <w:sz w:val="24"/>
                <w:szCs w:val="24"/>
              </w:rPr>
              <w:t>-7-</w:t>
            </w:r>
            <w:r>
              <w:rPr>
                <w:rFonts w:hint="eastAsia" w:ascii="Times New Roman" w:hAnsi="Times New Roman" w:eastAsia="仿宋_GB2312" w:cs="仿宋_GB2312"/>
                <w:color w:val="0D0D0D"/>
                <w:spacing w:val="-11"/>
                <w:position w:val="2"/>
                <w:sz w:val="24"/>
                <w:szCs w:val="24"/>
              </w:rPr>
              <w:t>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硫代磷酸酯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蝇毒磷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56-72-4</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15</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662</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二乙基</w:t>
            </w:r>
            <w:r>
              <w:rPr>
                <w:rFonts w:hint="eastAsia" w:ascii="Times New Roman" w:hAnsi="Times New Roman" w:eastAsia="仿宋_GB2312"/>
                <w:color w:val="0D0D0D"/>
                <w:spacing w:val="-11"/>
                <w:position w:val="2"/>
                <w:sz w:val="24"/>
                <w:szCs w:val="24"/>
              </w:rPr>
              <w:t>-O-（4-</w:t>
            </w:r>
            <w:r>
              <w:rPr>
                <w:rFonts w:hint="eastAsia" w:ascii="Times New Roman" w:hAnsi="Times New Roman" w:eastAsia="仿宋_GB2312" w:cs="仿宋_GB2312"/>
                <w:color w:val="0D0D0D"/>
                <w:spacing w:val="-11"/>
                <w:position w:val="2"/>
                <w:sz w:val="24"/>
                <w:szCs w:val="24"/>
              </w:rPr>
              <w:t>硝基苯基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硫代磷酸酯</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含量＞</w:t>
            </w:r>
            <w:r>
              <w:rPr>
                <w:rFonts w:hint="eastAsia" w:ascii="Times New Roman" w:hAnsi="Times New Roman" w:eastAsia="仿宋_GB2312"/>
                <w:color w:val="0D0D0D"/>
                <w:spacing w:val="-11"/>
                <w:position w:val="2"/>
                <w:sz w:val="24"/>
                <w:szCs w:val="24"/>
              </w:rPr>
              <w:t>4%]</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对硫磷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56-38-2</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16</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680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olor w:val="0D0D0D"/>
                <w:spacing w:val="-11"/>
                <w:position w:val="2"/>
                <w:sz w:val="24"/>
                <w:szCs w:val="24"/>
                <w:lang w:eastAsia="zh-CN"/>
              </w:rPr>
              <w:t>O</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sz w:val="24"/>
                <w:szCs w:val="24"/>
              </w:rPr>
              <w:t>二乙基</w:t>
            </w:r>
            <w:r>
              <w:rPr>
                <w:rFonts w:hint="eastAsia" w:ascii="Times New Roman" w:hAnsi="Times New Roman" w:eastAsia="仿宋_GB2312"/>
                <w:color w:val="0D0D0D"/>
                <w:spacing w:val="-11"/>
                <w:sz w:val="24"/>
                <w:szCs w:val="24"/>
              </w:rPr>
              <w:t>-S-</w:t>
            </w:r>
            <w:r>
              <w:rPr>
                <w:rFonts w:hint="eastAsia" w:ascii="Times New Roman" w:hAnsi="Times New Roman" w:eastAsia="仿宋_GB2312" w:cs="仿宋_GB2312"/>
                <w:color w:val="0D0D0D"/>
                <w:spacing w:val="-11"/>
                <w:sz w:val="24"/>
                <w:szCs w:val="24"/>
              </w:rPr>
              <w:t>叔丁基硫甲基二硫代磷酸酯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特丁硫磷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13071-79-9</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784</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氟乙酸钠</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氟醋酸钠</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62-74-8</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18</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788</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氟乙酰胺</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640-19-7</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19</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835</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汞</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水银</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7439-97-6</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20</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1079</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sz w:val="24"/>
                <w:szCs w:val="24"/>
                <w:lang w:eastAsia="zh-CN"/>
              </w:rPr>
              <w:t>O</w:t>
            </w:r>
            <w:r>
              <w:rPr>
                <w:rFonts w:hint="eastAsia" w:ascii="Times New Roman" w:hAnsi="Times New Roman" w:eastAsia="仿宋_GB2312"/>
                <w:color w:val="0D0D0D"/>
                <w:spacing w:val="-11"/>
                <w:sz w:val="24"/>
                <w:szCs w:val="24"/>
              </w:rPr>
              <w:t>-</w:t>
            </w:r>
            <w:r>
              <w:rPr>
                <w:rFonts w:hint="eastAsia" w:ascii="Times New Roman" w:hAnsi="Times New Roman" w:eastAsia="仿宋_GB2312" w:cs="仿宋_GB2312"/>
                <w:color w:val="0D0D0D"/>
                <w:spacing w:val="-11"/>
                <w:sz w:val="24"/>
                <w:szCs w:val="24"/>
              </w:rPr>
              <w:t>甲基</w:t>
            </w:r>
            <w:r>
              <w:rPr>
                <w:rFonts w:hint="eastAsia" w:ascii="Times New Roman" w:hAnsi="Times New Roman" w:eastAsia="仿宋_GB2312"/>
                <w:color w:val="0D0D0D"/>
                <w:spacing w:val="-11"/>
                <w:sz w:val="24"/>
                <w:szCs w:val="24"/>
              </w:rPr>
              <w:t>-S-</w:t>
            </w:r>
            <w:r>
              <w:rPr>
                <w:rFonts w:hint="eastAsia" w:ascii="Times New Roman" w:hAnsi="Times New Roman" w:eastAsia="仿宋_GB2312" w:cs="仿宋_GB2312"/>
                <w:color w:val="0D0D0D"/>
                <w:spacing w:val="-11"/>
                <w:sz w:val="24"/>
                <w:szCs w:val="24"/>
              </w:rPr>
              <w:t>甲基</w:t>
            </w:r>
            <w:r>
              <w:rPr>
                <w:rFonts w:hint="eastAsia" w:ascii="Times New Roman" w:hAnsi="Times New Roman" w:eastAsia="仿宋_GB2312"/>
                <w:color w:val="0D0D0D"/>
                <w:spacing w:val="-11"/>
                <w:sz w:val="24"/>
                <w:szCs w:val="24"/>
              </w:rPr>
              <w:t>-</w:t>
            </w:r>
            <w:r>
              <w:rPr>
                <w:rFonts w:hint="eastAsia" w:ascii="Times New Roman" w:hAnsi="Times New Roman" w:eastAsia="仿宋_GB2312" w:cs="仿宋_GB2312"/>
                <w:color w:val="0D0D0D"/>
                <w:spacing w:val="-11"/>
                <w:sz w:val="24"/>
                <w:szCs w:val="24"/>
              </w:rPr>
              <w:t>硫代磷酰胺</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甲胺磷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10265-92-6</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21</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1260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磷化钙</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二磷化三钙</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1305-99-3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22</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1262</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磷化铝</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20859-73-8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23</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1264</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磷化镁</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二磷化三镁</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12057-74-8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24</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1269</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磷化锌</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1314-84-7</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olor w:val="0D0D0D"/>
                <w:spacing w:val="-11"/>
                <w:position w:val="2"/>
                <w:sz w:val="24"/>
                <w:szCs w:val="24"/>
              </w:rPr>
              <w:t>25</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1270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磷酸二乙基汞</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zh-CN"/>
              </w:rPr>
            </w:pPr>
            <w:r>
              <w:rPr>
                <w:rFonts w:hint="eastAsia" w:ascii="Times New Roman" w:hAnsi="Times New Roman" w:cs="仿宋_GB2312"/>
                <w:color w:val="0D0D0D"/>
                <w:spacing w:val="-11"/>
                <w:sz w:val="24"/>
                <w:lang w:eastAsia="zh-CN"/>
              </w:rPr>
              <w:t>谷乐生；谷仁乐生；乌斯普龙汞制剂</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2235-25-8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26</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position w:val="2"/>
                <w:sz w:val="24"/>
                <w:szCs w:val="24"/>
              </w:rPr>
              <w:t>六氯</w:t>
            </w:r>
            <w:r>
              <w:rPr>
                <w:rFonts w:hint="eastAsia" w:ascii="Times New Roman" w:hAnsi="Times New Roman" w:eastAsia="仿宋_GB2312"/>
                <w:color w:val="0D0D0D"/>
                <w:spacing w:val="-11"/>
                <w:position w:val="2"/>
                <w:sz w:val="24"/>
                <w:szCs w:val="24"/>
              </w:rPr>
              <w:t>-1，3-</w:t>
            </w:r>
            <w:r>
              <w:rPr>
                <w:rFonts w:hint="eastAsia" w:ascii="Times New Roman" w:hAnsi="Times New Roman" w:eastAsia="仿宋_GB2312" w:cs="仿宋_GB2312"/>
                <w:color w:val="0D0D0D"/>
                <w:spacing w:val="-11"/>
                <w:position w:val="2"/>
                <w:sz w:val="24"/>
                <w:szCs w:val="24"/>
              </w:rPr>
              <w:t>丁二烯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六氯丁二烯；全氯</w:t>
            </w:r>
            <w:r>
              <w:rPr>
                <w:rFonts w:hint="eastAsia" w:ascii="Times New Roman" w:hAnsi="Times New Roman"/>
                <w:color w:val="0D0D0D"/>
                <w:spacing w:val="-11"/>
                <w:sz w:val="24"/>
                <w:lang w:eastAsia="en-US"/>
              </w:rPr>
              <w:t>-1，3-</w:t>
            </w:r>
            <w:r>
              <w:rPr>
                <w:rFonts w:hint="eastAsia" w:ascii="Times New Roman" w:hAnsi="Times New Roman" w:cs="仿宋_GB2312"/>
                <w:color w:val="0D0D0D"/>
                <w:spacing w:val="-11"/>
                <w:sz w:val="24"/>
                <w:lang w:eastAsia="en-US"/>
              </w:rPr>
              <w:t>丁二烯</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87-68-3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27</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1351</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position w:val="2"/>
                <w:sz w:val="24"/>
                <w:szCs w:val="24"/>
              </w:rPr>
              <w:t>（1R，4S，4aS，5R，6R，7S，8S，8aR）-1，2，3，4，10，10-</w:t>
            </w:r>
            <w:r>
              <w:rPr>
                <w:rFonts w:hint="eastAsia" w:ascii="Times New Roman" w:hAnsi="Times New Roman" w:eastAsia="仿宋_GB2312" w:cs="仿宋_GB2312"/>
                <w:color w:val="0D0D0D"/>
                <w:spacing w:val="-11"/>
                <w:position w:val="2"/>
                <w:sz w:val="24"/>
                <w:szCs w:val="24"/>
              </w:rPr>
              <w:t>六氯</w:t>
            </w:r>
          </w:p>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olor w:val="0D0D0D"/>
                <w:spacing w:val="-11"/>
                <w:sz w:val="24"/>
                <w:szCs w:val="24"/>
                <w:lang w:eastAsia="zh-CN"/>
              </w:rPr>
              <w:t>-1，4，4a，5，6，7，8，8a-</w:t>
            </w:r>
            <w:r>
              <w:rPr>
                <w:rFonts w:hint="eastAsia" w:ascii="Times New Roman" w:hAnsi="Times New Roman" w:eastAsia="仿宋_GB2312" w:cs="仿宋_GB2312"/>
                <w:color w:val="0D0D0D"/>
                <w:spacing w:val="-11"/>
                <w:sz w:val="24"/>
                <w:szCs w:val="24"/>
                <w:lang w:eastAsia="zh-CN"/>
              </w:rPr>
              <w:t>八氢</w:t>
            </w:r>
            <w:r>
              <w:rPr>
                <w:rFonts w:hint="eastAsia" w:ascii="Times New Roman" w:hAnsi="Times New Roman" w:eastAsia="仿宋_GB2312"/>
                <w:color w:val="0D0D0D"/>
                <w:spacing w:val="-11"/>
                <w:sz w:val="24"/>
                <w:szCs w:val="24"/>
                <w:lang w:eastAsia="zh-CN"/>
              </w:rPr>
              <w:t>-6，7-</w:t>
            </w:r>
            <w:r>
              <w:rPr>
                <w:rFonts w:hint="eastAsia" w:ascii="Times New Roman" w:hAnsi="Times New Roman" w:eastAsia="仿宋_GB2312" w:cs="仿宋_GB2312"/>
                <w:color w:val="0D0D0D"/>
                <w:spacing w:val="-11"/>
                <w:sz w:val="24"/>
                <w:szCs w:val="24"/>
                <w:lang w:eastAsia="zh-CN"/>
              </w:rPr>
              <w:t>环氧</w:t>
            </w:r>
            <w:r>
              <w:rPr>
                <w:rFonts w:hint="eastAsia" w:ascii="Times New Roman" w:hAnsi="Times New Roman" w:eastAsia="仿宋_GB2312"/>
                <w:color w:val="0D0D0D"/>
                <w:spacing w:val="-11"/>
                <w:sz w:val="24"/>
                <w:szCs w:val="24"/>
                <w:lang w:eastAsia="zh-CN"/>
              </w:rPr>
              <w:t>-1，4，5，8-</w:t>
            </w:r>
            <w:r>
              <w:rPr>
                <w:rFonts w:hint="eastAsia" w:ascii="Times New Roman" w:hAnsi="Times New Roman" w:eastAsia="仿宋_GB2312" w:cs="仿宋_GB2312"/>
                <w:color w:val="0D0D0D"/>
                <w:spacing w:val="-11"/>
                <w:sz w:val="24"/>
                <w:szCs w:val="24"/>
                <w:lang w:eastAsia="zh-CN"/>
              </w:rPr>
              <w:t>二亚甲基萘</w:t>
            </w:r>
            <w:r>
              <w:rPr>
                <w:rFonts w:hint="eastAsia" w:ascii="Times New Roman" w:hAnsi="Times New Roman" w:eastAsia="仿宋_GB2312"/>
                <w:color w:val="0D0D0D"/>
                <w:spacing w:val="-11"/>
                <w:sz w:val="24"/>
                <w:szCs w:val="24"/>
                <w:lang w:eastAsia="zh-CN"/>
              </w:rPr>
              <w:t>[</w:t>
            </w:r>
            <w:r>
              <w:rPr>
                <w:rFonts w:hint="eastAsia" w:ascii="Times New Roman" w:hAnsi="Times New Roman" w:eastAsia="仿宋_GB2312" w:cs="仿宋_GB2312"/>
                <w:color w:val="0D0D0D"/>
                <w:spacing w:val="-11"/>
                <w:sz w:val="24"/>
                <w:szCs w:val="24"/>
                <w:lang w:eastAsia="zh-CN"/>
              </w:rPr>
              <w:t xml:space="preserve">含量 </w:t>
            </w:r>
            <w:r>
              <w:rPr>
                <w:rFonts w:hint="eastAsia" w:ascii="Times New Roman" w:hAnsi="Times New Roman" w:eastAsia="仿宋_GB2312"/>
                <w:color w:val="0D0D0D"/>
                <w:spacing w:val="-11"/>
                <w:sz w:val="24"/>
                <w:szCs w:val="24"/>
                <w:lang w:eastAsia="zh-CN"/>
              </w:rPr>
              <w:t>2%</w:t>
            </w:r>
            <w:r>
              <w:rPr>
                <w:rFonts w:hint="eastAsia" w:ascii="Times New Roman" w:hAnsi="Times New Roman" w:eastAsia="仿宋_GB2312" w:cs="仿宋_GB2312"/>
                <w:color w:val="0D0D0D"/>
                <w:spacing w:val="-11"/>
                <w:sz w:val="24"/>
                <w:szCs w:val="24"/>
                <w:lang w:eastAsia="zh-CN"/>
              </w:rPr>
              <w:t>~</w:t>
            </w:r>
            <w:r>
              <w:rPr>
                <w:rFonts w:hint="eastAsia" w:ascii="Times New Roman" w:hAnsi="Times New Roman" w:eastAsia="仿宋_GB2312"/>
                <w:color w:val="0D0D0D"/>
                <w:spacing w:val="-11"/>
                <w:position w:val="3"/>
                <w:sz w:val="24"/>
                <w:szCs w:val="24"/>
                <w:lang w:eastAsia="zh-CN"/>
              </w:rPr>
              <w:t>90%]</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狄氏剂</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60-57-1</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28</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1352</w:t>
            </w:r>
          </w:p>
        </w:tc>
        <w:tc>
          <w:tcPr>
            <w:tcW w:w="2029" w:type="pct"/>
            <w:vAlign w:val="center"/>
          </w:tcPr>
          <w:p>
            <w:pPr>
              <w:pStyle w:val="29"/>
              <w:jc w:val="center"/>
              <w:rPr>
                <w:rFonts w:ascii="Times New Roman" w:hAnsi="Times New Roman" w:eastAsia="仿宋_GB2312" w:cs="仿宋_GB2312"/>
                <w:spacing w:val="-11"/>
                <w:sz w:val="24"/>
                <w:szCs w:val="24"/>
              </w:rPr>
            </w:pPr>
            <w:r>
              <w:rPr>
                <w:rFonts w:hint="eastAsia" w:ascii="Times New Roman" w:hAnsi="Times New Roman" w:eastAsia="仿宋_GB2312"/>
                <w:color w:val="0D0D0D"/>
                <w:spacing w:val="-11"/>
                <w:position w:val="2"/>
                <w:sz w:val="24"/>
                <w:szCs w:val="24"/>
              </w:rPr>
              <w:t>（1R，4S，5R，8S）-1，2，3，4，10，10-</w:t>
            </w:r>
            <w:r>
              <w:rPr>
                <w:rFonts w:hint="eastAsia" w:ascii="Times New Roman" w:hAnsi="Times New Roman" w:eastAsia="仿宋_GB2312" w:cs="仿宋_GB2312"/>
                <w:color w:val="0D0D0D"/>
                <w:spacing w:val="-11"/>
                <w:position w:val="2"/>
                <w:sz w:val="24"/>
                <w:szCs w:val="24"/>
              </w:rPr>
              <w:t>六氯</w:t>
            </w:r>
            <w:r>
              <w:rPr>
                <w:rFonts w:hint="eastAsia" w:ascii="Times New Roman" w:hAnsi="Times New Roman" w:eastAsia="仿宋_GB2312"/>
                <w:color w:val="0D0D0D"/>
                <w:spacing w:val="-11"/>
                <w:position w:val="2"/>
                <w:sz w:val="24"/>
                <w:szCs w:val="24"/>
              </w:rPr>
              <w:t>-1，4，4a，5，6，7，8，8a-</w:t>
            </w:r>
            <w:r>
              <w:rPr>
                <w:rFonts w:hint="eastAsia" w:ascii="Times New Roman" w:hAnsi="Times New Roman" w:eastAsia="仿宋_GB2312" w:cs="仿宋_GB2312"/>
                <w:color w:val="0D0D0D"/>
                <w:spacing w:val="-11"/>
                <w:position w:val="2"/>
                <w:sz w:val="24"/>
                <w:szCs w:val="24"/>
              </w:rPr>
              <w:t>八氢</w:t>
            </w:r>
            <w:r>
              <w:rPr>
                <w:rFonts w:hint="eastAsia" w:ascii="Times New Roman" w:hAnsi="Times New Roman" w:eastAsia="仿宋_GB2312"/>
                <w:color w:val="0D0D0D"/>
                <w:spacing w:val="-11"/>
                <w:position w:val="2"/>
                <w:sz w:val="24"/>
                <w:szCs w:val="24"/>
              </w:rPr>
              <w:t>-6，7-</w:t>
            </w:r>
            <w:r>
              <w:rPr>
                <w:rFonts w:hint="eastAsia" w:ascii="Times New Roman" w:hAnsi="Times New Roman" w:eastAsia="仿宋_GB2312" w:cs="仿宋_GB2312"/>
                <w:color w:val="0D0D0D"/>
                <w:spacing w:val="-11"/>
                <w:position w:val="2"/>
                <w:sz w:val="24"/>
                <w:szCs w:val="24"/>
              </w:rPr>
              <w:t>环氧</w:t>
            </w:r>
            <w:r>
              <w:rPr>
                <w:rFonts w:hint="eastAsia" w:ascii="Times New Roman" w:hAnsi="Times New Roman" w:eastAsia="仿宋_GB2312"/>
                <w:color w:val="0D0D0D"/>
                <w:spacing w:val="-11"/>
                <w:position w:val="2"/>
                <w:sz w:val="24"/>
                <w:szCs w:val="24"/>
              </w:rPr>
              <w:t>-1，4，5，8-</w:t>
            </w:r>
            <w:r>
              <w:rPr>
                <w:rFonts w:hint="eastAsia" w:ascii="Times New Roman" w:hAnsi="Times New Roman" w:eastAsia="仿宋_GB2312" w:cs="仿宋_GB2312"/>
                <w:color w:val="0D0D0D"/>
                <w:spacing w:val="-11"/>
                <w:position w:val="2"/>
                <w:sz w:val="24"/>
                <w:szCs w:val="24"/>
              </w:rPr>
              <w:t>二亚甲基萘</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含量＞</w:t>
            </w:r>
            <w:r>
              <w:rPr>
                <w:rFonts w:hint="eastAsia" w:ascii="Times New Roman" w:hAnsi="Times New Roman" w:eastAsia="仿宋_GB2312"/>
                <w:color w:val="0D0D0D"/>
                <w:spacing w:val="-11"/>
                <w:position w:val="2"/>
                <w:sz w:val="24"/>
                <w:szCs w:val="24"/>
              </w:rPr>
              <w:t>5%]</w:t>
            </w:r>
          </w:p>
        </w:tc>
        <w:tc>
          <w:tcPr>
            <w:tcW w:w="819" w:type="pct"/>
            <w:vAlign w:val="center"/>
          </w:tcPr>
          <w:p>
            <w:pPr>
              <w:autoSpaceDE w:val="0"/>
              <w:autoSpaceDN w:val="0"/>
              <w:spacing w:line="240" w:lineRule="auto"/>
              <w:ind w:firstLine="0" w:firstLineChars="0"/>
              <w:jc w:val="center"/>
              <w:rPr>
                <w:rFonts w:ascii="Times New Roman" w:hAnsi="Times New Roman"/>
                <w:spacing w:val="-11"/>
                <w:sz w:val="24"/>
                <w:lang w:eastAsia="en-US"/>
              </w:rPr>
            </w:pPr>
            <w:r>
              <w:rPr>
                <w:rFonts w:hint="eastAsia" w:ascii="Times New Roman" w:hAnsi="Times New Roman" w:cs="仿宋_GB2312"/>
                <w:color w:val="0D0D0D"/>
                <w:spacing w:val="-11"/>
                <w:sz w:val="24"/>
                <w:lang w:eastAsia="en-US"/>
              </w:rPr>
              <w:t>异狄氏剂</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72-20-8</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29</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1354</w:t>
            </w:r>
          </w:p>
        </w:tc>
        <w:tc>
          <w:tcPr>
            <w:tcW w:w="2029" w:type="pct"/>
            <w:vAlign w:val="center"/>
          </w:tcPr>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olor w:val="0D0D0D"/>
                <w:spacing w:val="-11"/>
                <w:position w:val="2"/>
                <w:sz w:val="24"/>
                <w:szCs w:val="24"/>
                <w:lang w:eastAsia="zh-CN"/>
              </w:rPr>
              <w:t>1，2，3，4，10，10-</w:t>
            </w:r>
            <w:r>
              <w:rPr>
                <w:rFonts w:hint="eastAsia" w:ascii="Times New Roman" w:hAnsi="Times New Roman" w:eastAsia="仿宋_GB2312" w:cs="仿宋_GB2312"/>
                <w:color w:val="0D0D0D"/>
                <w:spacing w:val="-11"/>
                <w:position w:val="2"/>
                <w:sz w:val="24"/>
                <w:szCs w:val="24"/>
                <w:lang w:eastAsia="zh-CN"/>
              </w:rPr>
              <w:t>六氯</w:t>
            </w:r>
            <w:r>
              <w:rPr>
                <w:rFonts w:hint="eastAsia" w:ascii="Times New Roman" w:hAnsi="Times New Roman" w:eastAsia="仿宋_GB2312"/>
                <w:color w:val="0D0D0D"/>
                <w:spacing w:val="-11"/>
                <w:position w:val="2"/>
                <w:sz w:val="24"/>
                <w:szCs w:val="24"/>
                <w:lang w:eastAsia="zh-CN"/>
              </w:rPr>
              <w:t>-1，4，4a，5，8，8a-</w:t>
            </w:r>
            <w:r>
              <w:rPr>
                <w:rFonts w:hint="eastAsia" w:ascii="Times New Roman" w:hAnsi="Times New Roman" w:eastAsia="仿宋_GB2312" w:cs="仿宋_GB2312"/>
                <w:color w:val="0D0D0D"/>
                <w:spacing w:val="-11"/>
                <w:position w:val="2"/>
                <w:sz w:val="24"/>
                <w:szCs w:val="24"/>
                <w:lang w:eastAsia="zh-CN"/>
              </w:rPr>
              <w:t>六氢</w:t>
            </w:r>
            <w:r>
              <w:rPr>
                <w:rFonts w:hint="eastAsia" w:ascii="Times New Roman" w:hAnsi="Times New Roman" w:eastAsia="仿宋_GB2312"/>
                <w:color w:val="0D0D0D"/>
                <w:spacing w:val="-11"/>
                <w:position w:val="2"/>
                <w:sz w:val="24"/>
                <w:szCs w:val="24"/>
                <w:lang w:eastAsia="zh-CN"/>
              </w:rPr>
              <w:t>-1，4</w:t>
            </w:r>
            <w:r>
              <w:rPr>
                <w:rFonts w:hint="eastAsia" w:ascii="Times New Roman" w:hAnsi="Times New Roman" w:eastAsia="仿宋_GB2312" w:cs="仿宋_GB2312"/>
                <w:color w:val="0D0D0D"/>
                <w:spacing w:val="-11"/>
                <w:position w:val="2"/>
                <w:sz w:val="24"/>
                <w:szCs w:val="24"/>
                <w:lang w:eastAsia="zh-CN"/>
              </w:rPr>
              <w:t>：</w:t>
            </w:r>
            <w:r>
              <w:rPr>
                <w:rFonts w:hint="eastAsia" w:ascii="Times New Roman" w:hAnsi="Times New Roman" w:eastAsia="仿宋_GB2312"/>
                <w:color w:val="0D0D0D"/>
                <w:spacing w:val="-11"/>
                <w:position w:val="2"/>
                <w:sz w:val="24"/>
                <w:szCs w:val="24"/>
                <w:lang w:eastAsia="zh-CN"/>
              </w:rPr>
              <w:t>5，8-</w:t>
            </w:r>
            <w:r>
              <w:rPr>
                <w:rFonts w:hint="eastAsia" w:ascii="Times New Roman" w:hAnsi="Times New Roman" w:eastAsia="仿宋_GB2312" w:cs="仿宋_GB2312"/>
                <w:color w:val="0D0D0D"/>
                <w:spacing w:val="-11"/>
                <w:position w:val="2"/>
                <w:sz w:val="24"/>
                <w:szCs w:val="24"/>
                <w:lang w:eastAsia="zh-CN"/>
              </w:rPr>
              <w:t>桥</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挂</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二甲撑萘</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含量＞</w:t>
            </w:r>
            <w:r>
              <w:rPr>
                <w:rFonts w:hint="eastAsia" w:ascii="Times New Roman" w:hAnsi="Times New Roman" w:eastAsia="仿宋_GB2312"/>
                <w:color w:val="0D0D0D"/>
                <w:spacing w:val="-11"/>
                <w:position w:val="2"/>
                <w:sz w:val="24"/>
                <w:szCs w:val="24"/>
                <w:lang w:eastAsia="zh-CN"/>
              </w:rPr>
              <w:t>75%]</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zh-CN"/>
              </w:rPr>
            </w:pPr>
            <w:r>
              <w:rPr>
                <w:rFonts w:hint="eastAsia" w:ascii="Times New Roman" w:hAnsi="Times New Roman" w:cs="仿宋_GB2312"/>
                <w:color w:val="0D0D0D"/>
                <w:spacing w:val="-11"/>
                <w:sz w:val="24"/>
                <w:lang w:eastAsia="zh-CN"/>
              </w:rPr>
              <w:t>六氯</w:t>
            </w:r>
            <w:r>
              <w:rPr>
                <w:rFonts w:hint="eastAsia" w:ascii="Times New Roman" w:hAnsi="Times New Roman"/>
                <w:color w:val="0D0D0D"/>
                <w:spacing w:val="-11"/>
                <w:sz w:val="24"/>
                <w:lang w:eastAsia="zh-CN"/>
              </w:rPr>
              <w:t>-</w:t>
            </w:r>
            <w:r>
              <w:rPr>
                <w:rFonts w:hint="eastAsia" w:ascii="Times New Roman" w:hAnsi="Times New Roman" w:cs="仿宋_GB2312"/>
                <w:color w:val="0D0D0D"/>
                <w:spacing w:val="-11"/>
                <w:sz w:val="24"/>
                <w:lang w:eastAsia="zh-CN"/>
              </w:rPr>
              <w:t>六氢</w:t>
            </w:r>
            <w:r>
              <w:rPr>
                <w:rFonts w:hint="eastAsia" w:ascii="Times New Roman" w:hAnsi="Times New Roman"/>
                <w:color w:val="0D0D0D"/>
                <w:spacing w:val="-11"/>
                <w:sz w:val="24"/>
                <w:lang w:eastAsia="zh-CN"/>
              </w:rPr>
              <w:t>-</w:t>
            </w:r>
            <w:r>
              <w:rPr>
                <w:rFonts w:hint="eastAsia" w:ascii="Times New Roman" w:hAnsi="Times New Roman" w:cs="仿宋_GB2312"/>
                <w:color w:val="0D0D0D"/>
                <w:spacing w:val="-11"/>
                <w:sz w:val="24"/>
                <w:lang w:eastAsia="zh-CN"/>
              </w:rPr>
              <w:t>二甲撑萘；艾氏剂</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309-00-2</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30</w:t>
            </w:r>
          </w:p>
        </w:tc>
        <w:tc>
          <w:tcPr>
            <w:tcW w:w="738" w:type="pct"/>
            <w:vAlign w:val="center"/>
          </w:tcPr>
          <w:p>
            <w:pPr>
              <w:autoSpaceDE w:val="0"/>
              <w:autoSpaceDN w:val="0"/>
              <w:spacing w:line="240" w:lineRule="auto"/>
              <w:ind w:firstLine="0" w:firstLineChars="0"/>
              <w:jc w:val="center"/>
              <w:rPr>
                <w:rFonts w:ascii="Times New Roman" w:hAnsi="Times New Roman"/>
                <w:spacing w:val="-11"/>
                <w:sz w:val="24"/>
                <w:lang w:eastAsia="en-US"/>
              </w:rPr>
            </w:pPr>
          </w:p>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1355</w:t>
            </w:r>
          </w:p>
        </w:tc>
        <w:tc>
          <w:tcPr>
            <w:tcW w:w="2029" w:type="pct"/>
            <w:vAlign w:val="center"/>
          </w:tcPr>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olor w:val="0D0D0D"/>
                <w:spacing w:val="-11"/>
                <w:position w:val="2"/>
                <w:sz w:val="24"/>
                <w:szCs w:val="24"/>
                <w:lang w:eastAsia="zh-CN"/>
              </w:rPr>
              <w:t>（1，4，5，6，7，7-</w:t>
            </w:r>
            <w:r>
              <w:rPr>
                <w:rFonts w:hint="eastAsia" w:ascii="Times New Roman" w:hAnsi="Times New Roman" w:eastAsia="仿宋_GB2312" w:cs="仿宋_GB2312"/>
                <w:color w:val="0D0D0D"/>
                <w:spacing w:val="-11"/>
                <w:position w:val="2"/>
                <w:sz w:val="24"/>
                <w:szCs w:val="24"/>
                <w:lang w:eastAsia="zh-CN"/>
              </w:rPr>
              <w:t>六氯</w:t>
            </w:r>
            <w:r>
              <w:rPr>
                <w:rFonts w:hint="eastAsia" w:ascii="Times New Roman" w:hAnsi="Times New Roman" w:eastAsia="仿宋_GB2312"/>
                <w:color w:val="0D0D0D"/>
                <w:spacing w:val="-11"/>
                <w:position w:val="2"/>
                <w:sz w:val="24"/>
                <w:szCs w:val="24"/>
                <w:lang w:eastAsia="zh-CN"/>
              </w:rPr>
              <w:t>-8，9，10-</w:t>
            </w:r>
            <w:r>
              <w:rPr>
                <w:rFonts w:hint="eastAsia" w:ascii="Times New Roman" w:hAnsi="Times New Roman" w:eastAsia="仿宋_GB2312" w:cs="仿宋_GB2312"/>
                <w:color w:val="0D0D0D"/>
                <w:spacing w:val="-11"/>
                <w:position w:val="2"/>
                <w:sz w:val="24"/>
                <w:szCs w:val="24"/>
                <w:lang w:eastAsia="zh-CN"/>
              </w:rPr>
              <w:t>三降冰片</w:t>
            </w:r>
            <w:r>
              <w:rPr>
                <w:rFonts w:hint="eastAsia" w:ascii="Times New Roman" w:hAnsi="Times New Roman" w:eastAsia="仿宋_GB2312"/>
                <w:color w:val="0D0D0D"/>
                <w:spacing w:val="-11"/>
                <w:position w:val="2"/>
                <w:sz w:val="24"/>
                <w:szCs w:val="24"/>
                <w:lang w:eastAsia="zh-CN"/>
              </w:rPr>
              <w:t>-5-</w:t>
            </w:r>
            <w:r>
              <w:rPr>
                <w:rFonts w:hint="eastAsia" w:ascii="Times New Roman" w:hAnsi="Times New Roman" w:eastAsia="仿宋_GB2312" w:cs="仿宋_GB2312"/>
                <w:color w:val="0D0D0D"/>
                <w:spacing w:val="-11"/>
                <w:position w:val="2"/>
                <w:sz w:val="24"/>
                <w:szCs w:val="24"/>
                <w:lang w:eastAsia="zh-CN"/>
              </w:rPr>
              <w:t>烯</w:t>
            </w:r>
            <w:r>
              <w:rPr>
                <w:rFonts w:hint="eastAsia" w:ascii="Times New Roman" w:hAnsi="Times New Roman" w:eastAsia="仿宋_GB2312"/>
                <w:color w:val="0D0D0D"/>
                <w:spacing w:val="-11"/>
                <w:position w:val="2"/>
                <w:sz w:val="24"/>
                <w:szCs w:val="24"/>
                <w:lang w:eastAsia="zh-CN"/>
              </w:rPr>
              <w:t>-2，3-</w:t>
            </w:r>
            <w:r>
              <w:rPr>
                <w:rFonts w:hint="eastAsia" w:ascii="Times New Roman" w:hAnsi="Times New Roman" w:eastAsia="仿宋_GB2312" w:cs="仿宋_GB2312"/>
                <w:color w:val="0D0D0D"/>
                <w:spacing w:val="-11"/>
                <w:position w:val="2"/>
                <w:sz w:val="24"/>
                <w:szCs w:val="24"/>
                <w:lang w:eastAsia="zh-CN"/>
              </w:rPr>
              <w:t>亚基双亚甲基</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亚硫</w:t>
            </w:r>
            <w:r>
              <w:rPr>
                <w:rFonts w:hint="eastAsia" w:ascii="Times New Roman" w:hAnsi="Times New Roman" w:eastAsia="仿宋_GB2312" w:cs="仿宋_GB2312"/>
                <w:color w:val="0D0D0D"/>
                <w:spacing w:val="-11"/>
                <w:sz w:val="24"/>
                <w:szCs w:val="24"/>
                <w:lang w:eastAsia="zh-CN"/>
              </w:rPr>
              <w:t>酸酯</w:t>
            </w:r>
          </w:p>
        </w:tc>
        <w:tc>
          <w:tcPr>
            <w:tcW w:w="819" w:type="pct"/>
            <w:vAlign w:val="center"/>
          </w:tcPr>
          <w:p>
            <w:pPr>
              <w:pStyle w:val="29"/>
              <w:jc w:val="center"/>
              <w:rPr>
                <w:rFonts w:ascii="Times New Roman" w:hAnsi="Times New Roman" w:eastAsia="仿宋_GB2312" w:cs="仿宋_GB2312"/>
                <w:spacing w:val="-11"/>
                <w:sz w:val="24"/>
                <w:szCs w:val="24"/>
                <w:lang w:eastAsia="zh-CN"/>
              </w:rPr>
            </w:pPr>
            <w:r>
              <w:rPr>
                <w:rFonts w:hint="eastAsia" w:ascii="Times New Roman" w:hAnsi="Times New Roman" w:eastAsia="仿宋_GB2312"/>
                <w:color w:val="0D0D0D"/>
                <w:spacing w:val="-11"/>
                <w:position w:val="2"/>
                <w:sz w:val="24"/>
                <w:szCs w:val="24"/>
                <w:lang w:eastAsia="zh-CN"/>
              </w:rPr>
              <w:t>1，2，3，4，7，7-</w:t>
            </w:r>
            <w:r>
              <w:rPr>
                <w:rFonts w:hint="eastAsia" w:ascii="Times New Roman" w:hAnsi="Times New Roman" w:eastAsia="仿宋_GB2312" w:cs="仿宋_GB2312"/>
                <w:color w:val="0D0D0D"/>
                <w:spacing w:val="-11"/>
                <w:position w:val="2"/>
                <w:sz w:val="24"/>
                <w:szCs w:val="24"/>
                <w:lang w:eastAsia="zh-CN"/>
              </w:rPr>
              <w:t>六氯双环</w:t>
            </w:r>
            <w:r>
              <w:rPr>
                <w:rFonts w:hint="eastAsia" w:ascii="Times New Roman" w:hAnsi="Times New Roman" w:eastAsia="仿宋_GB2312"/>
                <w:color w:val="0D0D0D"/>
                <w:spacing w:val="-11"/>
                <w:position w:val="2"/>
                <w:sz w:val="24"/>
                <w:szCs w:val="24"/>
                <w:lang w:eastAsia="zh-CN"/>
              </w:rPr>
              <w:t>[2，2，1]</w:t>
            </w:r>
            <w:r>
              <w:rPr>
                <w:rFonts w:hint="eastAsia" w:ascii="Times New Roman" w:hAnsi="Times New Roman" w:eastAsia="仿宋_GB2312" w:cs="仿宋_GB2312"/>
                <w:color w:val="0D0D0D"/>
                <w:spacing w:val="-11"/>
                <w:position w:val="2"/>
                <w:sz w:val="24"/>
                <w:szCs w:val="24"/>
                <w:lang w:eastAsia="zh-CN"/>
              </w:rPr>
              <w:t>庚烯</w:t>
            </w:r>
            <w:r>
              <w:rPr>
                <w:rFonts w:hint="eastAsia" w:ascii="Times New Roman" w:hAnsi="Times New Roman" w:eastAsia="仿宋_GB2312"/>
                <w:color w:val="0D0D0D"/>
                <w:spacing w:val="-11"/>
                <w:position w:val="2"/>
                <w:sz w:val="24"/>
                <w:szCs w:val="24"/>
                <w:lang w:eastAsia="zh-CN"/>
              </w:rPr>
              <w:t>-（2）-</w:t>
            </w:r>
            <w:r>
              <w:rPr>
                <w:rFonts w:hint="eastAsia" w:ascii="Times New Roman" w:hAnsi="Times New Roman" w:eastAsia="仿宋_GB2312" w:cs="仿宋_GB2312"/>
                <w:color w:val="0D0D0D"/>
                <w:spacing w:val="-11"/>
                <w:position w:val="2"/>
                <w:sz w:val="24"/>
                <w:szCs w:val="24"/>
                <w:lang w:eastAsia="zh-CN"/>
              </w:rPr>
              <w:t>双羟甲基</w:t>
            </w:r>
            <w:r>
              <w:rPr>
                <w:rFonts w:hint="eastAsia" w:ascii="Times New Roman" w:hAnsi="Times New Roman" w:eastAsia="仿宋_GB2312"/>
                <w:color w:val="0D0D0D"/>
                <w:spacing w:val="-11"/>
                <w:position w:val="2"/>
                <w:sz w:val="24"/>
                <w:szCs w:val="24"/>
                <w:lang w:eastAsia="zh-CN"/>
              </w:rPr>
              <w:t>-5，6-</w:t>
            </w:r>
            <w:r>
              <w:rPr>
                <w:rFonts w:hint="eastAsia" w:ascii="Times New Roman" w:hAnsi="Times New Roman" w:eastAsia="仿宋_GB2312" w:cs="仿宋_GB2312"/>
                <w:color w:val="0D0D0D"/>
                <w:spacing w:val="-11"/>
                <w:position w:val="2"/>
                <w:sz w:val="24"/>
                <w:szCs w:val="24"/>
                <w:lang w:eastAsia="zh-CN"/>
              </w:rPr>
              <w:t>亚硫酸酯；</w:t>
            </w:r>
            <w:r>
              <w:rPr>
                <w:rFonts w:hint="eastAsia" w:ascii="Times New Roman" w:hAnsi="Times New Roman" w:eastAsia="仿宋_GB2312" w:cs="仿宋_GB2312"/>
                <w:color w:val="0D0D0D"/>
                <w:spacing w:val="-11"/>
                <w:sz w:val="24"/>
                <w:szCs w:val="24"/>
                <w:lang w:eastAsia="zh-CN"/>
              </w:rPr>
              <w:t>硫丹</w:t>
            </w:r>
          </w:p>
        </w:tc>
        <w:tc>
          <w:tcPr>
            <w:tcW w:w="800" w:type="pct"/>
            <w:vAlign w:val="center"/>
          </w:tcPr>
          <w:p>
            <w:pPr>
              <w:autoSpaceDE w:val="0"/>
              <w:autoSpaceDN w:val="0"/>
              <w:spacing w:line="240" w:lineRule="auto"/>
              <w:ind w:firstLine="0" w:firstLineChars="0"/>
              <w:jc w:val="center"/>
              <w:rPr>
                <w:rFonts w:ascii="Times New Roman" w:hAnsi="Times New Roman"/>
                <w:spacing w:val="-11"/>
                <w:sz w:val="24"/>
                <w:lang w:eastAsia="zh-CN"/>
              </w:rPr>
            </w:pPr>
          </w:p>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115-29-7</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31</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1356</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六氯苯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zh-CN"/>
              </w:rPr>
            </w:pPr>
            <w:r>
              <w:rPr>
                <w:rFonts w:hint="eastAsia" w:ascii="Times New Roman" w:hAnsi="Times New Roman" w:cs="仿宋_GB2312"/>
                <w:color w:val="0D0D0D"/>
                <w:spacing w:val="-11"/>
                <w:sz w:val="24"/>
                <w:lang w:eastAsia="zh-CN"/>
              </w:rPr>
              <w:t>六氯代苯；过氯苯；全氯代苯</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118-74-1</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32</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1359</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sz w:val="24"/>
                <w:szCs w:val="24"/>
              </w:rPr>
              <w:t>α-</w:t>
            </w:r>
            <w:r>
              <w:rPr>
                <w:rFonts w:hint="eastAsia" w:ascii="Times New Roman" w:hAnsi="Times New Roman" w:eastAsia="仿宋_GB2312" w:cs="仿宋_GB2312"/>
                <w:color w:val="0D0D0D"/>
                <w:spacing w:val="-11"/>
                <w:sz w:val="24"/>
                <w:szCs w:val="24"/>
              </w:rPr>
              <w:t>六氯环己烷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319-84-6</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33</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1360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β-</w:t>
            </w:r>
            <w:r>
              <w:rPr>
                <w:rFonts w:hint="eastAsia" w:ascii="Times New Roman" w:hAnsi="Times New Roman" w:eastAsia="仿宋_GB2312" w:cs="仿宋_GB2312"/>
                <w:color w:val="0D0D0D"/>
                <w:spacing w:val="-11"/>
                <w:position w:val="2"/>
                <w:sz w:val="24"/>
                <w:szCs w:val="24"/>
              </w:rPr>
              <w:t>六氯环己烷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319-85-7</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34</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1361</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olor w:val="0D0D0D"/>
                <w:spacing w:val="-11"/>
                <w:position w:val="2"/>
                <w:sz w:val="24"/>
                <w:szCs w:val="24"/>
              </w:rPr>
              <w:t>γ</w:t>
            </w:r>
            <w:r>
              <w:rPr>
                <w:rFonts w:hint="eastAsia" w:ascii="Times New Roman" w:hAnsi="Times New Roman" w:eastAsia="仿宋_GB2312"/>
                <w:color w:val="0D0D0D"/>
                <w:spacing w:val="-11"/>
                <w:position w:val="2"/>
                <w:sz w:val="24"/>
                <w:szCs w:val="24"/>
                <w:lang w:eastAsia="zh-CN"/>
              </w:rPr>
              <w:t>-（1，2，4，5/3，6）-</w:t>
            </w:r>
            <w:r>
              <w:rPr>
                <w:rFonts w:hint="eastAsia" w:ascii="Times New Roman" w:hAnsi="Times New Roman" w:eastAsia="仿宋_GB2312" w:cs="仿宋_GB2312"/>
                <w:color w:val="0D0D0D"/>
                <w:spacing w:val="-11"/>
                <w:position w:val="2"/>
                <w:sz w:val="24"/>
                <w:szCs w:val="24"/>
                <w:lang w:eastAsia="zh-CN"/>
              </w:rPr>
              <w:t>六氯环己烷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林丹</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58-89-9</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35</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1362</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olor w:val="0D0D0D"/>
                <w:spacing w:val="-11"/>
                <w:position w:val="2"/>
                <w:sz w:val="24"/>
                <w:szCs w:val="24"/>
                <w:lang w:eastAsia="zh-CN"/>
              </w:rPr>
              <w:t>1，2，3，4，5，6-</w:t>
            </w:r>
            <w:r>
              <w:rPr>
                <w:rFonts w:hint="eastAsia" w:ascii="Times New Roman" w:hAnsi="Times New Roman" w:eastAsia="仿宋_GB2312" w:cs="仿宋_GB2312"/>
                <w:color w:val="0D0D0D"/>
                <w:spacing w:val="-11"/>
                <w:position w:val="2"/>
                <w:sz w:val="24"/>
                <w:szCs w:val="24"/>
                <w:lang w:eastAsia="zh-CN"/>
              </w:rPr>
              <w:t>六氯环己烷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六氯化苯；六六六</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608-73-1</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36</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1368</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六溴二苯醚</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36483-60-0</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37</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1371</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六溴环十二烷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38</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1372</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六溴联苯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36355-01-8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39</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1397</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N-（4-</w:t>
            </w:r>
            <w:r>
              <w:rPr>
                <w:rFonts w:hint="eastAsia" w:ascii="Times New Roman" w:hAnsi="Times New Roman" w:eastAsia="仿宋_GB2312" w:cs="仿宋_GB2312"/>
                <w:color w:val="0D0D0D"/>
                <w:spacing w:val="-11"/>
                <w:position w:val="2"/>
                <w:sz w:val="24"/>
                <w:szCs w:val="24"/>
              </w:rPr>
              <w:t>氯</w:t>
            </w:r>
            <w:r>
              <w:rPr>
                <w:rFonts w:hint="eastAsia" w:ascii="Times New Roman" w:hAnsi="Times New Roman" w:eastAsia="仿宋_GB2312"/>
                <w:color w:val="0D0D0D"/>
                <w:spacing w:val="-11"/>
                <w:position w:val="2"/>
                <w:sz w:val="24"/>
                <w:szCs w:val="24"/>
              </w:rPr>
              <w:t>-2-</w:t>
            </w:r>
            <w:r>
              <w:rPr>
                <w:rFonts w:hint="eastAsia" w:ascii="Times New Roman" w:hAnsi="Times New Roman" w:eastAsia="仿宋_GB2312" w:cs="仿宋_GB2312"/>
                <w:color w:val="0D0D0D"/>
                <w:spacing w:val="-11"/>
                <w:position w:val="2"/>
                <w:sz w:val="24"/>
                <w:szCs w:val="24"/>
              </w:rPr>
              <w:t>甲基苯基</w:t>
            </w:r>
            <w:r>
              <w:rPr>
                <w:rFonts w:hint="eastAsia" w:ascii="Times New Roman" w:hAnsi="Times New Roman" w:eastAsia="仿宋_GB2312"/>
                <w:color w:val="0D0D0D"/>
                <w:spacing w:val="-11"/>
                <w:position w:val="2"/>
                <w:sz w:val="24"/>
                <w:szCs w:val="24"/>
              </w:rPr>
              <w:t>）-N</w:t>
            </w:r>
            <w:r>
              <w:rPr>
                <w:rFonts w:hint="eastAsia" w:ascii="Times New Roman" w:hAnsi="Times New Roman" w:eastAsia="仿宋_GB2312" w:cs="Courier New"/>
                <w:color w:val="0D0D0D"/>
                <w:spacing w:val="-11"/>
                <w:sz w:val="24"/>
                <w:szCs w:val="24"/>
              </w:rPr>
              <w:t>ˊ</w:t>
            </w:r>
            <w:r>
              <w:rPr>
                <w:rFonts w:hint="eastAsia" w:ascii="Times New Roman" w:hAnsi="Times New Roman" w:eastAsia="仿宋_GB2312"/>
                <w:color w:val="0D0D0D"/>
                <w:spacing w:val="-11"/>
                <w:position w:val="2"/>
                <w:sz w:val="24"/>
                <w:szCs w:val="24"/>
              </w:rPr>
              <w:t>，N</w:t>
            </w:r>
            <w:r>
              <w:rPr>
                <w:rFonts w:hint="eastAsia" w:ascii="Times New Roman" w:hAnsi="Times New Roman" w:eastAsia="仿宋_GB2312" w:cs="Courier New"/>
                <w:color w:val="0D0D0D"/>
                <w:spacing w:val="-11"/>
                <w:sz w:val="24"/>
                <w:szCs w:val="24"/>
              </w:rPr>
              <w:t>ˊ</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二甲基甲脒</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杀虫脒</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6164-98-3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40</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1626</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七溴二苯醚</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68928-80-3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41</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1629</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1，4，5，6，7，8，8-</w:t>
            </w:r>
            <w:r>
              <w:rPr>
                <w:rFonts w:hint="eastAsia" w:ascii="Times New Roman" w:hAnsi="Times New Roman" w:eastAsia="仿宋_GB2312" w:cs="仿宋_GB2312"/>
                <w:color w:val="0D0D0D"/>
                <w:spacing w:val="-11"/>
                <w:position w:val="2"/>
                <w:sz w:val="24"/>
                <w:szCs w:val="24"/>
              </w:rPr>
              <w:t>七氯</w:t>
            </w:r>
            <w:r>
              <w:rPr>
                <w:rFonts w:hint="eastAsia" w:ascii="Times New Roman" w:hAnsi="Times New Roman" w:eastAsia="仿宋_GB2312"/>
                <w:color w:val="0D0D0D"/>
                <w:spacing w:val="-11"/>
                <w:position w:val="2"/>
                <w:sz w:val="24"/>
                <w:szCs w:val="24"/>
              </w:rPr>
              <w:t>-3a，4，7，7a-</w:t>
            </w:r>
            <w:r>
              <w:rPr>
                <w:rFonts w:hint="eastAsia" w:ascii="Times New Roman" w:hAnsi="Times New Roman" w:eastAsia="仿宋_GB2312" w:cs="仿宋_GB2312"/>
                <w:color w:val="0D0D0D"/>
                <w:spacing w:val="-11"/>
                <w:position w:val="2"/>
                <w:sz w:val="24"/>
                <w:szCs w:val="24"/>
              </w:rPr>
              <w:t>四氢</w:t>
            </w:r>
            <w:r>
              <w:rPr>
                <w:rFonts w:hint="eastAsia" w:ascii="Times New Roman" w:hAnsi="Times New Roman" w:eastAsia="仿宋_GB2312"/>
                <w:color w:val="0D0D0D"/>
                <w:spacing w:val="-11"/>
                <w:position w:val="2"/>
                <w:sz w:val="24"/>
                <w:szCs w:val="24"/>
              </w:rPr>
              <w:t>-4，7-</w:t>
            </w:r>
            <w:r>
              <w:rPr>
                <w:rFonts w:hint="eastAsia" w:ascii="Times New Roman" w:hAnsi="Times New Roman" w:eastAsia="仿宋_GB2312" w:cs="仿宋_GB2312"/>
                <w:color w:val="0D0D0D"/>
                <w:spacing w:val="-11"/>
                <w:position w:val="2"/>
                <w:sz w:val="24"/>
                <w:szCs w:val="24"/>
              </w:rPr>
              <w:t>亚甲基茚</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七氯</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76-44-8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42</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1715</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全氟辛基磺酸</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1763-23-1</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43</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1716</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全氟辛基磺酸铵</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29081-56-9</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44</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1717</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s="仿宋_GB2312"/>
                <w:color w:val="0D0D0D"/>
                <w:spacing w:val="-11"/>
                <w:sz w:val="24"/>
                <w:szCs w:val="24"/>
                <w:lang w:eastAsia="zh-CN"/>
              </w:rPr>
              <w:t>全氟辛基磺酸二癸二甲基铵</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zh-CN"/>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251099-16-8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45</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1718</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s="仿宋_GB2312"/>
                <w:color w:val="0D0D0D"/>
                <w:spacing w:val="-11"/>
                <w:sz w:val="24"/>
                <w:szCs w:val="24"/>
                <w:lang w:eastAsia="zh-CN"/>
              </w:rPr>
              <w:t>全氟辛基磺酸二乙醇铵</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zh-CN"/>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70225-14-8</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46</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1719</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全氟辛基磺酸钾</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2795-39-3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47</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1720</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全氟辛基磺酸锂</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29457-72-5</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48</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1721</w:t>
            </w:r>
          </w:p>
        </w:tc>
        <w:tc>
          <w:tcPr>
            <w:tcW w:w="2029" w:type="pct"/>
            <w:vAlign w:val="center"/>
          </w:tcPr>
          <w:p>
            <w:pPr>
              <w:pStyle w:val="29"/>
              <w:jc w:val="center"/>
              <w:rPr>
                <w:rFonts w:ascii="Times New Roman" w:hAnsi="Times New Roman" w:eastAsia="仿宋_GB2312"/>
                <w:color w:val="0D0D0D"/>
                <w:spacing w:val="-11"/>
                <w:position w:val="2"/>
                <w:sz w:val="24"/>
                <w:szCs w:val="24"/>
                <w:lang w:eastAsia="zh-CN"/>
              </w:rPr>
            </w:pPr>
            <w:r>
              <w:rPr>
                <w:rFonts w:hint="eastAsia" w:ascii="Times New Roman" w:hAnsi="Times New Roman" w:eastAsia="仿宋_GB2312" w:cs="仿宋_GB2312"/>
                <w:color w:val="0D0D0D"/>
                <w:spacing w:val="-11"/>
                <w:sz w:val="24"/>
                <w:szCs w:val="24"/>
                <w:lang w:eastAsia="zh-CN"/>
              </w:rPr>
              <w:t>全氟辛基磺酸四乙基铵</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zh-CN"/>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56773-42-3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49</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1722</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全氟辛基磺酰氟</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307-35-7</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50</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1724</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全氯五环癸烷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灭蚁灵</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2385-85-5</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51</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1827</w:t>
            </w:r>
          </w:p>
        </w:tc>
        <w:tc>
          <w:tcPr>
            <w:tcW w:w="2029" w:type="pct"/>
            <w:vAlign w:val="center"/>
          </w:tcPr>
          <w:p>
            <w:pPr>
              <w:pStyle w:val="29"/>
              <w:jc w:val="center"/>
              <w:rPr>
                <w:rFonts w:ascii="Times New Roman" w:hAnsi="Times New Roman" w:eastAsia="仿宋_GB2312" w:cs="仿宋_GB2312"/>
                <w:color w:val="0D0D0D"/>
                <w:spacing w:val="-11"/>
                <w:sz w:val="24"/>
                <w:szCs w:val="24"/>
                <w:lang w:eastAsia="zh-CN"/>
              </w:rPr>
            </w:pPr>
            <w:r>
              <w:rPr>
                <w:rFonts w:hint="eastAsia" w:ascii="Times New Roman" w:hAnsi="Times New Roman" w:eastAsia="仿宋_GB2312"/>
                <w:color w:val="0D0D0D"/>
                <w:spacing w:val="-11"/>
                <w:position w:val="2"/>
                <w:sz w:val="24"/>
                <w:szCs w:val="24"/>
                <w:lang w:eastAsia="zh-CN"/>
              </w:rPr>
              <w:t>1，1，1-</w:t>
            </w:r>
            <w:r>
              <w:rPr>
                <w:rFonts w:hint="eastAsia" w:ascii="Times New Roman" w:hAnsi="Times New Roman" w:eastAsia="仿宋_GB2312" w:cs="仿宋_GB2312"/>
                <w:color w:val="0D0D0D"/>
                <w:spacing w:val="-11"/>
                <w:position w:val="2"/>
                <w:sz w:val="24"/>
                <w:szCs w:val="24"/>
                <w:lang w:eastAsia="zh-CN"/>
              </w:rPr>
              <w:t>三氯</w:t>
            </w:r>
            <w:r>
              <w:rPr>
                <w:rFonts w:hint="eastAsia" w:ascii="Times New Roman" w:hAnsi="Times New Roman" w:eastAsia="仿宋_GB2312"/>
                <w:color w:val="0D0D0D"/>
                <w:spacing w:val="-11"/>
                <w:position w:val="2"/>
                <w:sz w:val="24"/>
                <w:szCs w:val="24"/>
                <w:lang w:eastAsia="zh-CN"/>
              </w:rPr>
              <w:t>-2，2-</w:t>
            </w:r>
            <w:r>
              <w:rPr>
                <w:rFonts w:hint="eastAsia" w:ascii="Times New Roman" w:hAnsi="Times New Roman" w:eastAsia="仿宋_GB2312" w:cs="仿宋_GB2312"/>
                <w:color w:val="0D0D0D"/>
                <w:spacing w:val="-11"/>
                <w:position w:val="2"/>
                <w:sz w:val="24"/>
                <w:szCs w:val="24"/>
                <w:lang w:eastAsia="zh-CN"/>
              </w:rPr>
              <w:t>双</w:t>
            </w:r>
            <w:r>
              <w:rPr>
                <w:rFonts w:hint="eastAsia" w:ascii="Times New Roman" w:hAnsi="Times New Roman" w:eastAsia="仿宋_GB2312"/>
                <w:color w:val="0D0D0D"/>
                <w:spacing w:val="-11"/>
                <w:position w:val="2"/>
                <w:sz w:val="24"/>
                <w:szCs w:val="24"/>
                <w:lang w:eastAsia="zh-CN"/>
              </w:rPr>
              <w:t>（4-</w:t>
            </w:r>
            <w:r>
              <w:rPr>
                <w:rFonts w:hint="eastAsia" w:ascii="Times New Roman" w:hAnsi="Times New Roman" w:eastAsia="仿宋_GB2312" w:cs="仿宋_GB2312"/>
                <w:color w:val="0D0D0D"/>
                <w:spacing w:val="-11"/>
                <w:position w:val="2"/>
                <w:sz w:val="24"/>
                <w:szCs w:val="24"/>
                <w:lang w:eastAsia="zh-CN"/>
              </w:rPr>
              <w:t>氯苯基</w:t>
            </w:r>
            <w:r>
              <w:rPr>
                <w:rFonts w:hint="eastAsia" w:ascii="Times New Roman" w:hAnsi="Times New Roman" w:eastAsia="仿宋_GB2312"/>
                <w:color w:val="0D0D0D"/>
                <w:spacing w:val="-11"/>
                <w:position w:val="2"/>
                <w:sz w:val="24"/>
                <w:szCs w:val="24"/>
                <w:lang w:eastAsia="zh-CN"/>
              </w:rPr>
              <w:t>）</w:t>
            </w:r>
            <w:r>
              <w:rPr>
                <w:rFonts w:hint="eastAsia" w:ascii="Times New Roman" w:hAnsi="Times New Roman" w:eastAsia="仿宋_GB2312" w:cs="仿宋_GB2312"/>
                <w:color w:val="0D0D0D"/>
                <w:spacing w:val="-11"/>
                <w:position w:val="2"/>
                <w:sz w:val="24"/>
                <w:szCs w:val="24"/>
                <w:lang w:eastAsia="zh-CN"/>
              </w:rPr>
              <w:t>乙烷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滴滴涕</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50-29-3</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52</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1924</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7440-38-2</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53</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1958</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十氯酮</w:t>
            </w:r>
          </w:p>
        </w:tc>
        <w:tc>
          <w:tcPr>
            <w:tcW w:w="819" w:type="pct"/>
            <w:vAlign w:val="center"/>
          </w:tcPr>
          <w:p>
            <w:pPr>
              <w:pStyle w:val="29"/>
              <w:jc w:val="center"/>
              <w:rPr>
                <w:rFonts w:ascii="Times New Roman" w:hAnsi="Times New Roman" w:eastAsia="仿宋_GB2312"/>
                <w:spacing w:val="-11"/>
                <w:sz w:val="24"/>
                <w:szCs w:val="24"/>
                <w:lang w:eastAsia="zh-CN"/>
              </w:rPr>
            </w:pPr>
            <w:r>
              <w:rPr>
                <w:rFonts w:hint="eastAsia" w:ascii="Times New Roman" w:hAnsi="Times New Roman" w:eastAsia="仿宋_GB2312" w:cs="仿宋_GB2312"/>
                <w:color w:val="0D0D0D"/>
                <w:spacing w:val="-11"/>
                <w:sz w:val="24"/>
                <w:szCs w:val="24"/>
                <w:lang w:eastAsia="zh-CN"/>
              </w:rPr>
              <w:t>十氯代八氢</w:t>
            </w:r>
            <w:r>
              <w:rPr>
                <w:rFonts w:hint="eastAsia" w:ascii="Times New Roman" w:hAnsi="Times New Roman" w:eastAsia="仿宋_GB2312"/>
                <w:color w:val="0D0D0D"/>
                <w:spacing w:val="-11"/>
                <w:sz w:val="24"/>
                <w:szCs w:val="24"/>
                <w:lang w:eastAsia="zh-CN"/>
              </w:rPr>
              <w:t>-</w:t>
            </w:r>
            <w:r>
              <w:rPr>
                <w:rFonts w:hint="eastAsia" w:ascii="Times New Roman" w:hAnsi="Times New Roman" w:eastAsia="仿宋_GB2312" w:cs="仿宋_GB2312"/>
                <w:color w:val="0D0D0D"/>
                <w:spacing w:val="-11"/>
                <w:sz w:val="24"/>
                <w:szCs w:val="24"/>
                <w:lang w:eastAsia="zh-CN"/>
              </w:rPr>
              <w:t>亚甲基</w:t>
            </w:r>
            <w:r>
              <w:rPr>
                <w:rFonts w:hint="eastAsia" w:ascii="Times New Roman" w:hAnsi="Times New Roman" w:eastAsia="仿宋_GB2312"/>
                <w:color w:val="0D0D0D"/>
                <w:spacing w:val="-11"/>
                <w:sz w:val="24"/>
                <w:szCs w:val="24"/>
                <w:lang w:eastAsia="zh-CN"/>
              </w:rPr>
              <w:t>-</w:t>
            </w:r>
            <w:r>
              <w:rPr>
                <w:rFonts w:hint="eastAsia" w:ascii="Times New Roman" w:hAnsi="Times New Roman" w:eastAsia="仿宋_GB2312" w:cs="仿宋_GB2312"/>
                <w:color w:val="0D0D0D"/>
                <w:spacing w:val="-11"/>
                <w:sz w:val="24"/>
                <w:szCs w:val="24"/>
                <w:lang w:eastAsia="zh-CN"/>
              </w:rPr>
              <w:t>环丁异</w:t>
            </w:r>
            <w:r>
              <w:rPr>
                <w:rFonts w:hint="eastAsia" w:ascii="Times New Roman" w:hAnsi="Times New Roman" w:eastAsia="仿宋_GB2312"/>
                <w:color w:val="0D0D0D"/>
                <w:spacing w:val="-11"/>
                <w:sz w:val="24"/>
                <w:szCs w:val="24"/>
                <w:lang w:eastAsia="zh-CN"/>
              </w:rPr>
              <w:t>[CD]</w:t>
            </w:r>
            <w:r>
              <w:rPr>
                <w:rFonts w:hint="eastAsia" w:ascii="Times New Roman" w:hAnsi="Times New Roman" w:eastAsia="仿宋_GB2312" w:cs="仿宋_GB2312"/>
                <w:color w:val="0D0D0D"/>
                <w:spacing w:val="-11"/>
                <w:sz w:val="24"/>
                <w:szCs w:val="24"/>
                <w:lang w:eastAsia="zh-CN"/>
              </w:rPr>
              <w:t>戊搭烯</w:t>
            </w:r>
            <w:r>
              <w:rPr>
                <w:rFonts w:hint="eastAsia" w:ascii="Times New Roman" w:hAnsi="Times New Roman" w:eastAsia="仿宋_GB2312"/>
                <w:color w:val="0D0D0D"/>
                <w:spacing w:val="-11"/>
                <w:position w:val="1"/>
                <w:sz w:val="24"/>
                <w:szCs w:val="24"/>
                <w:lang w:eastAsia="zh-CN"/>
              </w:rPr>
              <w:t>-2-</w:t>
            </w:r>
            <w:r>
              <w:rPr>
                <w:rFonts w:hint="eastAsia" w:ascii="Times New Roman" w:hAnsi="Times New Roman" w:eastAsia="仿宋_GB2312" w:cs="仿宋_GB2312"/>
                <w:color w:val="0D0D0D"/>
                <w:spacing w:val="-11"/>
                <w:position w:val="1"/>
                <w:sz w:val="24"/>
                <w:szCs w:val="24"/>
                <w:lang w:eastAsia="zh-CN"/>
              </w:rPr>
              <w:t>酮；开蓬</w:t>
            </w:r>
          </w:p>
        </w:tc>
        <w:tc>
          <w:tcPr>
            <w:tcW w:w="800" w:type="pct"/>
            <w:vAlign w:val="center"/>
          </w:tcPr>
          <w:p>
            <w:pPr>
              <w:autoSpaceDE w:val="0"/>
              <w:autoSpaceDN w:val="0"/>
              <w:spacing w:line="240" w:lineRule="auto"/>
              <w:ind w:firstLine="0" w:firstLineChars="0"/>
              <w:jc w:val="center"/>
              <w:rPr>
                <w:rFonts w:ascii="Times New Roman" w:hAnsi="Times New Roman"/>
                <w:spacing w:val="-11"/>
                <w:sz w:val="24"/>
                <w:lang w:eastAsia="zh-CN"/>
              </w:rPr>
            </w:pPr>
          </w:p>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143-50-0</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54</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2036</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四甲基铅</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75-74-1</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sz w:val="24"/>
                <w:szCs w:val="24"/>
              </w:rPr>
              <w:t>55</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2081</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四溴二苯醚</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40088-47-9</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56</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2091</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olor w:val="0D0D0D"/>
                <w:spacing w:val="-11"/>
                <w:sz w:val="24"/>
                <w:szCs w:val="24"/>
              </w:rPr>
              <w:t>O，O，O'，O'-</w:t>
            </w:r>
            <w:r>
              <w:rPr>
                <w:rFonts w:hint="eastAsia" w:ascii="Times New Roman" w:hAnsi="Times New Roman" w:eastAsia="仿宋_GB2312" w:cs="仿宋_GB2312"/>
                <w:color w:val="0D0D0D"/>
                <w:spacing w:val="-11"/>
                <w:sz w:val="24"/>
                <w:szCs w:val="24"/>
              </w:rPr>
              <w:t>四乙基二硫代焦磷酸酯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治螟磷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3689-24-5</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sz w:val="24"/>
                <w:szCs w:val="24"/>
              </w:rPr>
              <w:t>57</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2143</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五氯苯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608-93-5</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58</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2144</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五氯苯酚</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五氯酚</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87-86-5</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剧毒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59</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2148</w:t>
            </w:r>
          </w:p>
        </w:tc>
        <w:tc>
          <w:tcPr>
            <w:tcW w:w="2029" w:type="pct"/>
            <w:vAlign w:val="center"/>
          </w:tcPr>
          <w:p>
            <w:pPr>
              <w:pStyle w:val="29"/>
              <w:jc w:val="center"/>
              <w:rPr>
                <w:rFonts w:ascii="Times New Roman" w:hAnsi="Times New Roman" w:eastAsia="仿宋_GB2312" w:cs="仿宋_GB2312"/>
                <w:color w:val="0D0D0D"/>
                <w:spacing w:val="-11"/>
                <w:sz w:val="24"/>
                <w:szCs w:val="24"/>
              </w:rPr>
            </w:pPr>
            <w:r>
              <w:rPr>
                <w:rFonts w:hint="eastAsia" w:ascii="Times New Roman" w:hAnsi="Times New Roman" w:eastAsia="仿宋_GB2312" w:cs="仿宋_GB2312"/>
                <w:color w:val="0D0D0D"/>
                <w:spacing w:val="-11"/>
                <w:sz w:val="24"/>
                <w:szCs w:val="24"/>
              </w:rPr>
              <w:t>五氯酚钠</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131-52-2</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60</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2158</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五溴二苯醚</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32534-81-9</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61</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2411</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s="仿宋_GB2312"/>
                <w:color w:val="0D0D0D"/>
                <w:spacing w:val="-11"/>
                <w:sz w:val="24"/>
                <w:szCs w:val="24"/>
              </w:rPr>
              <w:t>溴甲烷</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甲基溴</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74-83-9</w:t>
            </w:r>
          </w:p>
        </w:tc>
        <w:tc>
          <w:tcPr>
            <w:tcW w:w="326"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jc w:val="center"/>
        </w:trPr>
        <w:tc>
          <w:tcPr>
            <w:tcW w:w="284"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62</w:t>
            </w:r>
          </w:p>
        </w:tc>
        <w:tc>
          <w:tcPr>
            <w:tcW w:w="738"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2587</w:t>
            </w:r>
          </w:p>
        </w:tc>
        <w:tc>
          <w:tcPr>
            <w:tcW w:w="2029"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O-</w:t>
            </w:r>
            <w:r>
              <w:rPr>
                <w:rFonts w:hint="eastAsia" w:ascii="Times New Roman" w:hAnsi="Times New Roman" w:eastAsia="仿宋_GB2312" w:cs="仿宋_GB2312"/>
                <w:color w:val="0D0D0D"/>
                <w:spacing w:val="-11"/>
                <w:position w:val="2"/>
                <w:sz w:val="24"/>
                <w:szCs w:val="24"/>
              </w:rPr>
              <w:t>乙基</w:t>
            </w:r>
            <w:r>
              <w:rPr>
                <w:rFonts w:hint="eastAsia" w:ascii="Times New Roman" w:hAnsi="Times New Roman" w:eastAsia="仿宋_GB2312"/>
                <w:color w:val="0D0D0D"/>
                <w:spacing w:val="-11"/>
                <w:position w:val="2"/>
                <w:sz w:val="24"/>
                <w:szCs w:val="24"/>
              </w:rPr>
              <w:t>-O-（3-</w:t>
            </w:r>
            <w:r>
              <w:rPr>
                <w:rFonts w:hint="eastAsia" w:ascii="Times New Roman" w:hAnsi="Times New Roman" w:eastAsia="仿宋_GB2312" w:cs="仿宋_GB2312"/>
                <w:color w:val="0D0D0D"/>
                <w:spacing w:val="-11"/>
                <w:position w:val="2"/>
                <w:sz w:val="24"/>
                <w:szCs w:val="24"/>
              </w:rPr>
              <w:t>甲基</w:t>
            </w:r>
            <w:r>
              <w:rPr>
                <w:rFonts w:hint="eastAsia" w:ascii="Times New Roman" w:hAnsi="Times New Roman" w:eastAsia="仿宋_GB2312"/>
                <w:color w:val="0D0D0D"/>
                <w:spacing w:val="-11"/>
                <w:position w:val="2"/>
                <w:sz w:val="24"/>
                <w:szCs w:val="24"/>
              </w:rPr>
              <w:t>-4-</w:t>
            </w:r>
            <w:r>
              <w:rPr>
                <w:rFonts w:hint="eastAsia" w:ascii="Times New Roman" w:hAnsi="Times New Roman" w:eastAsia="仿宋_GB2312" w:cs="仿宋_GB2312"/>
                <w:color w:val="0D0D0D"/>
                <w:spacing w:val="-11"/>
                <w:position w:val="2"/>
                <w:sz w:val="24"/>
                <w:szCs w:val="24"/>
              </w:rPr>
              <w:t>甲硫基</w:t>
            </w:r>
            <w:r>
              <w:rPr>
                <w:rFonts w:hint="eastAsia" w:ascii="Times New Roman" w:hAnsi="Times New Roman" w:eastAsia="仿宋_GB2312"/>
                <w:color w:val="0D0D0D"/>
                <w:spacing w:val="-11"/>
                <w:position w:val="2"/>
                <w:sz w:val="24"/>
                <w:szCs w:val="24"/>
              </w:rPr>
              <w:t>）</w:t>
            </w:r>
            <w:r>
              <w:rPr>
                <w:rFonts w:hint="eastAsia" w:ascii="Times New Roman" w:hAnsi="Times New Roman" w:eastAsia="仿宋_GB2312" w:cs="仿宋_GB2312"/>
                <w:color w:val="0D0D0D"/>
                <w:spacing w:val="-11"/>
                <w:position w:val="2"/>
                <w:sz w:val="24"/>
                <w:szCs w:val="24"/>
              </w:rPr>
              <w:t>苯基</w:t>
            </w:r>
            <w:r>
              <w:rPr>
                <w:rFonts w:hint="eastAsia" w:ascii="Times New Roman" w:hAnsi="Times New Roman" w:eastAsia="仿宋_GB2312"/>
                <w:color w:val="0D0D0D"/>
                <w:spacing w:val="-11"/>
                <w:position w:val="2"/>
                <w:sz w:val="24"/>
                <w:szCs w:val="24"/>
              </w:rPr>
              <w:t>-N-</w:t>
            </w:r>
            <w:r>
              <w:rPr>
                <w:rFonts w:hint="eastAsia" w:ascii="Times New Roman" w:hAnsi="Times New Roman" w:eastAsia="仿宋_GB2312" w:cs="仿宋_GB2312"/>
                <w:color w:val="0D0D0D"/>
                <w:spacing w:val="-11"/>
                <w:position w:val="2"/>
                <w:sz w:val="24"/>
                <w:szCs w:val="24"/>
              </w:rPr>
              <w:t>异丙氨基磷酸酯</w:t>
            </w:r>
          </w:p>
        </w:tc>
        <w:tc>
          <w:tcPr>
            <w:tcW w:w="819" w:type="pct"/>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r>
              <w:rPr>
                <w:rFonts w:hint="eastAsia" w:ascii="Times New Roman" w:hAnsi="Times New Roman" w:cs="仿宋_GB2312"/>
                <w:color w:val="0D0D0D"/>
                <w:spacing w:val="-11"/>
                <w:sz w:val="24"/>
                <w:lang w:eastAsia="en-US"/>
              </w:rPr>
              <w:t>苯线磷</w:t>
            </w:r>
          </w:p>
        </w:tc>
        <w:tc>
          <w:tcPr>
            <w:tcW w:w="800" w:type="pct"/>
            <w:vAlign w:val="center"/>
          </w:tcPr>
          <w:p>
            <w:pPr>
              <w:pStyle w:val="29"/>
              <w:jc w:val="center"/>
              <w:rPr>
                <w:rFonts w:ascii="Times New Roman" w:hAnsi="Times New Roman" w:eastAsia="仿宋_GB2312"/>
                <w:color w:val="0D0D0D"/>
                <w:spacing w:val="-11"/>
                <w:position w:val="2"/>
                <w:sz w:val="24"/>
                <w:szCs w:val="24"/>
              </w:rPr>
            </w:pPr>
            <w:r>
              <w:rPr>
                <w:rFonts w:hint="eastAsia" w:ascii="Times New Roman" w:hAnsi="Times New Roman" w:eastAsia="仿宋_GB2312"/>
                <w:color w:val="0D0D0D"/>
                <w:spacing w:val="-11"/>
                <w:position w:val="2"/>
                <w:sz w:val="24"/>
                <w:szCs w:val="24"/>
              </w:rPr>
              <w:t>22224-92-6</w:t>
            </w:r>
          </w:p>
        </w:tc>
        <w:tc>
          <w:tcPr>
            <w:tcW w:w="326" w:type="pct"/>
            <w:textDirection w:val="tbRlV"/>
            <w:vAlign w:val="center"/>
          </w:tcPr>
          <w:p>
            <w:pPr>
              <w:autoSpaceDE w:val="0"/>
              <w:autoSpaceDN w:val="0"/>
              <w:spacing w:line="240" w:lineRule="auto"/>
              <w:ind w:firstLine="0" w:firstLineChars="0"/>
              <w:jc w:val="center"/>
              <w:rPr>
                <w:rFonts w:ascii="Times New Roman" w:hAnsi="Times New Roman" w:cs="仿宋_GB2312"/>
                <w:color w:val="0D0D0D"/>
                <w:spacing w:val="-11"/>
                <w:sz w:val="24"/>
                <w:lang w:eastAsia="en-US"/>
              </w:rPr>
            </w:pPr>
          </w:p>
        </w:tc>
      </w:tr>
    </w:tbl>
    <w:p>
      <w:pPr>
        <w:spacing w:line="360" w:lineRule="auto"/>
        <w:ind w:firstLine="468"/>
        <w:rPr>
          <w:rFonts w:ascii="Times New Roman" w:hAnsi="Times New Roman" w:cs="仿宋_GB2312"/>
          <w:sz w:val="28"/>
          <w:szCs w:val="28"/>
        </w:rPr>
      </w:pPr>
      <w:r>
        <w:rPr>
          <w:rFonts w:hint="eastAsia" w:ascii="Times New Roman" w:hAnsi="Times New Roman" w:cs="仿宋_GB2312"/>
          <w:color w:val="0D0D0D"/>
          <w:spacing w:val="-23"/>
          <w:sz w:val="28"/>
          <w:szCs w:val="28"/>
        </w:rPr>
        <w:t>注：</w:t>
      </w:r>
    </w:p>
    <w:p>
      <w:pPr>
        <w:spacing w:line="240" w:lineRule="auto"/>
        <w:ind w:firstLine="560"/>
        <w:rPr>
          <w:rFonts w:ascii="Times New Roman" w:hAnsi="Times New Roman" w:cs="仿宋_GB2312"/>
          <w:sz w:val="28"/>
          <w:szCs w:val="28"/>
        </w:rPr>
      </w:pPr>
      <w:r>
        <w:rPr>
          <w:rFonts w:hint="eastAsia" w:ascii="Times New Roman" w:hAnsi="Times New Roman" w:cs="仿宋_GB2312"/>
          <w:color w:val="0D0D0D"/>
          <w:sz w:val="28"/>
          <w:szCs w:val="28"/>
        </w:rPr>
        <w:t>1.本目录中的3种危险化学品：多氯三联苯、汞和四甲基铅，有关其允许用途和限定</w:t>
      </w:r>
      <w:r>
        <w:rPr>
          <w:rFonts w:hint="eastAsia" w:ascii="Times New Roman" w:hAnsi="Times New Roman" w:cs="仿宋_GB2312"/>
          <w:color w:val="0D0D0D"/>
          <w:spacing w:val="-1"/>
          <w:sz w:val="28"/>
          <w:szCs w:val="28"/>
        </w:rPr>
        <w:t>时间按照《中国严格限制的</w:t>
      </w:r>
      <w:r>
        <w:rPr>
          <w:rFonts w:hint="eastAsia" w:ascii="Times New Roman" w:hAnsi="Times New Roman" w:cs="仿宋_GB2312"/>
          <w:color w:val="0D0D0D"/>
          <w:spacing w:val="-10"/>
          <w:sz w:val="28"/>
          <w:szCs w:val="28"/>
        </w:rPr>
        <w:t>有毒化学品名录》（</w:t>
      </w:r>
      <w:r>
        <w:rPr>
          <w:rFonts w:hint="eastAsia" w:ascii="Times New Roman" w:hAnsi="Times New Roman" w:cs="仿宋_GB2312"/>
          <w:spacing w:val="-10"/>
          <w:sz w:val="28"/>
          <w:szCs w:val="28"/>
        </w:rPr>
        <w:t>2023</w:t>
      </w:r>
      <w:r>
        <w:rPr>
          <w:rFonts w:hint="eastAsia" w:ascii="Times New Roman" w:hAnsi="Times New Roman" w:cs="仿宋_GB2312"/>
          <w:spacing w:val="-46"/>
          <w:sz w:val="28"/>
          <w:szCs w:val="28"/>
        </w:rPr>
        <w:t xml:space="preserve"> </w:t>
      </w:r>
      <w:r>
        <w:rPr>
          <w:rFonts w:hint="eastAsia" w:ascii="Times New Roman" w:hAnsi="Times New Roman" w:cs="仿宋_GB2312"/>
          <w:spacing w:val="-10"/>
          <w:sz w:val="28"/>
          <w:szCs w:val="28"/>
        </w:rPr>
        <w:t>年</w:t>
      </w:r>
      <w:r>
        <w:rPr>
          <w:rFonts w:hint="eastAsia" w:ascii="Times New Roman" w:hAnsi="Times New Roman" w:cs="仿宋_GB2312"/>
          <w:color w:val="0D0D0D"/>
          <w:spacing w:val="-10"/>
          <w:sz w:val="28"/>
          <w:szCs w:val="28"/>
        </w:rPr>
        <w:t>）执行。</w:t>
      </w:r>
    </w:p>
    <w:p>
      <w:pPr>
        <w:spacing w:line="240" w:lineRule="auto"/>
        <w:ind w:firstLine="556"/>
        <w:rPr>
          <w:rFonts w:ascii="Times New Roman" w:hAnsi="Times New Roman" w:cs="仿宋_GB2312"/>
          <w:sz w:val="28"/>
          <w:szCs w:val="28"/>
        </w:rPr>
      </w:pPr>
      <w:r>
        <w:rPr>
          <w:rFonts w:hint="eastAsia" w:ascii="Times New Roman" w:hAnsi="Times New Roman" w:cs="仿宋_GB2312"/>
          <w:color w:val="0D0D0D"/>
          <w:spacing w:val="-1"/>
          <w:sz w:val="28"/>
          <w:szCs w:val="28"/>
        </w:rPr>
        <w:t>2.本目录中的危险化学品：磷化铝，有关其禁止规定按照《中华</w:t>
      </w:r>
      <w:r>
        <w:rPr>
          <w:rFonts w:hint="eastAsia" w:ascii="Times New Roman" w:hAnsi="Times New Roman" w:cs="仿宋_GB2312"/>
          <w:color w:val="0D0D0D"/>
          <w:spacing w:val="-2"/>
          <w:sz w:val="28"/>
          <w:szCs w:val="28"/>
        </w:rPr>
        <w:t>人民共和国农业部公告 第1586号》执行。</w:t>
      </w:r>
    </w:p>
    <w:p>
      <w:pPr>
        <w:spacing w:line="240" w:lineRule="auto"/>
        <w:ind w:firstLine="552"/>
        <w:rPr>
          <w:rFonts w:ascii="Times New Roman" w:hAnsi="Times New Roman" w:cs="仿宋_GB2312"/>
          <w:sz w:val="28"/>
          <w:szCs w:val="28"/>
        </w:rPr>
      </w:pPr>
      <w:r>
        <w:rPr>
          <w:rFonts w:hint="eastAsia" w:ascii="Times New Roman" w:hAnsi="Times New Roman" w:cs="仿宋_GB2312"/>
          <w:color w:val="0D0D0D"/>
          <w:spacing w:val="-2"/>
          <w:sz w:val="28"/>
          <w:szCs w:val="28"/>
        </w:rPr>
        <w:t>3.本目录中的危险化学品：砷，有关其禁止规</w:t>
      </w:r>
      <w:r>
        <w:rPr>
          <w:rFonts w:hint="eastAsia" w:ascii="Times New Roman" w:hAnsi="Times New Roman" w:cs="仿宋_GB2312"/>
          <w:color w:val="0D0D0D"/>
          <w:spacing w:val="-3"/>
          <w:sz w:val="28"/>
          <w:szCs w:val="28"/>
        </w:rPr>
        <w:t>定按照《中华人民共和国农业部公告 第199</w:t>
      </w:r>
      <w:r>
        <w:rPr>
          <w:rFonts w:hint="eastAsia" w:ascii="Times New Roman" w:hAnsi="Times New Roman" w:cs="仿宋_GB2312"/>
          <w:color w:val="0D0D0D"/>
          <w:spacing w:val="-45"/>
          <w:sz w:val="28"/>
          <w:szCs w:val="28"/>
        </w:rPr>
        <w:t xml:space="preserve"> </w:t>
      </w:r>
      <w:r>
        <w:rPr>
          <w:rFonts w:hint="eastAsia" w:ascii="Times New Roman" w:hAnsi="Times New Roman" w:cs="仿宋_GB2312"/>
          <w:color w:val="0D0D0D"/>
          <w:spacing w:val="-3"/>
          <w:sz w:val="28"/>
          <w:szCs w:val="28"/>
        </w:rPr>
        <w:t>号》执行。</w:t>
      </w:r>
    </w:p>
    <w:p>
      <w:pPr>
        <w:spacing w:line="240" w:lineRule="auto"/>
        <w:ind w:firstLine="556"/>
        <w:rPr>
          <w:rFonts w:ascii="Times New Roman" w:hAnsi="Times New Roman" w:cs="仿宋_GB2312"/>
          <w:color w:val="0D0D0D"/>
          <w:spacing w:val="-1"/>
          <w:sz w:val="28"/>
          <w:szCs w:val="28"/>
        </w:rPr>
      </w:pPr>
      <w:r>
        <w:rPr>
          <w:rFonts w:hint="eastAsia" w:ascii="Times New Roman" w:hAnsi="Times New Roman" w:cs="仿宋_GB2312"/>
          <w:color w:val="0D0D0D"/>
          <w:spacing w:val="-1"/>
          <w:sz w:val="28"/>
          <w:szCs w:val="28"/>
        </w:rPr>
        <w:t>4.本目录中的 9 种危险化学品：短链氯化石蜡（C</w:t>
      </w:r>
      <w:r>
        <w:rPr>
          <w:rFonts w:hint="eastAsia" w:ascii="Times New Roman" w:hAnsi="Times New Roman" w:cs="仿宋_GB2312"/>
          <w:color w:val="0D0D0D"/>
          <w:spacing w:val="-1"/>
          <w:sz w:val="28"/>
          <w:szCs w:val="28"/>
          <w:vertAlign w:val="subscript"/>
        </w:rPr>
        <w:t>10-13</w:t>
      </w:r>
      <w:r>
        <w:rPr>
          <w:rFonts w:hint="eastAsia" w:ascii="Times New Roman" w:hAnsi="Times New Roman" w:cs="仿宋_GB2312"/>
          <w:color w:val="0D0D0D"/>
          <w:spacing w:val="-1"/>
          <w:sz w:val="28"/>
          <w:szCs w:val="28"/>
        </w:rPr>
        <w:t>）、全氟辛基磺酸、全氟辛基磺酸铵、全氟辛基磺酸二癸二甲基铵、全氟辛基磺酸二乙醇铵、全氟辛基磺酸钾、全氟辛基磺酸锂、全氟辛基磺酸四乙基铵和全氟辛基磺酰氟，有关其豁免用途和豁免期限按照《重点管控新污染物清单（2023年版）》执行。</w:t>
      </w:r>
    </w:p>
    <w:p>
      <w:pPr>
        <w:spacing w:line="240" w:lineRule="auto"/>
        <w:ind w:firstLine="0" w:firstLineChars="0"/>
        <w:rPr>
          <w:rFonts w:ascii="Times New Roman" w:hAnsi="Times New Roman"/>
          <w:sz w:val="24"/>
        </w:rPr>
        <w:sectPr>
          <w:pgSz w:w="11906" w:h="16838"/>
          <w:pgMar w:top="1440" w:right="1800" w:bottom="1440" w:left="1800" w:header="851" w:footer="992" w:gutter="0"/>
          <w:cols w:space="425" w:num="1"/>
          <w:docGrid w:type="lines" w:linePitch="435" w:charSpace="0"/>
        </w:sectPr>
      </w:pPr>
    </w:p>
    <w:p>
      <w:pPr>
        <w:numPr>
          <w:ilvl w:val="255"/>
          <w:numId w:val="0"/>
        </w:numPr>
        <w:tabs>
          <w:tab w:val="left" w:pos="0"/>
        </w:tabs>
        <w:ind w:left="420"/>
        <w:jc w:val="left"/>
        <w:outlineLvl w:val="1"/>
        <w:rPr>
          <w:rFonts w:ascii="Times New Roman" w:hAnsi="Times New Roman" w:eastAsia="楷体_GB2312" w:cs="楷体_GB2312"/>
          <w:b/>
          <w:bCs/>
          <w:color w:val="000000" w:themeColor="text1"/>
          <w:szCs w:val="32"/>
          <w14:textFill>
            <w14:solidFill>
              <w14:schemeClr w14:val="tx1"/>
            </w14:solidFill>
          </w14:textFill>
        </w:rPr>
      </w:pPr>
      <w:bookmarkStart w:id="123" w:name="_Toc225353481"/>
      <w:bookmarkStart w:id="124" w:name="_Toc224910897"/>
      <w:r>
        <w:rPr>
          <w:rFonts w:hint="eastAsia" w:ascii="Times New Roman" w:hAnsi="Times New Roman" w:eastAsia="楷体_GB2312" w:cs="楷体_GB2312"/>
          <w:b/>
          <w:bCs/>
          <w:color w:val="000000" w:themeColor="text1"/>
          <w:szCs w:val="32"/>
          <w14:textFill>
            <w14:solidFill>
              <w14:schemeClr w14:val="tx1"/>
            </w14:solidFill>
          </w14:textFill>
        </w:rPr>
        <w:t>附件9 危险化学品相关法律法规标准规范</w:t>
      </w:r>
      <w:bookmarkEnd w:id="123"/>
      <w:bookmarkEnd w:id="124"/>
    </w:p>
    <w:tbl>
      <w:tblPr>
        <w:tblStyle w:val="32"/>
        <w:tblW w:w="877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9"/>
        <w:gridCol w:w="10"/>
        <w:gridCol w:w="481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dxa"/>
            <w:gridSpan w:val="2"/>
            <w:vAlign w:val="center"/>
          </w:tcPr>
          <w:p>
            <w:pPr>
              <w:autoSpaceDE w:val="0"/>
              <w:autoSpaceDN w:val="0"/>
              <w:spacing w:line="240" w:lineRule="auto"/>
              <w:ind w:firstLine="0" w:firstLineChars="0"/>
              <w:jc w:val="center"/>
              <w:rPr>
                <w:rFonts w:ascii="Times New Roman" w:hAnsi="Times New Roman"/>
                <w:b/>
                <w:bCs/>
                <w:sz w:val="24"/>
                <w:lang w:eastAsia="en-US"/>
              </w:rPr>
            </w:pPr>
            <w:r>
              <w:rPr>
                <w:rFonts w:hint="eastAsia" w:ascii="Times New Roman" w:hAnsi="Times New Roman"/>
                <w:b/>
                <w:bCs/>
                <w:sz w:val="24"/>
                <w:lang w:eastAsia="en-US"/>
              </w:rPr>
              <w:t>序号</w:t>
            </w:r>
          </w:p>
        </w:tc>
        <w:tc>
          <w:tcPr>
            <w:tcW w:w="4810" w:type="dxa"/>
            <w:vAlign w:val="center"/>
          </w:tcPr>
          <w:p>
            <w:pPr>
              <w:autoSpaceDE w:val="0"/>
              <w:autoSpaceDN w:val="0"/>
              <w:spacing w:line="240" w:lineRule="auto"/>
              <w:ind w:firstLine="0" w:firstLineChars="0"/>
              <w:jc w:val="center"/>
              <w:rPr>
                <w:rFonts w:ascii="Times New Roman" w:hAnsi="Times New Roman"/>
                <w:b/>
                <w:bCs/>
                <w:sz w:val="24"/>
                <w:lang w:eastAsia="en-US"/>
              </w:rPr>
            </w:pPr>
            <w:r>
              <w:rPr>
                <w:rFonts w:hint="eastAsia" w:ascii="Times New Roman" w:hAnsi="Times New Roman"/>
                <w:b/>
                <w:bCs/>
                <w:sz w:val="24"/>
                <w:lang w:eastAsia="en-US"/>
              </w:rPr>
              <w:t>名称</w:t>
            </w:r>
          </w:p>
        </w:tc>
        <w:tc>
          <w:tcPr>
            <w:tcW w:w="3260" w:type="dxa"/>
            <w:vAlign w:val="center"/>
          </w:tcPr>
          <w:p>
            <w:pPr>
              <w:autoSpaceDE w:val="0"/>
              <w:autoSpaceDN w:val="0"/>
              <w:spacing w:line="240" w:lineRule="auto"/>
              <w:ind w:firstLine="0" w:firstLineChars="0"/>
              <w:jc w:val="center"/>
              <w:rPr>
                <w:rFonts w:ascii="Times New Roman" w:hAnsi="Times New Roman"/>
                <w:b/>
                <w:bCs/>
                <w:sz w:val="24"/>
                <w:lang w:eastAsia="en-US"/>
              </w:rPr>
            </w:pPr>
            <w:r>
              <w:rPr>
                <w:rFonts w:hint="eastAsia" w:ascii="Times New Roman" w:hAnsi="Times New Roman"/>
                <w:b/>
                <w:bCs/>
                <w:sz w:val="24"/>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8779" w:type="dxa"/>
            <w:gridSpan w:val="4"/>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法律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1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《中华人民共和国安全生产法》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第十三届中华人民共和国主席令第八十八号修正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1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《中华人民共和国突发事件应对法》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第十四届中华人民共和国主席令第二十五号修订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10" w:type="dxa"/>
            <w:vAlign w:val="center"/>
          </w:tcPr>
          <w:p>
            <w:pPr>
              <w:autoSpaceDE w:val="0"/>
              <w:autoSpaceDN w:val="0"/>
              <w:spacing w:line="240" w:lineRule="auto"/>
              <w:ind w:firstLine="0" w:firstLineChars="0"/>
              <w:jc w:val="center"/>
              <w:rPr>
                <w:rFonts w:hint="eastAsia" w:ascii="Times New Roman" w:hAnsi="Times New Roman"/>
                <w:b/>
                <w:bCs/>
                <w:sz w:val="24"/>
                <w:lang w:eastAsia="zh-CN"/>
              </w:rPr>
            </w:pPr>
            <w:r>
              <w:rPr>
                <w:rFonts w:hint="eastAsia" w:ascii="Times New Roman" w:hAnsi="Times New Roman"/>
                <w:sz w:val="24"/>
                <w:lang w:eastAsia="zh-CN"/>
              </w:rPr>
              <w:t>《中华人民共和国危险化学品安全法》</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zh-CN"/>
              </w:rPr>
            </w:pPr>
            <w:r>
              <w:rPr>
                <w:rFonts w:hint="eastAsia" w:ascii="Times New Roman" w:hAnsi="Times New Roman"/>
                <w:sz w:val="24"/>
                <w:lang w:eastAsia="zh-CN"/>
              </w:rPr>
              <w:t>第十四届中华人民共和国主席令第六十四号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8779" w:type="dxa"/>
            <w:gridSpan w:val="4"/>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行政法规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1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《危险化学品安全管理条例》</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（国务院令第645号修订）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1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《生产安全事故应急条例》</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（国务院令第708号）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1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《特种设备安全监察条例》</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（国务院令第549号修订）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dxa"/>
            <w:gridSpan w:val="2"/>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1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《易制毒化学品管理条例》</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（国务院令第703号修订）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8779" w:type="dxa"/>
            <w:gridSpan w:val="4"/>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部门规章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《易制爆危险化学品治安管理办法》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ascii="Times New Roman" w:hAnsi="Times New Roman"/>
                <w:sz w:val="24"/>
                <w:lang w:eastAsia="en-US"/>
              </w:rPr>
              <w:t>（公安部令第154号）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《危险化学品重大危险源监督管理暂行规定》</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ascii="Times New Roman" w:hAnsi="Times New Roman"/>
                <w:sz w:val="24"/>
                <w:lang w:eastAsia="zh-CN"/>
              </w:rPr>
              <w:t>（</w:t>
            </w:r>
            <w:r>
              <w:rPr>
                <w:rFonts w:hint="eastAsia" w:ascii="Times New Roman" w:hAnsi="Times New Roman"/>
                <w:sz w:val="24"/>
                <w:lang w:eastAsia="zh-CN"/>
              </w:rPr>
              <w:t>国家安全生产监督管理总局令第79号修正</w:t>
            </w:r>
            <w:r>
              <w:rPr>
                <w:rFonts w:ascii="Times New Roman" w:hAnsi="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《危险化学品生产企业安全生产许可证实施办法》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ascii="Times New Roman" w:hAnsi="Times New Roman"/>
                <w:sz w:val="24"/>
                <w:lang w:eastAsia="zh-CN"/>
              </w:rPr>
              <w:t>（</w:t>
            </w:r>
            <w:r>
              <w:rPr>
                <w:rFonts w:hint="eastAsia" w:ascii="Times New Roman" w:hAnsi="Times New Roman"/>
                <w:sz w:val="24"/>
                <w:lang w:eastAsia="zh-CN"/>
              </w:rPr>
              <w:t>国家安全生产监督管理总局令第89号修正</w:t>
            </w:r>
            <w:r>
              <w:rPr>
                <w:rFonts w:ascii="Times New Roman" w:hAnsi="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《危险化学品建设项目安全监督管理办法》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ascii="Times New Roman" w:hAnsi="Times New Roman"/>
                <w:sz w:val="24"/>
                <w:lang w:eastAsia="zh-CN"/>
              </w:rPr>
              <w:t>（</w:t>
            </w:r>
            <w:r>
              <w:rPr>
                <w:rFonts w:hint="eastAsia" w:ascii="Times New Roman" w:hAnsi="Times New Roman"/>
                <w:sz w:val="24"/>
                <w:lang w:eastAsia="zh-CN"/>
              </w:rPr>
              <w:t>国家安全生产监督管理总局令第79号修正</w:t>
            </w:r>
            <w:r>
              <w:rPr>
                <w:rFonts w:ascii="Times New Roman" w:hAnsi="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《生产安全事故应急预案管理办法》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ascii="Times New Roman" w:hAnsi="Times New Roman"/>
                <w:sz w:val="24"/>
                <w:lang w:eastAsia="zh-CN"/>
              </w:rPr>
              <w:t>（</w:t>
            </w:r>
            <w:r>
              <w:rPr>
                <w:rFonts w:hint="eastAsia" w:ascii="Times New Roman" w:hAnsi="Times New Roman"/>
                <w:sz w:val="24"/>
                <w:lang w:eastAsia="zh-CN"/>
              </w:rPr>
              <w:t>应急管理部令第2号修正</w:t>
            </w:r>
            <w:r>
              <w:rPr>
                <w:rFonts w:ascii="Times New Roman" w:hAnsi="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autoSpaceDE w:val="0"/>
              <w:autoSpaceDN w:val="0"/>
              <w:spacing w:line="240" w:lineRule="auto"/>
              <w:ind w:firstLine="0" w:firstLineChars="0"/>
              <w:jc w:val="left"/>
              <w:rPr>
                <w:rFonts w:ascii="Times New Roman" w:hAnsi="Times New Roman"/>
                <w:sz w:val="24"/>
                <w:lang w:eastAsia="zh-CN"/>
              </w:rPr>
            </w:pPr>
            <w:r>
              <w:rPr>
                <w:rFonts w:hint="eastAsia" w:ascii="Times New Roman" w:hAnsi="Times New Roman"/>
                <w:sz w:val="24"/>
                <w:lang w:eastAsia="zh-CN"/>
              </w:rPr>
              <w:t>《国家安全监管总局关于危险化学品企业贯彻落实&lt;国务院关于进一步加强企业安全生产工作的通知&gt;的实施意见》</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ascii="Times New Roman" w:hAnsi="Times New Roman"/>
                <w:sz w:val="24"/>
                <w:lang w:eastAsia="zh-CN"/>
              </w:rPr>
              <w:t>（安监总管三〔2010〕186</w:t>
            </w:r>
            <w:r>
              <w:rPr>
                <w:rFonts w:hint="eastAsia" w:ascii="Times New Roman" w:hAnsi="Times New Roman"/>
                <w:sz w:val="24"/>
                <w:lang w:eastAsia="zh-CN"/>
              </w:rPr>
              <w:t xml:space="preserve"> </w:t>
            </w:r>
            <w:r>
              <w:rPr>
                <w:rFonts w:ascii="Times New Roman" w:hAnsi="Times New Roman"/>
                <w:sz w:val="24"/>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《首批重点监管的危险化学品安全措施和事故应急处置原则》</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ascii="Times New Roman" w:hAnsi="Times New Roman"/>
                <w:sz w:val="24"/>
                <w:lang w:eastAsia="zh-CN"/>
              </w:rPr>
              <w:t>（安监总厅管三〔2011〕142号）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《第二批重点监管的危险化学品安全措施和应急处置原则》</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ascii="Times New Roman" w:hAnsi="Times New Roman"/>
                <w:sz w:val="24"/>
                <w:lang w:eastAsia="zh-CN"/>
              </w:rPr>
              <w:t>（安监总厅管三〔2013〕12号</w:t>
            </w:r>
            <w:r>
              <w:rPr>
                <w:rFonts w:hint="eastAsia" w:ascii="Times New Roman" w:hAnsi="Times New Roman"/>
                <w:sz w:val="24"/>
                <w:lang w:eastAsia="zh-CN"/>
              </w:rPr>
              <w:t>附件2</w:t>
            </w:r>
            <w:r>
              <w:rPr>
                <w:rFonts w:ascii="Times New Roman" w:hAnsi="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《关于开展提升危险化学品领域本质安全水平专项行动的通知》</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ascii="Times New Roman" w:hAnsi="Times New Roman"/>
                <w:sz w:val="24"/>
                <w:lang w:eastAsia="zh-CN"/>
              </w:rPr>
              <w:t>（安监总管三〔2012〕87号）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《关于进一步加强危险化学品建设项目安全设计管理的通知》</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ascii="Times New Roman" w:hAnsi="Times New Roman"/>
                <w:sz w:val="24"/>
                <w:lang w:eastAsia="zh-CN"/>
              </w:rPr>
              <w:t>（安监总管三〔2013〕76号）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autoSpaceDE w:val="0"/>
              <w:autoSpaceDN w:val="0"/>
              <w:spacing w:line="240" w:lineRule="auto"/>
              <w:ind w:firstLine="0" w:firstLineChars="0"/>
              <w:rPr>
                <w:rFonts w:ascii="Times New Roman" w:hAnsi="Times New Roman"/>
                <w:sz w:val="24"/>
                <w:lang w:eastAsia="zh-CN"/>
              </w:rPr>
            </w:pPr>
            <w:r>
              <w:rPr>
                <w:rFonts w:hint="eastAsia" w:ascii="Times New Roman" w:hAnsi="Times New Roman"/>
                <w:sz w:val="24"/>
                <w:lang w:eastAsia="zh-CN"/>
              </w:rPr>
              <w:t>《关于加强化工过程安全管理的指导意见》</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hint="eastAsia" w:ascii="Times New Roman" w:hAnsi="Times New Roman"/>
                <w:sz w:val="24"/>
                <w:lang w:eastAsia="zh-CN"/>
              </w:rPr>
              <w:t>（安监总管三〔2013〕88号）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《国家安全监管总局关于进一步加强化学品罐区安全管理的通知》</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hint="eastAsia" w:ascii="Times New Roman" w:hAnsi="Times New Roman"/>
                <w:sz w:val="24"/>
                <w:lang w:eastAsia="zh-CN"/>
              </w:rPr>
              <w:t>（安监总管三〔2014〕68号）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《国家安全监管总局关于加强化工企业泄漏管理的指导意见》</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hint="eastAsia" w:ascii="Times New Roman" w:hAnsi="Times New Roman"/>
                <w:sz w:val="24"/>
                <w:lang w:eastAsia="zh-CN"/>
              </w:rPr>
              <w:t>（安监总管三〔2014〕94号）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《化工和危险化学品生产经营单位重大生产安全事故隐患判定标准》</w:t>
            </w:r>
          </w:p>
        </w:tc>
        <w:tc>
          <w:tcPr>
            <w:tcW w:w="3260" w:type="dxa"/>
            <w:vAlign w:val="center"/>
          </w:tcPr>
          <w:p>
            <w:pPr>
              <w:autoSpaceDE w:val="0"/>
              <w:autoSpaceDN w:val="0"/>
              <w:spacing w:line="240" w:lineRule="auto"/>
              <w:ind w:firstLine="0" w:firstLineChars="0"/>
              <w:rPr>
                <w:rFonts w:ascii="Times New Roman" w:hAnsi="Times New Roman"/>
                <w:sz w:val="24"/>
                <w:lang w:eastAsia="zh-CN"/>
              </w:rPr>
            </w:pPr>
            <w:r>
              <w:rPr>
                <w:rFonts w:hint="eastAsia" w:ascii="Times New Roman" w:hAnsi="Times New Roman"/>
                <w:sz w:val="24"/>
                <w:lang w:eastAsia="zh-CN"/>
              </w:rPr>
              <w:t>（安监总管三〔2017〕121号）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8779" w:type="dxa"/>
            <w:gridSpan w:val="4"/>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北京市法规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《北京市安全生产条例》</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北京市人民代表大会常务委员会公告〔十五届〕第77号修订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《北京市生产安全事故隐患排查治理办法》</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ascii="Times New Roman" w:hAnsi="Times New Roman"/>
                <w:sz w:val="24"/>
                <w:lang w:eastAsia="zh-CN"/>
              </w:rPr>
              <w:t>北京市人民政府令第266号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《北京市生产经营单位安全生产主体责任规定》</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ascii="Times New Roman" w:hAnsi="Times New Roman"/>
                <w:sz w:val="24"/>
                <w:lang w:eastAsia="zh-CN"/>
              </w:rPr>
              <w:t>北京市人民政府令第</w:t>
            </w:r>
            <w:r>
              <w:rPr>
                <w:rFonts w:hint="eastAsia" w:ascii="Times New Roman" w:hAnsi="Times New Roman"/>
                <w:sz w:val="24"/>
                <w:lang w:eastAsia="zh-CN"/>
              </w:rPr>
              <w:t>302</w:t>
            </w:r>
            <w:r>
              <w:rPr>
                <w:rFonts w:ascii="Times New Roman" w:hAnsi="Times New Roman"/>
                <w:sz w:val="24"/>
                <w:lang w:eastAsia="zh-CN"/>
              </w:rPr>
              <w:t>号</w:t>
            </w:r>
            <w:r>
              <w:rPr>
                <w:rFonts w:hint="eastAsia" w:ascii="Times New Roman" w:hAnsi="Times New Roman"/>
                <w:sz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《北京市危险化学品安全生产治本攻坚三年行动实施方案（2024-2026年）》</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京安办</w:t>
            </w:r>
            <w:r>
              <w:rPr>
                <w:rFonts w:hint="eastAsia" w:ascii="Times New Roman" w:hAnsi="Times New Roman"/>
                <w:sz w:val="24"/>
                <w:lang w:eastAsia="zh-CN"/>
              </w:rPr>
              <w:t>〔2024〕</w:t>
            </w:r>
            <w:r>
              <w:rPr>
                <w:rFonts w:hint="eastAsia" w:ascii="Times New Roman" w:hAnsi="Times New Roman"/>
                <w:sz w:val="24"/>
                <w:lang w:eastAsia="en-US"/>
              </w:rPr>
              <w:t>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《北京市危险化学品禁止、限制、控制措施（2024年版）》</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京应急发</w:t>
            </w:r>
            <w:r>
              <w:rPr>
                <w:rFonts w:hint="eastAsia" w:ascii="Times New Roman" w:hAnsi="Times New Roman"/>
                <w:sz w:val="24"/>
                <w:lang w:eastAsia="zh-CN"/>
              </w:rPr>
              <w:t>〔2024〕</w:t>
            </w:r>
            <w:r>
              <w:rPr>
                <w:rFonts w:hint="eastAsia" w:ascii="Times New Roman" w:hAnsi="Times New Roman"/>
                <w:sz w:val="24"/>
                <w:lang w:eastAsia="en-US"/>
              </w:rPr>
              <w:t>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8779" w:type="dxa"/>
            <w:gridSpan w:val="4"/>
            <w:vAlign w:val="center"/>
          </w:tcPr>
          <w:p>
            <w:pPr>
              <w:pStyle w:val="31"/>
              <w:autoSpaceDE w:val="0"/>
              <w:autoSpaceDN w:val="0"/>
              <w:jc w:val="center"/>
              <w:rPr>
                <w:rFonts w:ascii="Times New Roman" w:hAnsi="Times New Roman"/>
                <w:sz w:val="21"/>
              </w:rPr>
            </w:pPr>
            <w:r>
              <w:rPr>
                <w:rFonts w:hint="eastAsia" w:ascii="Times New Roman" w:hAnsi="Times New Roman" w:eastAsia="仿宋_GB2312"/>
                <w:kern w:val="2"/>
                <w:sz w:val="24"/>
                <w:szCs w:val="24"/>
                <w:lang w:eastAsia="zh-CN"/>
              </w:rPr>
              <w:t>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《安全色和安全标志》</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zh-CN"/>
              </w:rPr>
              <w:t>（</w:t>
            </w:r>
            <w:r>
              <w:rPr>
                <w:rFonts w:hint="eastAsia" w:ascii="Times New Roman" w:hAnsi="Times New Roman"/>
                <w:sz w:val="24"/>
                <w:lang w:eastAsia="en-US"/>
              </w:rPr>
              <w:t>GB 2894）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《生产安全事故分类与编码》</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6441）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《气瓶颜色标志》</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7144）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《工业金属管道设计规范》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《消防安全标志第1部分：标志》</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13495.1）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《化学品安全标签编写规定》</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《危险化学品仓库储存通则》</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15603）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《消防安全标志设置要求》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《瓶装气体分类》</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16163）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《气瓶搬运、装卸、储存和使用安全规定》</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34525）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《化学品安全技术说明书 内容和项目顺序》</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16483）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《深度冷冻法生产氧气及相关气体安全技术规程》</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16912）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《易燃易爆性商品储存养护技术条件》</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17914）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《腐蚀性商品储存养护技术条件》</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《毒害性商品储存养护技术条件》</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17916）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《危险化学品重大危险源辨识》</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18218）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《危险化学品经营企业安全技术基本要求》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18265）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《液化天然气（LNG）生产、储存和装运》</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20368）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《个体防护装备配备规范 第1部分：总则》</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39800.1）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《生产经营单位生产安全事故应急预案编制导则》</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29639）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《危险化学品单位应急救援物资配备要求》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30077）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《化学品生产单位特殊作业安全规范》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30871）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《实验室废弃化学品收集技术规范》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31190）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《危险化学品生产装置和储存设施风险基准》</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36894）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《建筑设计防火规范（2018年版）》</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《建筑防火通用规范》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55037）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《化工企业氯气安全技术规范》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11984）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《氧气站设计规范》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《供配电系统设计规范》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《爆炸危险环境电力装置设计规范》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《建筑灭火器配置设计规范》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《泡沫灭火系统设计规范》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《石油化工企业设计防火标准（2018版）》</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《电气装置安装工程 接地装置施工及验收规范》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《电力工程电缆设计规范》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《工业金属管道工程施工规范》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《储罐区防火堤设计规范》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《建筑灭火器配置验收及检查规范》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《石油化工可燃气体和有毒气体检测报警设计标准》</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（GB/T 50493）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《医用气体工程技术规范》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《消防给水及消火栓系统技术规范》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《工业建筑供暖通风与空气调节设计规范》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《特种气体系统工程技术标准》</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《工业氮》</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cs="楷体_GB2312"/>
                <w:color w:val="000000" w:themeColor="text1"/>
                <w:sz w:val="24"/>
                <w:lang w:eastAsia="en-US"/>
                <w14:textFill>
                  <w14:solidFill>
                    <w14:schemeClr w14:val="tx1"/>
                  </w14:solidFill>
                </w14:textFill>
              </w:rPr>
              <w:t>（GB/T 3864）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《电子工业洁净厂房设计规范》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50472）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《发光二极管工厂设计规范》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（GB 51209）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《氢气站设计规范》</w:t>
            </w:r>
          </w:p>
        </w:tc>
        <w:tc>
          <w:tcPr>
            <w:tcW w:w="3260" w:type="dxa"/>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（GB 50177）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《氢气使用安全技术规程》</w:t>
            </w:r>
          </w:p>
        </w:tc>
        <w:tc>
          <w:tcPr>
            <w:tcW w:w="3260" w:type="dxa"/>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（GB 4962）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8779" w:type="dxa"/>
            <w:gridSpan w:val="4"/>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hint="eastAsia"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《生产经营单位生产安全事故应急处置卡编制指南》</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en-US"/>
              </w:rPr>
              <w:t>（YJ/T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hint="eastAsia"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《生产安全事故应急演练基本规范》</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en-US"/>
              </w:rPr>
              <w:t>（YJ/T 9007）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hint="eastAsia"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《低温液体贮运设备使用安全规则》</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en-US"/>
              </w:rPr>
              <w:t>（JB/T 6898）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hint="eastAsia"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《氨制冷企业安全规范》</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en-US"/>
              </w:rPr>
              <w:t>（AQ 7015）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hint="eastAsia"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《液氯使用安全技术要求》</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en-US"/>
              </w:rPr>
              <w:t>（AQ 3014）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hint="eastAsia"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《化工和危险化学品生产经营企业重大生产安全事故隐患判定准则》</w:t>
            </w:r>
          </w:p>
        </w:tc>
        <w:tc>
          <w:tcPr>
            <w:tcW w:w="3260" w:type="dxa"/>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zh-CN"/>
              </w:rPr>
              <w:t>（AQ 3067）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8779" w:type="dxa"/>
            <w:gridSpan w:val="4"/>
            <w:vAlign w:val="center"/>
          </w:tcPr>
          <w:p>
            <w:pPr>
              <w:autoSpaceDE w:val="0"/>
              <w:autoSpaceDN w:val="0"/>
              <w:spacing w:line="240" w:lineRule="auto"/>
              <w:ind w:firstLine="0" w:firstLineChars="0"/>
              <w:jc w:val="center"/>
              <w:rPr>
                <w:rFonts w:hint="eastAsia" w:ascii="Times New Roman" w:hAnsi="Times New Roman"/>
                <w:sz w:val="24"/>
                <w:lang w:eastAsia="en-US"/>
              </w:rPr>
            </w:pPr>
            <w:r>
              <w:rPr>
                <w:rFonts w:hint="eastAsia" w:ascii="Times New Roman" w:hAnsi="Times New Roman"/>
                <w:sz w:val="24"/>
                <w:lang w:eastAsia="zh-CN"/>
              </w:rPr>
              <w:t>地方性标准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zh-CN"/>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《危险化学品仓库建设及储存安全规范》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《危险化学品地上储罐区安全要求》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《实验室危险化学品安全管理规范 第1部分：工业企业》</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《实验室危险化学品安全管理规范 第2部分：普通高等学校》</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sz w:val="24"/>
                <w:lang w:eastAsia="zh-CN"/>
              </w:rPr>
            </w:pPr>
            <w:r>
              <w:rPr>
                <w:rFonts w:hint="eastAsia" w:ascii="Times New Roman" w:hAnsi="Times New Roman"/>
                <w:sz w:val="24"/>
                <w:lang w:eastAsia="zh-CN"/>
              </w:rPr>
              <w:t>《</w:t>
            </w:r>
            <w:r>
              <w:rPr>
                <w:rFonts w:hint="eastAsia" w:ascii="Times New Roman" w:hAnsi="Times New Roman" w:eastAsia="仿宋_GB2312"/>
                <w:kern w:val="2"/>
                <w:sz w:val="24"/>
                <w:szCs w:val="24"/>
                <w:lang w:eastAsia="zh-CN"/>
              </w:rPr>
              <w:t>实验室危险化学品安全管理要求 第3部分：科研单位》</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《危险场所电气防爆安全检测技术规范》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《安全生产等级评定技术规范 第2部分：安全生产通用要求》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1322.2）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《安全生产等级评定技术规范 第20部分：科研单位》</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1322.20）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sz w:val="24"/>
                <w:szCs w:val="24"/>
                <w:lang w:eastAsia="zh-CN"/>
              </w:rPr>
              <w:t>《安全生产等级评定技术规范 第64部分：城镇供水厂》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1322.64）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《生产经营单位安全生产风险评估与管控》</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《医疗机构危险化学品安全管理要求》</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《液氨使用与储存安全技术规范》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《安全生产等级评定技术规范 第57部分：电子通信制造企业》</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1322.57）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《危险化学品常压储罐安全管理规范》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《生产安全事故应急演练实施与评估》</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hint="eastAsia" w:ascii="Times New Roman" w:hAnsi="Times New Roman" w:eastAsia="仿宋_GB2312"/>
                <w:kern w:val="2"/>
                <w:sz w:val="24"/>
                <w:szCs w:val="24"/>
                <w:lang w:eastAsia="zh-CN"/>
              </w:rPr>
              <w:t>《实验室危险废物污染防治技术规范》</w:t>
            </w:r>
          </w:p>
        </w:tc>
        <w:tc>
          <w:tcPr>
            <w:tcW w:w="3260" w:type="dxa"/>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（DB11/T 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8779" w:type="dxa"/>
            <w:gridSpan w:val="4"/>
            <w:vAlign w:val="center"/>
          </w:tcPr>
          <w:p>
            <w:pPr>
              <w:autoSpaceDE w:val="0"/>
              <w:autoSpaceDN w:val="0"/>
              <w:spacing w:line="240" w:lineRule="auto"/>
              <w:ind w:firstLine="0" w:firstLineChars="0"/>
              <w:jc w:val="center"/>
              <w:rPr>
                <w:rFonts w:ascii="Times New Roman" w:hAnsi="Times New Roman"/>
                <w:sz w:val="24"/>
                <w:lang w:eastAsia="en-US"/>
              </w:rPr>
            </w:pPr>
            <w:r>
              <w:rPr>
                <w:rFonts w:hint="eastAsia" w:ascii="Times New Roman" w:hAnsi="Times New Roman"/>
                <w:sz w:val="24"/>
                <w:lang w:eastAsia="en-US"/>
              </w:rPr>
              <w:t>危险化学品目录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699" w:type="dxa"/>
            <w:vAlign w:val="center"/>
          </w:tcPr>
          <w:p>
            <w:pPr>
              <w:pStyle w:val="22"/>
              <w:numPr>
                <w:ilvl w:val="0"/>
                <w:numId w:val="29"/>
              </w:numPr>
              <w:autoSpaceDE w:val="0"/>
              <w:autoSpaceDN w:val="0"/>
              <w:ind w:firstLineChars="0"/>
              <w:jc w:val="center"/>
              <w:rPr>
                <w:rFonts w:ascii="Times New Roman" w:hAnsi="Times New Roman"/>
                <w:sz w:val="24"/>
                <w:lang w:eastAsia="en-US"/>
              </w:rPr>
            </w:pPr>
          </w:p>
        </w:tc>
        <w:tc>
          <w:tcPr>
            <w:tcW w:w="4820" w:type="dxa"/>
            <w:gridSpan w:val="2"/>
            <w:vAlign w:val="center"/>
          </w:tcPr>
          <w:p>
            <w:pPr>
              <w:pStyle w:val="31"/>
              <w:autoSpaceDE w:val="0"/>
              <w:autoSpaceDN w:val="0"/>
              <w:jc w:val="center"/>
              <w:rPr>
                <w:rFonts w:ascii="Times New Roman" w:hAnsi="Times New Roman" w:eastAsia="仿宋_GB2312"/>
                <w:kern w:val="2"/>
                <w:sz w:val="24"/>
                <w:szCs w:val="24"/>
                <w:lang w:eastAsia="zh-CN"/>
              </w:rPr>
            </w:pPr>
            <w:r>
              <w:rPr>
                <w:rFonts w:ascii="Times New Roman" w:hAnsi="Times New Roman" w:eastAsia="仿宋_GB2312"/>
                <w:kern w:val="2"/>
                <w:sz w:val="24"/>
                <w:szCs w:val="24"/>
                <w:lang w:eastAsia="zh-CN"/>
              </w:rPr>
              <w:t>《危险化学品目录</w:t>
            </w:r>
            <w:r>
              <w:rPr>
                <w:rFonts w:hint="eastAsia" w:ascii="Times New Roman" w:hAnsi="Times New Roman" w:eastAsia="仿宋_GB2312"/>
                <w:kern w:val="2"/>
                <w:sz w:val="24"/>
                <w:szCs w:val="24"/>
                <w:lang w:eastAsia="zh-CN"/>
              </w:rPr>
              <w:t>（2015版）</w:t>
            </w:r>
            <w:r>
              <w:rPr>
                <w:rFonts w:ascii="Times New Roman" w:hAnsi="Times New Roman" w:eastAsia="仿宋_GB2312"/>
                <w:kern w:val="2"/>
                <w:sz w:val="24"/>
                <w:szCs w:val="24"/>
                <w:lang w:eastAsia="zh-CN"/>
              </w:rPr>
              <w:t>》</w:t>
            </w:r>
          </w:p>
        </w:tc>
        <w:tc>
          <w:tcPr>
            <w:tcW w:w="3260" w:type="dxa"/>
            <w:vAlign w:val="center"/>
          </w:tcPr>
          <w:p>
            <w:pPr>
              <w:autoSpaceDE w:val="0"/>
              <w:autoSpaceDN w:val="0"/>
              <w:spacing w:line="240" w:lineRule="auto"/>
              <w:ind w:firstLine="0" w:firstLineChars="0"/>
              <w:jc w:val="center"/>
              <w:rPr>
                <w:rFonts w:ascii="Times New Roman" w:hAnsi="Times New Roman"/>
                <w:sz w:val="24"/>
                <w:lang w:eastAsia="zh-CN"/>
              </w:rPr>
            </w:pPr>
            <w:r>
              <w:rPr>
                <w:rFonts w:hint="eastAsia" w:ascii="Times New Roman" w:hAnsi="Times New Roman"/>
                <w:sz w:val="24"/>
                <w:lang w:eastAsia="zh-CN"/>
              </w:rPr>
              <w:t>（应急管理部等10部门公告2022年第8号修订）</w:t>
            </w:r>
          </w:p>
        </w:tc>
      </w:tr>
    </w:tbl>
    <w:p>
      <w:pPr>
        <w:ind w:firstLine="0" w:firstLineChars="0"/>
        <w:rPr>
          <w:rFonts w:ascii="Times New Roman" w:hAnsi="Times New Roman"/>
        </w:rPr>
      </w:pPr>
    </w:p>
    <w:sectPr>
      <w:pgSz w:w="11906" w:h="16838"/>
      <w:pgMar w:top="1440" w:right="1800" w:bottom="1440" w:left="180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方正小标宋_GBK"/>
    <w:panose1 w:val="02000000000000000000"/>
    <w:charset w:val="86"/>
    <w:family w:val="auto"/>
    <w:pitch w:val="default"/>
    <w:sig w:usb0="00000000" w:usb1="00000000" w:usb2="00000012" w:usb3="00000000" w:csb0="00040001" w:csb1="00000000"/>
  </w:font>
  <w:font w:name="MingLiU">
    <w:altName w:val="方正书宋_GBK"/>
    <w:panose1 w:val="02010609000101010101"/>
    <w:charset w:val="88"/>
    <w:family w:val="moder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FZSSK--GBK1-0">
    <w:altName w:val="仿宋"/>
    <w:panose1 w:val="00000000000000000000"/>
    <w:charset w:val="86"/>
    <w:family w:val="auto"/>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Impact">
    <w:panose1 w:val="020B0806030902050204"/>
    <w:charset w:val="00"/>
    <w:family w:val="auto"/>
    <w:pitch w:val="default"/>
    <w:sig w:usb0="00000287" w:usb1="00000000" w:usb2="00000000" w:usb3="00000000" w:csb0="2000009F" w:csb1="DFD7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rFonts w:hint="eastAsia"/>
      </w:rPr>
    </w:pPr>
  </w:p>
  <w:p>
    <w:pPr>
      <w:pStyle w:val="9"/>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rFonts w:hint="eastAsia"/>
      </w:rPr>
    </w:pPr>
  </w:p>
  <w:p>
    <w:pPr>
      <w:pStyle w:val="9"/>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2988"/>
    </w:sdtPr>
    <w:sdtContent>
      <w:p>
        <w:pPr>
          <w:pStyle w:val="9"/>
          <w:ind w:firstLine="360"/>
          <w:jc w:val="center"/>
          <w:rPr>
            <w:rFonts w:hint="eastAsia"/>
          </w:rPr>
        </w:pPr>
        <w:r>
          <w:rPr>
            <w:rFonts w:eastAsia="宋体"/>
            <w:sz w:val="21"/>
            <w:szCs w:val="21"/>
          </w:rPr>
          <w:fldChar w:fldCharType="begin"/>
        </w:r>
        <w:r>
          <w:rPr>
            <w:rFonts w:eastAsia="宋体"/>
            <w:sz w:val="21"/>
            <w:szCs w:val="21"/>
          </w:rPr>
          <w:instrText xml:space="preserve">PAGE   \* MERGEFORMAT</w:instrText>
        </w:r>
        <w:r>
          <w:rPr>
            <w:rFonts w:eastAsia="宋体"/>
            <w:sz w:val="21"/>
            <w:szCs w:val="21"/>
          </w:rPr>
          <w:fldChar w:fldCharType="separate"/>
        </w:r>
        <w:r>
          <w:rPr>
            <w:rFonts w:eastAsia="宋体"/>
            <w:sz w:val="21"/>
            <w:szCs w:val="21"/>
            <w:lang w:val="zh-CN"/>
          </w:rPr>
          <w:t>2</w:t>
        </w:r>
        <w:r>
          <w:rPr>
            <w:rFonts w:eastAsia="宋体"/>
            <w:sz w:val="21"/>
            <w:szCs w:val="21"/>
          </w:rPr>
          <w:fldChar w:fldCharType="end"/>
        </w:r>
      </w:p>
    </w:sdtContent>
  </w:sdt>
  <w:p>
    <w:pPr>
      <w:pStyle w:val="9"/>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rFonts w:hint="eastAsia"/>
      </w:rPr>
    </w:pPr>
  </w:p>
  <w:p>
    <w:pPr>
      <w:pStyle w:val="9"/>
      <w:ind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467"/>
                          </w:sdtPr>
                          <w:sdtContent>
                            <w:p>
                              <w:pPr>
                                <w:pStyle w:val="9"/>
                                <w:ind w:firstLine="0" w:firstLineChars="0"/>
                                <w:rPr>
                                  <w:rFonts w:hint="eastAsia"/>
                                </w:rPr>
                              </w:pPr>
                              <w:r>
                                <w:rPr>
                                  <w:rFonts w:eastAsia="宋体"/>
                                  <w:sz w:val="21"/>
                                  <w:szCs w:val="21"/>
                                </w:rPr>
                                <w:fldChar w:fldCharType="begin"/>
                              </w:r>
                              <w:r>
                                <w:rPr>
                                  <w:rFonts w:eastAsia="宋体"/>
                                  <w:sz w:val="21"/>
                                  <w:szCs w:val="21"/>
                                </w:rPr>
                                <w:instrText xml:space="preserve">PAGE   \* MERGEFORMAT</w:instrText>
                              </w:r>
                              <w:r>
                                <w:rPr>
                                  <w:rFonts w:eastAsia="宋体"/>
                                  <w:sz w:val="21"/>
                                  <w:szCs w:val="21"/>
                                </w:rPr>
                                <w:fldChar w:fldCharType="separate"/>
                              </w:r>
                              <w:r>
                                <w:rPr>
                                  <w:rFonts w:eastAsia="宋体"/>
                                  <w:sz w:val="21"/>
                                  <w:szCs w:val="21"/>
                                  <w:lang w:val="zh-CN"/>
                                </w:rPr>
                                <w:t>2</w:t>
                              </w:r>
                              <w:r>
                                <w:rPr>
                                  <w:rFonts w:eastAsia="宋体"/>
                                  <w:sz w:val="21"/>
                                  <w:szCs w:val="21"/>
                                </w:rPr>
                                <w:fldChar w:fldCharType="end"/>
                              </w:r>
                            </w:p>
                          </w:sdtContent>
                        </w:sdt>
                        <w:p>
                          <w:pPr>
                            <w:ind w:firstLine="640"/>
                            <w:rPr>
                              <w:rFonts w:hint="eastAsia"/>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sdt>
                    <w:sdtPr>
                      <w:id w:val="147457467"/>
                    </w:sdtPr>
                    <w:sdtContent>
                      <w:p>
                        <w:pPr>
                          <w:pStyle w:val="9"/>
                          <w:ind w:firstLine="0" w:firstLineChars="0"/>
                          <w:rPr>
                            <w:rFonts w:hint="eastAsia"/>
                          </w:rPr>
                        </w:pPr>
                        <w:r>
                          <w:rPr>
                            <w:rFonts w:eastAsia="宋体"/>
                            <w:sz w:val="21"/>
                            <w:szCs w:val="21"/>
                          </w:rPr>
                          <w:fldChar w:fldCharType="begin"/>
                        </w:r>
                        <w:r>
                          <w:rPr>
                            <w:rFonts w:eastAsia="宋体"/>
                            <w:sz w:val="21"/>
                            <w:szCs w:val="21"/>
                          </w:rPr>
                          <w:instrText xml:space="preserve">PAGE   \* MERGEFORMAT</w:instrText>
                        </w:r>
                        <w:r>
                          <w:rPr>
                            <w:rFonts w:eastAsia="宋体"/>
                            <w:sz w:val="21"/>
                            <w:szCs w:val="21"/>
                          </w:rPr>
                          <w:fldChar w:fldCharType="separate"/>
                        </w:r>
                        <w:r>
                          <w:rPr>
                            <w:rFonts w:eastAsia="宋体"/>
                            <w:sz w:val="21"/>
                            <w:szCs w:val="21"/>
                            <w:lang w:val="zh-CN"/>
                          </w:rPr>
                          <w:t>2</w:t>
                        </w:r>
                        <w:r>
                          <w:rPr>
                            <w:rFonts w:eastAsia="宋体"/>
                            <w:sz w:val="21"/>
                            <w:szCs w:val="21"/>
                          </w:rPr>
                          <w:fldChar w:fldCharType="end"/>
                        </w:r>
                      </w:p>
                    </w:sdtContent>
                  </w:sdt>
                  <w:p>
                    <w:pPr>
                      <w:ind w:firstLine="640"/>
                      <w:rPr>
                        <w:rFonts w:hint="eastAsia"/>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309"/>
                          </w:sdtPr>
                          <w:sdtContent>
                            <w:p>
                              <w:pPr>
                                <w:pStyle w:val="9"/>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ind w:firstLine="640"/>
                            <w:rPr>
                              <w:rFonts w:hint="eastAsia"/>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sdt>
                    <w:sdtPr>
                      <w:id w:val="147477309"/>
                    </w:sdtPr>
                    <w:sdtContent>
                      <w:p>
                        <w:pPr>
                          <w:pStyle w:val="9"/>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ind w:firstLine="640"/>
                      <w:rPr>
                        <w:rFonts w:hint="eastAsia"/>
                      </w:rPr>
                    </w:pPr>
                  </w:p>
                </w:txbxContent>
              </v:textbox>
            </v:shape>
          </w:pict>
        </mc:Fallback>
      </mc:AlternateContent>
    </w:r>
  </w:p>
  <w:p>
    <w:pPr>
      <w:pStyle w:val="9"/>
      <w:ind w:firstLine="36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0" w:firstLineChars="0"/>
                            <w:rPr>
                              <w:rFonts w:hint="eastAsia"/>
                            </w:rPr>
                          </w:pPr>
                          <w:r>
                            <w:rPr>
                              <w:rFonts w:eastAsia="宋体"/>
                              <w:sz w:val="21"/>
                              <w:szCs w:val="21"/>
                            </w:rPr>
                            <w:fldChar w:fldCharType="begin"/>
                          </w:r>
                          <w:r>
                            <w:rPr>
                              <w:rFonts w:eastAsia="宋体"/>
                              <w:sz w:val="21"/>
                              <w:szCs w:val="21"/>
                            </w:rPr>
                            <w:instrText xml:space="preserve">PAGE   \* MERGEFORMAT</w:instrText>
                          </w:r>
                          <w:r>
                            <w:rPr>
                              <w:rFonts w:eastAsia="宋体"/>
                              <w:sz w:val="21"/>
                              <w:szCs w:val="21"/>
                            </w:rPr>
                            <w:fldChar w:fldCharType="separate"/>
                          </w:r>
                          <w:r>
                            <w:rPr>
                              <w:rFonts w:eastAsia="宋体"/>
                              <w:sz w:val="21"/>
                              <w:szCs w:val="21"/>
                              <w:lang w:val="zh-CN"/>
                            </w:rPr>
                            <w:t>2</w:t>
                          </w:r>
                          <w:r>
                            <w:rPr>
                              <w:rFonts w:eastAsia="宋体"/>
                              <w:sz w:val="21"/>
                              <w:szCs w:val="21"/>
                            </w:rPr>
                            <w:fldChar w:fldCharType="end"/>
                          </w:r>
                        </w:p>
                        <w:p>
                          <w:pPr>
                            <w:ind w:firstLine="640"/>
                            <w:rPr>
                              <w:rFonts w:hint="eastAsia"/>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p>
                    <w:pPr>
                      <w:pStyle w:val="9"/>
                      <w:ind w:firstLine="0" w:firstLineChars="0"/>
                      <w:rPr>
                        <w:rFonts w:hint="eastAsia"/>
                      </w:rPr>
                    </w:pPr>
                    <w:r>
                      <w:rPr>
                        <w:rFonts w:eastAsia="宋体"/>
                        <w:sz w:val="21"/>
                        <w:szCs w:val="21"/>
                      </w:rPr>
                      <w:fldChar w:fldCharType="begin"/>
                    </w:r>
                    <w:r>
                      <w:rPr>
                        <w:rFonts w:eastAsia="宋体"/>
                        <w:sz w:val="21"/>
                        <w:szCs w:val="21"/>
                      </w:rPr>
                      <w:instrText xml:space="preserve">PAGE   \* MERGEFORMAT</w:instrText>
                    </w:r>
                    <w:r>
                      <w:rPr>
                        <w:rFonts w:eastAsia="宋体"/>
                        <w:sz w:val="21"/>
                        <w:szCs w:val="21"/>
                      </w:rPr>
                      <w:fldChar w:fldCharType="separate"/>
                    </w:r>
                    <w:r>
                      <w:rPr>
                        <w:rFonts w:eastAsia="宋体"/>
                        <w:sz w:val="21"/>
                        <w:szCs w:val="21"/>
                        <w:lang w:val="zh-CN"/>
                      </w:rPr>
                      <w:t>2</w:t>
                    </w:r>
                    <w:r>
                      <w:rPr>
                        <w:rFonts w:eastAsia="宋体"/>
                        <w:sz w:val="21"/>
                        <w:szCs w:val="21"/>
                      </w:rPr>
                      <w:fldChar w:fldCharType="end"/>
                    </w:r>
                  </w:p>
                  <w:p>
                    <w:pPr>
                      <w:ind w:firstLine="640"/>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EEB6F"/>
    <w:multiLevelType w:val="multilevel"/>
    <w:tmpl w:val="845EEB6F"/>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8BF91361"/>
    <w:multiLevelType w:val="multilevel"/>
    <w:tmpl w:val="8BF91361"/>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9A7BB32D"/>
    <w:multiLevelType w:val="multilevel"/>
    <w:tmpl w:val="9A7BB32D"/>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AB2493ED"/>
    <w:multiLevelType w:val="multilevel"/>
    <w:tmpl w:val="AB2493ED"/>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C826BF89"/>
    <w:multiLevelType w:val="multilevel"/>
    <w:tmpl w:val="C826BF89"/>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CC06BFA4"/>
    <w:multiLevelType w:val="multilevel"/>
    <w:tmpl w:val="CC06BFA4"/>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EDB281CB"/>
    <w:multiLevelType w:val="multilevel"/>
    <w:tmpl w:val="EDB281CB"/>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F71A8647"/>
    <w:multiLevelType w:val="multilevel"/>
    <w:tmpl w:val="F71A8647"/>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10402A28"/>
    <w:multiLevelType w:val="singleLevel"/>
    <w:tmpl w:val="10402A28"/>
    <w:lvl w:ilvl="0" w:tentative="0">
      <w:start w:val="1"/>
      <w:numFmt w:val="chineseCounting"/>
      <w:suff w:val="nothing"/>
      <w:lvlText w:val="（%1）"/>
      <w:lvlJc w:val="left"/>
      <w:rPr>
        <w:rFonts w:hint="eastAsia"/>
      </w:rPr>
    </w:lvl>
  </w:abstractNum>
  <w:abstractNum w:abstractNumId="9">
    <w:nsid w:val="11014357"/>
    <w:multiLevelType w:val="multilevel"/>
    <w:tmpl w:val="11014357"/>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2865C85"/>
    <w:multiLevelType w:val="singleLevel"/>
    <w:tmpl w:val="12865C85"/>
    <w:lvl w:ilvl="0" w:tentative="0">
      <w:start w:val="1"/>
      <w:numFmt w:val="chineseCounting"/>
      <w:suff w:val="nothing"/>
      <w:lvlText w:val="（%1）"/>
      <w:lvlJc w:val="left"/>
      <w:rPr>
        <w:rFonts w:hint="eastAsia"/>
      </w:rPr>
    </w:lvl>
  </w:abstractNum>
  <w:abstractNum w:abstractNumId="11">
    <w:nsid w:val="2B46649F"/>
    <w:multiLevelType w:val="singleLevel"/>
    <w:tmpl w:val="2B46649F"/>
    <w:lvl w:ilvl="0" w:tentative="0">
      <w:start w:val="1"/>
      <w:numFmt w:val="chineseCounting"/>
      <w:suff w:val="nothing"/>
      <w:lvlText w:val="（%1）"/>
      <w:lvlJc w:val="left"/>
      <w:rPr>
        <w:rFonts w:hint="eastAsia"/>
      </w:rPr>
    </w:lvl>
  </w:abstractNum>
  <w:abstractNum w:abstractNumId="12">
    <w:nsid w:val="2D21C31C"/>
    <w:multiLevelType w:val="singleLevel"/>
    <w:tmpl w:val="2D21C31C"/>
    <w:lvl w:ilvl="0" w:tentative="0">
      <w:start w:val="1"/>
      <w:numFmt w:val="chineseCounting"/>
      <w:suff w:val="nothing"/>
      <w:lvlText w:val="第%1节 "/>
      <w:lvlJc w:val="left"/>
      <w:pPr>
        <w:tabs>
          <w:tab w:val="left" w:pos="0"/>
        </w:tabs>
        <w:ind w:left="0" w:firstLine="420"/>
      </w:pPr>
      <w:rPr>
        <w:rFonts w:hint="eastAsia"/>
      </w:rPr>
    </w:lvl>
  </w:abstractNum>
  <w:abstractNum w:abstractNumId="13">
    <w:nsid w:val="36B42A8A"/>
    <w:multiLevelType w:val="multilevel"/>
    <w:tmpl w:val="36B42A8A"/>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3C761137"/>
    <w:multiLevelType w:val="multilevel"/>
    <w:tmpl w:val="3C761137"/>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3D5D5216"/>
    <w:multiLevelType w:val="singleLevel"/>
    <w:tmpl w:val="3D5D5216"/>
    <w:lvl w:ilvl="0" w:tentative="0">
      <w:start w:val="1"/>
      <w:numFmt w:val="chineseCounting"/>
      <w:suff w:val="nothing"/>
      <w:lvlText w:val="（%1）"/>
      <w:lvlJc w:val="left"/>
      <w:rPr>
        <w:rFonts w:hint="eastAsia"/>
      </w:rPr>
    </w:lvl>
  </w:abstractNum>
  <w:abstractNum w:abstractNumId="16">
    <w:nsid w:val="3FFFEC33"/>
    <w:multiLevelType w:val="singleLevel"/>
    <w:tmpl w:val="3FFFEC33"/>
    <w:lvl w:ilvl="0" w:tentative="0">
      <w:start w:val="9"/>
      <w:numFmt w:val="decimal"/>
      <w:suff w:val="nothing"/>
      <w:lvlText w:val="%1."/>
      <w:lvlJc w:val="left"/>
      <w:pPr>
        <w:ind w:left="425" w:hanging="425"/>
      </w:pPr>
      <w:rPr>
        <w:rFonts w:hint="default"/>
      </w:rPr>
    </w:lvl>
  </w:abstractNum>
  <w:abstractNum w:abstractNumId="17">
    <w:nsid w:val="41261AE1"/>
    <w:multiLevelType w:val="singleLevel"/>
    <w:tmpl w:val="41261AE1"/>
    <w:lvl w:ilvl="0" w:tentative="0">
      <w:start w:val="1"/>
      <w:numFmt w:val="chineseCounting"/>
      <w:suff w:val="nothing"/>
      <w:lvlText w:val="（%1）"/>
      <w:lvlJc w:val="left"/>
      <w:rPr>
        <w:rFonts w:hint="eastAsia"/>
      </w:rPr>
    </w:lvl>
  </w:abstractNum>
  <w:abstractNum w:abstractNumId="18">
    <w:nsid w:val="41A7C4E1"/>
    <w:multiLevelType w:val="multilevel"/>
    <w:tmpl w:val="41A7C4E1"/>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4587E620"/>
    <w:multiLevelType w:val="multilevel"/>
    <w:tmpl w:val="4587E620"/>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4A8C7472"/>
    <w:multiLevelType w:val="multilevel"/>
    <w:tmpl w:val="4A8C7472"/>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4C4B769A"/>
    <w:multiLevelType w:val="multilevel"/>
    <w:tmpl w:val="4C4B769A"/>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54E502C6"/>
    <w:multiLevelType w:val="multilevel"/>
    <w:tmpl w:val="54E502C6"/>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56389158"/>
    <w:multiLevelType w:val="multilevel"/>
    <w:tmpl w:val="56389158"/>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5B7D011F"/>
    <w:multiLevelType w:val="singleLevel"/>
    <w:tmpl w:val="5B7D011F"/>
    <w:lvl w:ilvl="0" w:tentative="0">
      <w:start w:val="1"/>
      <w:numFmt w:val="chineseCounting"/>
      <w:suff w:val="nothing"/>
      <w:lvlText w:val="第%1节 "/>
      <w:lvlJc w:val="left"/>
      <w:pPr>
        <w:tabs>
          <w:tab w:val="left" w:pos="0"/>
        </w:tabs>
        <w:ind w:left="0" w:firstLine="420"/>
      </w:pPr>
      <w:rPr>
        <w:rFonts w:hint="eastAsia"/>
      </w:rPr>
    </w:lvl>
  </w:abstractNum>
  <w:abstractNum w:abstractNumId="25">
    <w:nsid w:val="64762580"/>
    <w:multiLevelType w:val="singleLevel"/>
    <w:tmpl w:val="64762580"/>
    <w:lvl w:ilvl="0" w:tentative="0">
      <w:start w:val="1"/>
      <w:numFmt w:val="chineseCounting"/>
      <w:suff w:val="nothing"/>
      <w:lvlText w:val="第%1节 "/>
      <w:lvlJc w:val="left"/>
      <w:pPr>
        <w:tabs>
          <w:tab w:val="left" w:pos="0"/>
        </w:tabs>
        <w:ind w:left="0" w:firstLine="420"/>
      </w:pPr>
      <w:rPr>
        <w:rFonts w:hint="eastAsia"/>
      </w:rPr>
    </w:lvl>
  </w:abstractNum>
  <w:abstractNum w:abstractNumId="26">
    <w:nsid w:val="71547D91"/>
    <w:multiLevelType w:val="singleLevel"/>
    <w:tmpl w:val="71547D91"/>
    <w:lvl w:ilvl="0" w:tentative="0">
      <w:start w:val="1"/>
      <w:numFmt w:val="chineseCounting"/>
      <w:suff w:val="nothing"/>
      <w:lvlText w:val="（%1）"/>
      <w:lvlJc w:val="left"/>
      <w:rPr>
        <w:rFonts w:hint="eastAsia"/>
      </w:rPr>
    </w:lvl>
  </w:abstractNum>
  <w:abstractNum w:abstractNumId="27">
    <w:nsid w:val="7533081B"/>
    <w:multiLevelType w:val="multilevel"/>
    <w:tmpl w:val="7533081B"/>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7E695710"/>
    <w:multiLevelType w:val="singleLevel"/>
    <w:tmpl w:val="7E695710"/>
    <w:lvl w:ilvl="0" w:tentative="0">
      <w:start w:val="1"/>
      <w:numFmt w:val="chineseCounting"/>
      <w:suff w:val="nothing"/>
      <w:lvlText w:val="（%1）"/>
      <w:lvlJc w:val="left"/>
      <w:rPr>
        <w:rFonts w:hint="eastAsia"/>
      </w:rPr>
    </w:lvl>
  </w:abstractNum>
  <w:num w:numId="1">
    <w:abstractNumId w:val="25"/>
  </w:num>
  <w:num w:numId="2">
    <w:abstractNumId w:val="24"/>
  </w:num>
  <w:num w:numId="3">
    <w:abstractNumId w:val="26"/>
  </w:num>
  <w:num w:numId="4">
    <w:abstractNumId w:val="11"/>
  </w:num>
  <w:num w:numId="5">
    <w:abstractNumId w:val="10"/>
  </w:num>
  <w:num w:numId="6">
    <w:abstractNumId w:val="17"/>
  </w:num>
  <w:num w:numId="7">
    <w:abstractNumId w:val="8"/>
  </w:num>
  <w:num w:numId="8">
    <w:abstractNumId w:val="20"/>
  </w:num>
  <w:num w:numId="9">
    <w:abstractNumId w:val="12"/>
  </w:num>
  <w:num w:numId="10">
    <w:abstractNumId w:val="15"/>
  </w:num>
  <w:num w:numId="11">
    <w:abstractNumId w:val="27"/>
  </w:num>
  <w:num w:numId="12">
    <w:abstractNumId w:val="4"/>
  </w:num>
  <w:num w:numId="13">
    <w:abstractNumId w:val="23"/>
  </w:num>
  <w:num w:numId="14">
    <w:abstractNumId w:val="2"/>
  </w:num>
  <w:num w:numId="15">
    <w:abstractNumId w:val="16"/>
  </w:num>
  <w:num w:numId="16">
    <w:abstractNumId w:val="22"/>
  </w:num>
  <w:num w:numId="17">
    <w:abstractNumId w:val="13"/>
  </w:num>
  <w:num w:numId="18">
    <w:abstractNumId w:val="18"/>
  </w:num>
  <w:num w:numId="19">
    <w:abstractNumId w:val="28"/>
  </w:num>
  <w:num w:numId="20">
    <w:abstractNumId w:val="1"/>
  </w:num>
  <w:num w:numId="21">
    <w:abstractNumId w:val="21"/>
  </w:num>
  <w:num w:numId="22">
    <w:abstractNumId w:val="0"/>
  </w:num>
  <w:num w:numId="23">
    <w:abstractNumId w:val="6"/>
  </w:num>
  <w:num w:numId="24">
    <w:abstractNumId w:val="19"/>
  </w:num>
  <w:num w:numId="25">
    <w:abstractNumId w:val="7"/>
  </w:num>
  <w:num w:numId="26">
    <w:abstractNumId w:val="9"/>
  </w:num>
  <w:num w:numId="27">
    <w:abstractNumId w:val="14"/>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true"/>
  <w:bordersDoNotSurroundFooter w:val="true"/>
  <w:documentProtection w:enforcement="0"/>
  <w:defaultTabStop w:val="420"/>
  <w:drawingGridHorizontalSpacing w:val="160"/>
  <w:drawingGridVerticalSpacing w:val="435"/>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3243D7"/>
    <w:rsid w:val="00001210"/>
    <w:rsid w:val="00001450"/>
    <w:rsid w:val="000108D8"/>
    <w:rsid w:val="000128F9"/>
    <w:rsid w:val="00015155"/>
    <w:rsid w:val="00016888"/>
    <w:rsid w:val="0001722D"/>
    <w:rsid w:val="00020798"/>
    <w:rsid w:val="000224BD"/>
    <w:rsid w:val="000241E5"/>
    <w:rsid w:val="00025DD1"/>
    <w:rsid w:val="0003140D"/>
    <w:rsid w:val="00031E0D"/>
    <w:rsid w:val="00032DF5"/>
    <w:rsid w:val="00034137"/>
    <w:rsid w:val="00042E97"/>
    <w:rsid w:val="00051326"/>
    <w:rsid w:val="000526FC"/>
    <w:rsid w:val="000560E8"/>
    <w:rsid w:val="000577F8"/>
    <w:rsid w:val="000639E2"/>
    <w:rsid w:val="0007019E"/>
    <w:rsid w:val="00070D34"/>
    <w:rsid w:val="00071444"/>
    <w:rsid w:val="00071CBD"/>
    <w:rsid w:val="00072E60"/>
    <w:rsid w:val="00076A2C"/>
    <w:rsid w:val="00077D6E"/>
    <w:rsid w:val="00080E35"/>
    <w:rsid w:val="000826AC"/>
    <w:rsid w:val="00090177"/>
    <w:rsid w:val="00092BDD"/>
    <w:rsid w:val="00092BE8"/>
    <w:rsid w:val="00093E2C"/>
    <w:rsid w:val="00095A51"/>
    <w:rsid w:val="000A1C2C"/>
    <w:rsid w:val="000A2F4E"/>
    <w:rsid w:val="000A38E9"/>
    <w:rsid w:val="000A539D"/>
    <w:rsid w:val="000B00DE"/>
    <w:rsid w:val="000B0AB4"/>
    <w:rsid w:val="000B12D3"/>
    <w:rsid w:val="000B141E"/>
    <w:rsid w:val="000B6C68"/>
    <w:rsid w:val="000C0135"/>
    <w:rsid w:val="000C13A7"/>
    <w:rsid w:val="000C2000"/>
    <w:rsid w:val="000C3286"/>
    <w:rsid w:val="000D009F"/>
    <w:rsid w:val="000D04A2"/>
    <w:rsid w:val="000D63BB"/>
    <w:rsid w:val="000E110B"/>
    <w:rsid w:val="000E4BD3"/>
    <w:rsid w:val="000E6189"/>
    <w:rsid w:val="000F07E2"/>
    <w:rsid w:val="000F1B4E"/>
    <w:rsid w:val="000F253B"/>
    <w:rsid w:val="000F2FB3"/>
    <w:rsid w:val="000F3E01"/>
    <w:rsid w:val="001031F1"/>
    <w:rsid w:val="001041A9"/>
    <w:rsid w:val="001044DD"/>
    <w:rsid w:val="00104C06"/>
    <w:rsid w:val="00106065"/>
    <w:rsid w:val="00106CE9"/>
    <w:rsid w:val="00111593"/>
    <w:rsid w:val="00113CA2"/>
    <w:rsid w:val="00116ACE"/>
    <w:rsid w:val="00122FD8"/>
    <w:rsid w:val="001260F9"/>
    <w:rsid w:val="0013018D"/>
    <w:rsid w:val="00130A18"/>
    <w:rsid w:val="00131219"/>
    <w:rsid w:val="001371B7"/>
    <w:rsid w:val="00143990"/>
    <w:rsid w:val="00152736"/>
    <w:rsid w:val="00154FDA"/>
    <w:rsid w:val="001645E8"/>
    <w:rsid w:val="00165878"/>
    <w:rsid w:val="001711D6"/>
    <w:rsid w:val="00174BF0"/>
    <w:rsid w:val="001844E5"/>
    <w:rsid w:val="00186CB9"/>
    <w:rsid w:val="0019290E"/>
    <w:rsid w:val="00193954"/>
    <w:rsid w:val="00194265"/>
    <w:rsid w:val="001946F7"/>
    <w:rsid w:val="00195D6B"/>
    <w:rsid w:val="00196130"/>
    <w:rsid w:val="00196198"/>
    <w:rsid w:val="001962AA"/>
    <w:rsid w:val="00196843"/>
    <w:rsid w:val="001A22E1"/>
    <w:rsid w:val="001A3F27"/>
    <w:rsid w:val="001A69FD"/>
    <w:rsid w:val="001A6BD6"/>
    <w:rsid w:val="001A6EAA"/>
    <w:rsid w:val="001B4934"/>
    <w:rsid w:val="001B7474"/>
    <w:rsid w:val="001B79C9"/>
    <w:rsid w:val="001D55C8"/>
    <w:rsid w:val="001D7BEF"/>
    <w:rsid w:val="001E0704"/>
    <w:rsid w:val="001E383C"/>
    <w:rsid w:val="0020136E"/>
    <w:rsid w:val="00203528"/>
    <w:rsid w:val="002054F1"/>
    <w:rsid w:val="002061E5"/>
    <w:rsid w:val="002125FE"/>
    <w:rsid w:val="00212CAD"/>
    <w:rsid w:val="002137F2"/>
    <w:rsid w:val="00213F60"/>
    <w:rsid w:val="00216367"/>
    <w:rsid w:val="002203EE"/>
    <w:rsid w:val="00220FDE"/>
    <w:rsid w:val="00226F75"/>
    <w:rsid w:val="00237EDB"/>
    <w:rsid w:val="00253784"/>
    <w:rsid w:val="00254FD3"/>
    <w:rsid w:val="0025601C"/>
    <w:rsid w:val="00256A3F"/>
    <w:rsid w:val="002624BB"/>
    <w:rsid w:val="00266297"/>
    <w:rsid w:val="00266DB3"/>
    <w:rsid w:val="00266FEB"/>
    <w:rsid w:val="00267E96"/>
    <w:rsid w:val="00274F55"/>
    <w:rsid w:val="002755A5"/>
    <w:rsid w:val="00275A9B"/>
    <w:rsid w:val="00276FF5"/>
    <w:rsid w:val="00277DFA"/>
    <w:rsid w:val="00280846"/>
    <w:rsid w:val="00285F63"/>
    <w:rsid w:val="00287075"/>
    <w:rsid w:val="00291059"/>
    <w:rsid w:val="002945DE"/>
    <w:rsid w:val="00295A30"/>
    <w:rsid w:val="00296FA6"/>
    <w:rsid w:val="002A007F"/>
    <w:rsid w:val="002A3629"/>
    <w:rsid w:val="002B1237"/>
    <w:rsid w:val="002B4179"/>
    <w:rsid w:val="002B5278"/>
    <w:rsid w:val="002C44A1"/>
    <w:rsid w:val="002D05F0"/>
    <w:rsid w:val="002D3216"/>
    <w:rsid w:val="002D69B8"/>
    <w:rsid w:val="002E2474"/>
    <w:rsid w:val="002E2D8E"/>
    <w:rsid w:val="002E496D"/>
    <w:rsid w:val="002F7831"/>
    <w:rsid w:val="0030002A"/>
    <w:rsid w:val="003036F3"/>
    <w:rsid w:val="003047A8"/>
    <w:rsid w:val="00307825"/>
    <w:rsid w:val="00307CA6"/>
    <w:rsid w:val="003102A3"/>
    <w:rsid w:val="00311BB2"/>
    <w:rsid w:val="00316E7E"/>
    <w:rsid w:val="00321D68"/>
    <w:rsid w:val="003223C0"/>
    <w:rsid w:val="00323C3F"/>
    <w:rsid w:val="00326295"/>
    <w:rsid w:val="00330862"/>
    <w:rsid w:val="00332D10"/>
    <w:rsid w:val="003351C6"/>
    <w:rsid w:val="00337EEC"/>
    <w:rsid w:val="00350329"/>
    <w:rsid w:val="003507CF"/>
    <w:rsid w:val="00351671"/>
    <w:rsid w:val="00351D35"/>
    <w:rsid w:val="0035724D"/>
    <w:rsid w:val="003708D2"/>
    <w:rsid w:val="00373B0E"/>
    <w:rsid w:val="0037516C"/>
    <w:rsid w:val="00377985"/>
    <w:rsid w:val="00383346"/>
    <w:rsid w:val="00383F12"/>
    <w:rsid w:val="00384078"/>
    <w:rsid w:val="0038544A"/>
    <w:rsid w:val="00386204"/>
    <w:rsid w:val="00386DD0"/>
    <w:rsid w:val="0039058E"/>
    <w:rsid w:val="00392500"/>
    <w:rsid w:val="00392EDA"/>
    <w:rsid w:val="003A1C12"/>
    <w:rsid w:val="003A77BE"/>
    <w:rsid w:val="003A7A99"/>
    <w:rsid w:val="003B122E"/>
    <w:rsid w:val="003B4EBB"/>
    <w:rsid w:val="003B68E7"/>
    <w:rsid w:val="003C34BF"/>
    <w:rsid w:val="003C3B7B"/>
    <w:rsid w:val="003C3C2F"/>
    <w:rsid w:val="003C486A"/>
    <w:rsid w:val="003D3433"/>
    <w:rsid w:val="003D52BE"/>
    <w:rsid w:val="003D71FA"/>
    <w:rsid w:val="003E1006"/>
    <w:rsid w:val="003E2AC8"/>
    <w:rsid w:val="003E3D2F"/>
    <w:rsid w:val="003E5E70"/>
    <w:rsid w:val="003E6C7D"/>
    <w:rsid w:val="003F199C"/>
    <w:rsid w:val="004040F8"/>
    <w:rsid w:val="004060D6"/>
    <w:rsid w:val="0041189E"/>
    <w:rsid w:val="00412460"/>
    <w:rsid w:val="00412AE2"/>
    <w:rsid w:val="00415E6F"/>
    <w:rsid w:val="00417726"/>
    <w:rsid w:val="00417AFA"/>
    <w:rsid w:val="00420706"/>
    <w:rsid w:val="00423B51"/>
    <w:rsid w:val="004244C5"/>
    <w:rsid w:val="004270EA"/>
    <w:rsid w:val="004272D5"/>
    <w:rsid w:val="004274B6"/>
    <w:rsid w:val="004339F0"/>
    <w:rsid w:val="00435CE0"/>
    <w:rsid w:val="00442B4B"/>
    <w:rsid w:val="00444332"/>
    <w:rsid w:val="00452A8F"/>
    <w:rsid w:val="00455404"/>
    <w:rsid w:val="00461828"/>
    <w:rsid w:val="0046589D"/>
    <w:rsid w:val="0046606C"/>
    <w:rsid w:val="00466F17"/>
    <w:rsid w:val="00470883"/>
    <w:rsid w:val="0047406D"/>
    <w:rsid w:val="00474625"/>
    <w:rsid w:val="00477228"/>
    <w:rsid w:val="004778E2"/>
    <w:rsid w:val="00480652"/>
    <w:rsid w:val="00485099"/>
    <w:rsid w:val="004868DB"/>
    <w:rsid w:val="00496F7D"/>
    <w:rsid w:val="00497777"/>
    <w:rsid w:val="004A2257"/>
    <w:rsid w:val="004A4C76"/>
    <w:rsid w:val="004A6127"/>
    <w:rsid w:val="004A79B0"/>
    <w:rsid w:val="004B13E6"/>
    <w:rsid w:val="004B1ED8"/>
    <w:rsid w:val="004B4ED3"/>
    <w:rsid w:val="004B5D42"/>
    <w:rsid w:val="004C06FF"/>
    <w:rsid w:val="004C2427"/>
    <w:rsid w:val="004C4CF2"/>
    <w:rsid w:val="004C5B03"/>
    <w:rsid w:val="004C5C58"/>
    <w:rsid w:val="004C7B47"/>
    <w:rsid w:val="004D5DA5"/>
    <w:rsid w:val="004E4EE4"/>
    <w:rsid w:val="004E6A12"/>
    <w:rsid w:val="004E6E13"/>
    <w:rsid w:val="004F02AD"/>
    <w:rsid w:val="004F1644"/>
    <w:rsid w:val="004F1AC6"/>
    <w:rsid w:val="004F32F8"/>
    <w:rsid w:val="004F43C2"/>
    <w:rsid w:val="004F645E"/>
    <w:rsid w:val="004F7059"/>
    <w:rsid w:val="00501083"/>
    <w:rsid w:val="005017C6"/>
    <w:rsid w:val="00502998"/>
    <w:rsid w:val="00511C04"/>
    <w:rsid w:val="00511F3C"/>
    <w:rsid w:val="00514F61"/>
    <w:rsid w:val="00525C21"/>
    <w:rsid w:val="005305D3"/>
    <w:rsid w:val="00531C81"/>
    <w:rsid w:val="00534072"/>
    <w:rsid w:val="005341EF"/>
    <w:rsid w:val="005350D4"/>
    <w:rsid w:val="0054177C"/>
    <w:rsid w:val="00543114"/>
    <w:rsid w:val="00543DFA"/>
    <w:rsid w:val="00544101"/>
    <w:rsid w:val="00553CD1"/>
    <w:rsid w:val="00561ACF"/>
    <w:rsid w:val="0056218D"/>
    <w:rsid w:val="00566305"/>
    <w:rsid w:val="005702A9"/>
    <w:rsid w:val="005732C0"/>
    <w:rsid w:val="005744FF"/>
    <w:rsid w:val="005831A2"/>
    <w:rsid w:val="005907CF"/>
    <w:rsid w:val="0059251B"/>
    <w:rsid w:val="00597DBF"/>
    <w:rsid w:val="005A0990"/>
    <w:rsid w:val="005A4B4C"/>
    <w:rsid w:val="005A5DF5"/>
    <w:rsid w:val="005A7D44"/>
    <w:rsid w:val="005B0862"/>
    <w:rsid w:val="005B5CB5"/>
    <w:rsid w:val="005C1FA9"/>
    <w:rsid w:val="005C3853"/>
    <w:rsid w:val="005C4352"/>
    <w:rsid w:val="005C7215"/>
    <w:rsid w:val="005D359D"/>
    <w:rsid w:val="005D768B"/>
    <w:rsid w:val="005E2F3D"/>
    <w:rsid w:val="005E3325"/>
    <w:rsid w:val="005E508E"/>
    <w:rsid w:val="005E7CE7"/>
    <w:rsid w:val="005F4D75"/>
    <w:rsid w:val="005F5256"/>
    <w:rsid w:val="005F5DDB"/>
    <w:rsid w:val="005F60BC"/>
    <w:rsid w:val="005F67D6"/>
    <w:rsid w:val="005F7C3C"/>
    <w:rsid w:val="00601885"/>
    <w:rsid w:val="00610183"/>
    <w:rsid w:val="00610509"/>
    <w:rsid w:val="006134C7"/>
    <w:rsid w:val="00620EAD"/>
    <w:rsid w:val="006235B5"/>
    <w:rsid w:val="00625827"/>
    <w:rsid w:val="00625979"/>
    <w:rsid w:val="0063304F"/>
    <w:rsid w:val="006338E3"/>
    <w:rsid w:val="006349CD"/>
    <w:rsid w:val="006379E7"/>
    <w:rsid w:val="00640350"/>
    <w:rsid w:val="00643F39"/>
    <w:rsid w:val="006443C3"/>
    <w:rsid w:val="00644516"/>
    <w:rsid w:val="0064720E"/>
    <w:rsid w:val="0065209E"/>
    <w:rsid w:val="00670C59"/>
    <w:rsid w:val="0067260F"/>
    <w:rsid w:val="0067272E"/>
    <w:rsid w:val="00675882"/>
    <w:rsid w:val="00677AEA"/>
    <w:rsid w:val="00685063"/>
    <w:rsid w:val="00686212"/>
    <w:rsid w:val="00690851"/>
    <w:rsid w:val="00692926"/>
    <w:rsid w:val="006A266E"/>
    <w:rsid w:val="006A6E96"/>
    <w:rsid w:val="006C0A5A"/>
    <w:rsid w:val="006C1F63"/>
    <w:rsid w:val="006C4469"/>
    <w:rsid w:val="006C4889"/>
    <w:rsid w:val="006D139D"/>
    <w:rsid w:val="006D58F8"/>
    <w:rsid w:val="006E2790"/>
    <w:rsid w:val="006E6B8C"/>
    <w:rsid w:val="006E7316"/>
    <w:rsid w:val="006F08C5"/>
    <w:rsid w:val="006F094D"/>
    <w:rsid w:val="006F110B"/>
    <w:rsid w:val="00705D9F"/>
    <w:rsid w:val="00711787"/>
    <w:rsid w:val="00712BD8"/>
    <w:rsid w:val="00717E6D"/>
    <w:rsid w:val="007200C7"/>
    <w:rsid w:val="00721197"/>
    <w:rsid w:val="00723339"/>
    <w:rsid w:val="007263A6"/>
    <w:rsid w:val="0072702E"/>
    <w:rsid w:val="00730F88"/>
    <w:rsid w:val="00743E4F"/>
    <w:rsid w:val="00744B1E"/>
    <w:rsid w:val="00745879"/>
    <w:rsid w:val="0074605F"/>
    <w:rsid w:val="00751722"/>
    <w:rsid w:val="0075381F"/>
    <w:rsid w:val="0075693A"/>
    <w:rsid w:val="00756C36"/>
    <w:rsid w:val="0076075C"/>
    <w:rsid w:val="00774685"/>
    <w:rsid w:val="00782425"/>
    <w:rsid w:val="00782493"/>
    <w:rsid w:val="007836A5"/>
    <w:rsid w:val="00790CB4"/>
    <w:rsid w:val="00791D68"/>
    <w:rsid w:val="00793E36"/>
    <w:rsid w:val="00794901"/>
    <w:rsid w:val="00797007"/>
    <w:rsid w:val="007B295D"/>
    <w:rsid w:val="007B3ED9"/>
    <w:rsid w:val="007B41E6"/>
    <w:rsid w:val="007B4446"/>
    <w:rsid w:val="007B56B1"/>
    <w:rsid w:val="007B58F9"/>
    <w:rsid w:val="007B5BBB"/>
    <w:rsid w:val="007B6A6D"/>
    <w:rsid w:val="007B7306"/>
    <w:rsid w:val="007C2739"/>
    <w:rsid w:val="007C2AE9"/>
    <w:rsid w:val="007C5BC3"/>
    <w:rsid w:val="007C61F1"/>
    <w:rsid w:val="007D0B47"/>
    <w:rsid w:val="007D169E"/>
    <w:rsid w:val="007D1A6C"/>
    <w:rsid w:val="007E5400"/>
    <w:rsid w:val="007E5FE0"/>
    <w:rsid w:val="007F205B"/>
    <w:rsid w:val="007F52A3"/>
    <w:rsid w:val="00801C49"/>
    <w:rsid w:val="00803524"/>
    <w:rsid w:val="00803D00"/>
    <w:rsid w:val="00805A71"/>
    <w:rsid w:val="00807FF8"/>
    <w:rsid w:val="008138E0"/>
    <w:rsid w:val="00822FA6"/>
    <w:rsid w:val="00823FA4"/>
    <w:rsid w:val="00827896"/>
    <w:rsid w:val="00831D16"/>
    <w:rsid w:val="0083624E"/>
    <w:rsid w:val="00836D31"/>
    <w:rsid w:val="00842334"/>
    <w:rsid w:val="008470AB"/>
    <w:rsid w:val="00847C7C"/>
    <w:rsid w:val="00851370"/>
    <w:rsid w:val="00851E6B"/>
    <w:rsid w:val="008566B3"/>
    <w:rsid w:val="0086177D"/>
    <w:rsid w:val="00861B83"/>
    <w:rsid w:val="0086265B"/>
    <w:rsid w:val="00866878"/>
    <w:rsid w:val="008669AF"/>
    <w:rsid w:val="00867399"/>
    <w:rsid w:val="00867C89"/>
    <w:rsid w:val="00867FBD"/>
    <w:rsid w:val="00871173"/>
    <w:rsid w:val="00871A49"/>
    <w:rsid w:val="00871A7C"/>
    <w:rsid w:val="008726C6"/>
    <w:rsid w:val="00872A48"/>
    <w:rsid w:val="0087355C"/>
    <w:rsid w:val="008738CC"/>
    <w:rsid w:val="0087447E"/>
    <w:rsid w:val="00874497"/>
    <w:rsid w:val="0088081A"/>
    <w:rsid w:val="008815C0"/>
    <w:rsid w:val="00881E61"/>
    <w:rsid w:val="00882793"/>
    <w:rsid w:val="00884207"/>
    <w:rsid w:val="00893A6D"/>
    <w:rsid w:val="00893E2E"/>
    <w:rsid w:val="00895FB0"/>
    <w:rsid w:val="008A34F9"/>
    <w:rsid w:val="008A4972"/>
    <w:rsid w:val="008A5FD8"/>
    <w:rsid w:val="008A787D"/>
    <w:rsid w:val="008B2BA9"/>
    <w:rsid w:val="008B4F48"/>
    <w:rsid w:val="008B58BF"/>
    <w:rsid w:val="008C09C7"/>
    <w:rsid w:val="008C3AD4"/>
    <w:rsid w:val="008E3C3B"/>
    <w:rsid w:val="00902E3E"/>
    <w:rsid w:val="0091397D"/>
    <w:rsid w:val="00915EBD"/>
    <w:rsid w:val="00925C38"/>
    <w:rsid w:val="009262E5"/>
    <w:rsid w:val="00934B53"/>
    <w:rsid w:val="00937545"/>
    <w:rsid w:val="00942E59"/>
    <w:rsid w:val="009529C0"/>
    <w:rsid w:val="00952C88"/>
    <w:rsid w:val="00953E10"/>
    <w:rsid w:val="00956DAA"/>
    <w:rsid w:val="00961EE2"/>
    <w:rsid w:val="00967174"/>
    <w:rsid w:val="00967B4E"/>
    <w:rsid w:val="00970896"/>
    <w:rsid w:val="0097269A"/>
    <w:rsid w:val="009777EA"/>
    <w:rsid w:val="00980B11"/>
    <w:rsid w:val="009848CF"/>
    <w:rsid w:val="00990997"/>
    <w:rsid w:val="009914A4"/>
    <w:rsid w:val="00991BE0"/>
    <w:rsid w:val="00993741"/>
    <w:rsid w:val="009A739F"/>
    <w:rsid w:val="009B282E"/>
    <w:rsid w:val="009B724C"/>
    <w:rsid w:val="009C0222"/>
    <w:rsid w:val="009C30C7"/>
    <w:rsid w:val="009C4F35"/>
    <w:rsid w:val="009C5AFC"/>
    <w:rsid w:val="009D0829"/>
    <w:rsid w:val="009D103C"/>
    <w:rsid w:val="009D5D6A"/>
    <w:rsid w:val="009E0573"/>
    <w:rsid w:val="009E1ACB"/>
    <w:rsid w:val="009E2F1A"/>
    <w:rsid w:val="009E689E"/>
    <w:rsid w:val="009E6D33"/>
    <w:rsid w:val="009F39A6"/>
    <w:rsid w:val="00A00A8C"/>
    <w:rsid w:val="00A034D7"/>
    <w:rsid w:val="00A10B5D"/>
    <w:rsid w:val="00A10CC2"/>
    <w:rsid w:val="00A11288"/>
    <w:rsid w:val="00A11900"/>
    <w:rsid w:val="00A14715"/>
    <w:rsid w:val="00A2115B"/>
    <w:rsid w:val="00A222BF"/>
    <w:rsid w:val="00A239B6"/>
    <w:rsid w:val="00A24A9E"/>
    <w:rsid w:val="00A315CD"/>
    <w:rsid w:val="00A34525"/>
    <w:rsid w:val="00A37896"/>
    <w:rsid w:val="00A37963"/>
    <w:rsid w:val="00A40EC8"/>
    <w:rsid w:val="00A42408"/>
    <w:rsid w:val="00A4269B"/>
    <w:rsid w:val="00A46658"/>
    <w:rsid w:val="00A509AE"/>
    <w:rsid w:val="00A51C42"/>
    <w:rsid w:val="00A53E94"/>
    <w:rsid w:val="00A552E7"/>
    <w:rsid w:val="00A628CD"/>
    <w:rsid w:val="00A6517B"/>
    <w:rsid w:val="00A65525"/>
    <w:rsid w:val="00A655A3"/>
    <w:rsid w:val="00A65E02"/>
    <w:rsid w:val="00A6756A"/>
    <w:rsid w:val="00A746F9"/>
    <w:rsid w:val="00A84608"/>
    <w:rsid w:val="00A87411"/>
    <w:rsid w:val="00A94AAF"/>
    <w:rsid w:val="00A94E44"/>
    <w:rsid w:val="00A96F1A"/>
    <w:rsid w:val="00AA5044"/>
    <w:rsid w:val="00AA6C8E"/>
    <w:rsid w:val="00AA7C8A"/>
    <w:rsid w:val="00AB2B5E"/>
    <w:rsid w:val="00AB4A8B"/>
    <w:rsid w:val="00AC167B"/>
    <w:rsid w:val="00AC4C36"/>
    <w:rsid w:val="00AC5E79"/>
    <w:rsid w:val="00AC6010"/>
    <w:rsid w:val="00AC706C"/>
    <w:rsid w:val="00AD2690"/>
    <w:rsid w:val="00AD6325"/>
    <w:rsid w:val="00AD7977"/>
    <w:rsid w:val="00AD7F88"/>
    <w:rsid w:val="00AF2775"/>
    <w:rsid w:val="00AF42C6"/>
    <w:rsid w:val="00AF4641"/>
    <w:rsid w:val="00AF5969"/>
    <w:rsid w:val="00AF6F7A"/>
    <w:rsid w:val="00B05A27"/>
    <w:rsid w:val="00B064FF"/>
    <w:rsid w:val="00B12E41"/>
    <w:rsid w:val="00B12FB5"/>
    <w:rsid w:val="00B13875"/>
    <w:rsid w:val="00B13CE3"/>
    <w:rsid w:val="00B172D4"/>
    <w:rsid w:val="00B178E0"/>
    <w:rsid w:val="00B202A8"/>
    <w:rsid w:val="00B2390A"/>
    <w:rsid w:val="00B3086F"/>
    <w:rsid w:val="00B3162F"/>
    <w:rsid w:val="00B33FED"/>
    <w:rsid w:val="00B341AF"/>
    <w:rsid w:val="00B356A8"/>
    <w:rsid w:val="00B40018"/>
    <w:rsid w:val="00B40B33"/>
    <w:rsid w:val="00B42C64"/>
    <w:rsid w:val="00B47000"/>
    <w:rsid w:val="00B50BA7"/>
    <w:rsid w:val="00B55E0E"/>
    <w:rsid w:val="00B61F90"/>
    <w:rsid w:val="00B70FCE"/>
    <w:rsid w:val="00B73DDF"/>
    <w:rsid w:val="00B74CB2"/>
    <w:rsid w:val="00B812A4"/>
    <w:rsid w:val="00B84E90"/>
    <w:rsid w:val="00B85D29"/>
    <w:rsid w:val="00B900A2"/>
    <w:rsid w:val="00B975C4"/>
    <w:rsid w:val="00B97641"/>
    <w:rsid w:val="00BA1548"/>
    <w:rsid w:val="00BA76C7"/>
    <w:rsid w:val="00BA7DCB"/>
    <w:rsid w:val="00BB185A"/>
    <w:rsid w:val="00BB40A9"/>
    <w:rsid w:val="00BB5F6C"/>
    <w:rsid w:val="00BC028E"/>
    <w:rsid w:val="00BC758F"/>
    <w:rsid w:val="00BD2DE6"/>
    <w:rsid w:val="00BD3C77"/>
    <w:rsid w:val="00BD7D7F"/>
    <w:rsid w:val="00BE01BB"/>
    <w:rsid w:val="00BE12B9"/>
    <w:rsid w:val="00BE1CAF"/>
    <w:rsid w:val="00BE7E46"/>
    <w:rsid w:val="00BF34C9"/>
    <w:rsid w:val="00C0175C"/>
    <w:rsid w:val="00C01F55"/>
    <w:rsid w:val="00C052BF"/>
    <w:rsid w:val="00C06121"/>
    <w:rsid w:val="00C06935"/>
    <w:rsid w:val="00C07CD1"/>
    <w:rsid w:val="00C13B5F"/>
    <w:rsid w:val="00C14744"/>
    <w:rsid w:val="00C2168D"/>
    <w:rsid w:val="00C25FF6"/>
    <w:rsid w:val="00C272A6"/>
    <w:rsid w:val="00C2758D"/>
    <w:rsid w:val="00C37E68"/>
    <w:rsid w:val="00C40823"/>
    <w:rsid w:val="00C40991"/>
    <w:rsid w:val="00C47520"/>
    <w:rsid w:val="00C501B6"/>
    <w:rsid w:val="00C51F0B"/>
    <w:rsid w:val="00C53424"/>
    <w:rsid w:val="00C57C27"/>
    <w:rsid w:val="00C63D62"/>
    <w:rsid w:val="00C6563C"/>
    <w:rsid w:val="00C66880"/>
    <w:rsid w:val="00C75580"/>
    <w:rsid w:val="00C8056C"/>
    <w:rsid w:val="00C83098"/>
    <w:rsid w:val="00C8682F"/>
    <w:rsid w:val="00C91011"/>
    <w:rsid w:val="00C935C3"/>
    <w:rsid w:val="00C958D6"/>
    <w:rsid w:val="00CA0F71"/>
    <w:rsid w:val="00CA1F02"/>
    <w:rsid w:val="00CA2B83"/>
    <w:rsid w:val="00CA4A10"/>
    <w:rsid w:val="00CA4D9A"/>
    <w:rsid w:val="00CA76CA"/>
    <w:rsid w:val="00CC06AA"/>
    <w:rsid w:val="00CC56D8"/>
    <w:rsid w:val="00CC6CE3"/>
    <w:rsid w:val="00CD2A11"/>
    <w:rsid w:val="00CE5666"/>
    <w:rsid w:val="00CE56C6"/>
    <w:rsid w:val="00CF22CB"/>
    <w:rsid w:val="00CF4488"/>
    <w:rsid w:val="00D029E8"/>
    <w:rsid w:val="00D02D80"/>
    <w:rsid w:val="00D078DF"/>
    <w:rsid w:val="00D12B7C"/>
    <w:rsid w:val="00D1317E"/>
    <w:rsid w:val="00D13629"/>
    <w:rsid w:val="00D1440B"/>
    <w:rsid w:val="00D14F0D"/>
    <w:rsid w:val="00D23E02"/>
    <w:rsid w:val="00D30A62"/>
    <w:rsid w:val="00D318C5"/>
    <w:rsid w:val="00D3646D"/>
    <w:rsid w:val="00D36E6C"/>
    <w:rsid w:val="00D4064A"/>
    <w:rsid w:val="00D4091F"/>
    <w:rsid w:val="00D4123F"/>
    <w:rsid w:val="00D443A9"/>
    <w:rsid w:val="00D45A78"/>
    <w:rsid w:val="00D65DB0"/>
    <w:rsid w:val="00D67CC6"/>
    <w:rsid w:val="00D67F02"/>
    <w:rsid w:val="00D7448E"/>
    <w:rsid w:val="00D74A7F"/>
    <w:rsid w:val="00D753CA"/>
    <w:rsid w:val="00D84950"/>
    <w:rsid w:val="00D907A9"/>
    <w:rsid w:val="00D91EC7"/>
    <w:rsid w:val="00D924CC"/>
    <w:rsid w:val="00D939A8"/>
    <w:rsid w:val="00D94026"/>
    <w:rsid w:val="00D97DDD"/>
    <w:rsid w:val="00DA2B1A"/>
    <w:rsid w:val="00DA58D7"/>
    <w:rsid w:val="00DA60A4"/>
    <w:rsid w:val="00DB171C"/>
    <w:rsid w:val="00DB24F8"/>
    <w:rsid w:val="00DB5011"/>
    <w:rsid w:val="00DB5D66"/>
    <w:rsid w:val="00DB74C0"/>
    <w:rsid w:val="00DC0E2C"/>
    <w:rsid w:val="00DC41EC"/>
    <w:rsid w:val="00DC58D1"/>
    <w:rsid w:val="00DD2481"/>
    <w:rsid w:val="00DD2E38"/>
    <w:rsid w:val="00DE03FC"/>
    <w:rsid w:val="00DF30E8"/>
    <w:rsid w:val="00DF4D5F"/>
    <w:rsid w:val="00DF5D3E"/>
    <w:rsid w:val="00DF659C"/>
    <w:rsid w:val="00DF6B5E"/>
    <w:rsid w:val="00DF72F3"/>
    <w:rsid w:val="00DF7992"/>
    <w:rsid w:val="00E00588"/>
    <w:rsid w:val="00E010CA"/>
    <w:rsid w:val="00E016AE"/>
    <w:rsid w:val="00E033AC"/>
    <w:rsid w:val="00E044AC"/>
    <w:rsid w:val="00E13C2C"/>
    <w:rsid w:val="00E14674"/>
    <w:rsid w:val="00E165DB"/>
    <w:rsid w:val="00E20166"/>
    <w:rsid w:val="00E25715"/>
    <w:rsid w:val="00E27562"/>
    <w:rsid w:val="00E30584"/>
    <w:rsid w:val="00E324A6"/>
    <w:rsid w:val="00E35174"/>
    <w:rsid w:val="00E37409"/>
    <w:rsid w:val="00E419EE"/>
    <w:rsid w:val="00E43821"/>
    <w:rsid w:val="00E461A4"/>
    <w:rsid w:val="00E57654"/>
    <w:rsid w:val="00E57CA3"/>
    <w:rsid w:val="00E6247E"/>
    <w:rsid w:val="00E64005"/>
    <w:rsid w:val="00E67258"/>
    <w:rsid w:val="00E7509E"/>
    <w:rsid w:val="00E77D44"/>
    <w:rsid w:val="00E80672"/>
    <w:rsid w:val="00E80938"/>
    <w:rsid w:val="00E8621E"/>
    <w:rsid w:val="00E90744"/>
    <w:rsid w:val="00E943D5"/>
    <w:rsid w:val="00E95794"/>
    <w:rsid w:val="00E95BBD"/>
    <w:rsid w:val="00E96816"/>
    <w:rsid w:val="00E96A6F"/>
    <w:rsid w:val="00EA0AF3"/>
    <w:rsid w:val="00EA0E09"/>
    <w:rsid w:val="00EA30B7"/>
    <w:rsid w:val="00EA6DB0"/>
    <w:rsid w:val="00EB18A4"/>
    <w:rsid w:val="00EB4A4F"/>
    <w:rsid w:val="00EB4ADE"/>
    <w:rsid w:val="00EB7499"/>
    <w:rsid w:val="00EC4502"/>
    <w:rsid w:val="00ED0B3F"/>
    <w:rsid w:val="00ED3839"/>
    <w:rsid w:val="00ED6E11"/>
    <w:rsid w:val="00EE47F5"/>
    <w:rsid w:val="00EE4C09"/>
    <w:rsid w:val="00EF2F0A"/>
    <w:rsid w:val="00EF365F"/>
    <w:rsid w:val="00EF3AEE"/>
    <w:rsid w:val="00EF697E"/>
    <w:rsid w:val="00F00860"/>
    <w:rsid w:val="00F04895"/>
    <w:rsid w:val="00F05390"/>
    <w:rsid w:val="00F116EE"/>
    <w:rsid w:val="00F142D7"/>
    <w:rsid w:val="00F157F7"/>
    <w:rsid w:val="00F160DD"/>
    <w:rsid w:val="00F1738F"/>
    <w:rsid w:val="00F2511F"/>
    <w:rsid w:val="00F270A0"/>
    <w:rsid w:val="00F31290"/>
    <w:rsid w:val="00F3139C"/>
    <w:rsid w:val="00F377F5"/>
    <w:rsid w:val="00F4073F"/>
    <w:rsid w:val="00F437C9"/>
    <w:rsid w:val="00F44153"/>
    <w:rsid w:val="00F449C7"/>
    <w:rsid w:val="00F46A7D"/>
    <w:rsid w:val="00F503F7"/>
    <w:rsid w:val="00F53590"/>
    <w:rsid w:val="00F647E9"/>
    <w:rsid w:val="00F65F4A"/>
    <w:rsid w:val="00F66F01"/>
    <w:rsid w:val="00F710BC"/>
    <w:rsid w:val="00F7383D"/>
    <w:rsid w:val="00F812EC"/>
    <w:rsid w:val="00F8130B"/>
    <w:rsid w:val="00F82F6A"/>
    <w:rsid w:val="00F90A60"/>
    <w:rsid w:val="00F91A94"/>
    <w:rsid w:val="00F91D21"/>
    <w:rsid w:val="00F933CB"/>
    <w:rsid w:val="00F93674"/>
    <w:rsid w:val="00FA0CD2"/>
    <w:rsid w:val="00FA284F"/>
    <w:rsid w:val="00FA400D"/>
    <w:rsid w:val="00FA48A4"/>
    <w:rsid w:val="00FA74DE"/>
    <w:rsid w:val="00FB2E80"/>
    <w:rsid w:val="00FB5281"/>
    <w:rsid w:val="00FC3ADC"/>
    <w:rsid w:val="00FC5F4E"/>
    <w:rsid w:val="00FD5EA6"/>
    <w:rsid w:val="00FD64FE"/>
    <w:rsid w:val="00FD6F4F"/>
    <w:rsid w:val="00FE35CD"/>
    <w:rsid w:val="00FE4416"/>
    <w:rsid w:val="00FE666F"/>
    <w:rsid w:val="00FF560E"/>
    <w:rsid w:val="02433021"/>
    <w:rsid w:val="0A7D1E1E"/>
    <w:rsid w:val="0C0F4949"/>
    <w:rsid w:val="0C306A0D"/>
    <w:rsid w:val="0EB13857"/>
    <w:rsid w:val="0FCD552D"/>
    <w:rsid w:val="109A195E"/>
    <w:rsid w:val="13B50586"/>
    <w:rsid w:val="14BD32F1"/>
    <w:rsid w:val="166938A9"/>
    <w:rsid w:val="1BE35EAC"/>
    <w:rsid w:val="1F9F7353"/>
    <w:rsid w:val="20D3031F"/>
    <w:rsid w:val="22EC5646"/>
    <w:rsid w:val="252512E3"/>
    <w:rsid w:val="2ADD5419"/>
    <w:rsid w:val="2BBE5B76"/>
    <w:rsid w:val="2C451C6D"/>
    <w:rsid w:val="2C536973"/>
    <w:rsid w:val="2CF42E3A"/>
    <w:rsid w:val="2FB97ACC"/>
    <w:rsid w:val="40046517"/>
    <w:rsid w:val="4C15535E"/>
    <w:rsid w:val="4CCC03DE"/>
    <w:rsid w:val="4EC834A3"/>
    <w:rsid w:val="4F80799B"/>
    <w:rsid w:val="51BB3F78"/>
    <w:rsid w:val="56751523"/>
    <w:rsid w:val="59C91AFF"/>
    <w:rsid w:val="59CE54CA"/>
    <w:rsid w:val="5BB95D06"/>
    <w:rsid w:val="5BEB7F50"/>
    <w:rsid w:val="663243D7"/>
    <w:rsid w:val="66A86C9C"/>
    <w:rsid w:val="696077C1"/>
    <w:rsid w:val="6C4603B9"/>
    <w:rsid w:val="6EC22A43"/>
    <w:rsid w:val="6ED61C3F"/>
    <w:rsid w:val="701E6613"/>
    <w:rsid w:val="72CE6E2F"/>
    <w:rsid w:val="74AB66DC"/>
    <w:rsid w:val="76051D89"/>
    <w:rsid w:val="7679791E"/>
    <w:rsid w:val="77270C09"/>
    <w:rsid w:val="7C727ADF"/>
    <w:rsid w:val="EFFFB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宋体" w:hAnsi="宋体" w:eastAsia="仿宋_GB2312" w:cstheme="minorBidi"/>
      <w:kern w:val="2"/>
      <w:sz w:val="32"/>
      <w:szCs w:val="24"/>
      <w:lang w:val="en-US" w:eastAsia="zh-CN" w:bidi="ar-SA"/>
    </w:rPr>
  </w:style>
  <w:style w:type="paragraph" w:styleId="2">
    <w:name w:val="heading 1"/>
    <w:basedOn w:val="1"/>
    <w:next w:val="1"/>
    <w:link w:val="35"/>
    <w:qFormat/>
    <w:uiPriority w:val="0"/>
    <w:pPr>
      <w:keepNext/>
      <w:keepLines/>
      <w:spacing w:before="340" w:after="330" w:line="578" w:lineRule="atLeast"/>
      <w:outlineLvl w:val="0"/>
    </w:pPr>
    <w:rPr>
      <w:b/>
      <w:bCs/>
      <w:kern w:val="44"/>
      <w:sz w:val="44"/>
      <w:szCs w:val="44"/>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99"/>
    <w:pPr>
      <w:ind w:firstLine="420"/>
    </w:pPr>
    <w:rPr>
      <w:rFonts w:eastAsiaTheme="minorEastAsia"/>
      <w:kern w:val="0"/>
    </w:rPr>
  </w:style>
  <w:style w:type="paragraph" w:styleId="4">
    <w:name w:val="caption"/>
    <w:basedOn w:val="1"/>
    <w:next w:val="1"/>
    <w:semiHidden/>
    <w:unhideWhenUsed/>
    <w:qFormat/>
    <w:uiPriority w:val="0"/>
    <w:rPr>
      <w:rFonts w:ascii="Arial" w:hAnsi="Arial" w:eastAsia="黑体"/>
      <w:sz w:val="20"/>
    </w:rPr>
  </w:style>
  <w:style w:type="paragraph" w:styleId="5">
    <w:name w:val="annotation text"/>
    <w:basedOn w:val="1"/>
    <w:link w:val="23"/>
    <w:qFormat/>
    <w:uiPriority w:val="0"/>
    <w:pPr>
      <w:jc w:val="left"/>
    </w:pPr>
  </w:style>
  <w:style w:type="paragraph" w:styleId="6">
    <w:name w:val="Body Text"/>
    <w:basedOn w:val="1"/>
    <w:link w:val="37"/>
    <w:qFormat/>
    <w:uiPriority w:val="0"/>
    <w:pPr>
      <w:widowControl/>
      <w:kinsoku w:val="0"/>
      <w:autoSpaceDE w:val="0"/>
      <w:autoSpaceDN w:val="0"/>
      <w:adjustRightInd w:val="0"/>
      <w:snapToGrid w:val="0"/>
      <w:spacing w:line="240" w:lineRule="auto"/>
      <w:ind w:firstLine="0" w:firstLineChars="0"/>
      <w:jc w:val="left"/>
      <w:textAlignment w:val="baseline"/>
    </w:pPr>
    <w:rPr>
      <w:rFonts w:ascii="方正小标宋简体" w:hAnsi="方正小标宋简体" w:eastAsia="方正小标宋简体" w:cs="方正小标宋简体"/>
      <w:snapToGrid w:val="0"/>
      <w:color w:val="000000"/>
      <w:kern w:val="0"/>
      <w:sz w:val="84"/>
      <w:szCs w:val="84"/>
      <w:lang w:eastAsia="en-US"/>
    </w:rPr>
  </w:style>
  <w:style w:type="paragraph" w:styleId="7">
    <w:name w:val="toc 3"/>
    <w:basedOn w:val="1"/>
    <w:next w:val="1"/>
    <w:qFormat/>
    <w:uiPriority w:val="39"/>
    <w:pPr>
      <w:tabs>
        <w:tab w:val="right" w:leader="dot" w:pos="8296"/>
      </w:tabs>
      <w:ind w:left="640" w:leftChars="200" w:firstLine="640"/>
    </w:pPr>
  </w:style>
  <w:style w:type="paragraph" w:styleId="8">
    <w:name w:val="Date"/>
    <w:basedOn w:val="1"/>
    <w:next w:val="1"/>
    <w:link w:val="38"/>
    <w:qFormat/>
    <w:uiPriority w:val="0"/>
    <w:pPr>
      <w:ind w:left="100" w:leftChars="2500"/>
    </w:pPr>
  </w:style>
  <w:style w:type="paragraph" w:styleId="9">
    <w:name w:val="footer"/>
    <w:basedOn w:val="1"/>
    <w:link w:val="25"/>
    <w:qFormat/>
    <w:uiPriority w:val="99"/>
    <w:pPr>
      <w:tabs>
        <w:tab w:val="center" w:pos="4153"/>
        <w:tab w:val="right" w:pos="8306"/>
      </w:tabs>
      <w:snapToGrid w:val="0"/>
      <w:jc w:val="left"/>
    </w:pPr>
    <w:rPr>
      <w:sz w:val="18"/>
    </w:rPr>
  </w:style>
  <w:style w:type="paragraph" w:styleId="10">
    <w:name w:val="header"/>
    <w:basedOn w:val="1"/>
    <w:link w:val="3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39"/>
    <w:pPr>
      <w:tabs>
        <w:tab w:val="right" w:leader="dot" w:pos="8296"/>
      </w:tabs>
      <w:ind w:firstLine="0" w:firstLineChars="0"/>
    </w:pPr>
  </w:style>
  <w:style w:type="paragraph" w:styleId="12">
    <w:name w:val="toc 2"/>
    <w:basedOn w:val="1"/>
    <w:next w:val="1"/>
    <w:qFormat/>
    <w:uiPriority w:val="39"/>
  </w:style>
  <w:style w:type="paragraph" w:styleId="13">
    <w:name w:val="Normal (Web)"/>
    <w:basedOn w:val="1"/>
    <w:unhideWhenUsed/>
    <w:qFormat/>
    <w:uiPriority w:val="0"/>
    <w:pPr>
      <w:widowControl/>
      <w:jc w:val="left"/>
    </w:pPr>
    <w:rPr>
      <w:rFonts w:cs="宋体"/>
      <w:kern w:val="0"/>
      <w:sz w:val="24"/>
    </w:rPr>
  </w:style>
  <w:style w:type="paragraph" w:styleId="14">
    <w:name w:val="annotation subject"/>
    <w:basedOn w:val="5"/>
    <w:next w:val="5"/>
    <w:link w:val="24"/>
    <w:qFormat/>
    <w:uiPriority w:val="0"/>
    <w:rPr>
      <w:b/>
      <w:bCs/>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026E5" w:themeColor="hyperlink"/>
      <w:u w:val="single"/>
      <w14:textFill>
        <w14:solidFill>
          <w14:schemeClr w14:val="hlink"/>
        </w14:solidFill>
      </w14:textFill>
    </w:rPr>
  </w:style>
  <w:style w:type="character" w:styleId="20">
    <w:name w:val="annotation reference"/>
    <w:basedOn w:val="17"/>
    <w:qFormat/>
    <w:uiPriority w:val="0"/>
    <w:rPr>
      <w:sz w:val="21"/>
      <w:szCs w:val="21"/>
    </w:rPr>
  </w:style>
  <w:style w:type="paragraph" w:customStyle="1" w:styleId="21">
    <w:name w:val="正文-公1"/>
    <w:next w:val="1"/>
    <w:qFormat/>
    <w:uiPriority w:val="0"/>
    <w:pPr>
      <w:widowControl w:val="0"/>
      <w:spacing w:after="160" w:line="278" w:lineRule="auto"/>
      <w:ind w:firstLine="200" w:firstLineChars="200"/>
    </w:pPr>
    <w:rPr>
      <w:rFonts w:ascii="Times New Roman" w:hAnsi="Times New Roman" w:eastAsia="仿宋_GB2312" w:cs="Times New Roman"/>
      <w:kern w:val="2"/>
      <w:sz w:val="21"/>
      <w:szCs w:val="22"/>
      <w:lang w:val="en-US" w:eastAsia="zh-CN" w:bidi="ar-SA"/>
    </w:rPr>
  </w:style>
  <w:style w:type="paragraph" w:styleId="22">
    <w:name w:val="List Paragraph"/>
    <w:basedOn w:val="1"/>
    <w:qFormat/>
    <w:uiPriority w:val="99"/>
    <w:pPr>
      <w:spacing w:line="240" w:lineRule="auto"/>
      <w:ind w:firstLine="420"/>
    </w:pPr>
    <w:rPr>
      <w:rFonts w:eastAsia="宋体" w:cs="Times New Roman"/>
      <w:sz w:val="21"/>
    </w:rPr>
  </w:style>
  <w:style w:type="character" w:customStyle="1" w:styleId="23">
    <w:name w:val="批注文字 字符"/>
    <w:basedOn w:val="17"/>
    <w:link w:val="5"/>
    <w:qFormat/>
    <w:uiPriority w:val="0"/>
    <w:rPr>
      <w:rFonts w:eastAsia="仿宋_GB2312" w:cstheme="minorBidi"/>
      <w:kern w:val="2"/>
      <w:sz w:val="32"/>
      <w:szCs w:val="24"/>
    </w:rPr>
  </w:style>
  <w:style w:type="character" w:customStyle="1" w:styleId="24">
    <w:name w:val="批注主题 字符"/>
    <w:basedOn w:val="23"/>
    <w:link w:val="14"/>
    <w:qFormat/>
    <w:uiPriority w:val="0"/>
    <w:rPr>
      <w:rFonts w:eastAsia="仿宋_GB2312" w:cstheme="minorBidi"/>
      <w:b/>
      <w:bCs/>
      <w:kern w:val="2"/>
      <w:sz w:val="32"/>
      <w:szCs w:val="24"/>
    </w:rPr>
  </w:style>
  <w:style w:type="character" w:customStyle="1" w:styleId="25">
    <w:name w:val="页脚 字符"/>
    <w:basedOn w:val="17"/>
    <w:link w:val="9"/>
    <w:qFormat/>
    <w:uiPriority w:val="99"/>
    <w:rPr>
      <w:rFonts w:eastAsia="仿宋_GB2312" w:cstheme="minorBidi"/>
      <w:kern w:val="2"/>
      <w:sz w:val="18"/>
      <w:szCs w:val="24"/>
    </w:rPr>
  </w:style>
  <w:style w:type="character" w:customStyle="1" w:styleId="26">
    <w:name w:val="正文文本 (2)_"/>
    <w:basedOn w:val="17"/>
    <w:link w:val="27"/>
    <w:qFormat/>
    <w:uiPriority w:val="0"/>
    <w:rPr>
      <w:rFonts w:ascii="MingLiU" w:hAnsi="MingLiU" w:eastAsia="MingLiU" w:cs="MingLiU"/>
      <w:sz w:val="28"/>
      <w:szCs w:val="28"/>
      <w:shd w:val="clear" w:color="auto" w:fill="FFFFFF"/>
    </w:rPr>
  </w:style>
  <w:style w:type="paragraph" w:customStyle="1" w:styleId="27">
    <w:name w:val="正文文本 (2)"/>
    <w:basedOn w:val="1"/>
    <w:link w:val="26"/>
    <w:qFormat/>
    <w:uiPriority w:val="0"/>
    <w:pPr>
      <w:shd w:val="clear" w:color="auto" w:fill="FFFFFF"/>
      <w:spacing w:before="1860" w:after="1500" w:line="0" w:lineRule="atLeast"/>
      <w:ind w:firstLine="0" w:firstLineChars="0"/>
      <w:jc w:val="center"/>
    </w:pPr>
    <w:rPr>
      <w:rFonts w:ascii="MingLiU" w:hAnsi="MingLiU" w:eastAsia="MingLiU" w:cs="MingLiU"/>
      <w:kern w:val="0"/>
      <w:sz w:val="28"/>
      <w:szCs w:val="28"/>
    </w:rPr>
  </w:style>
  <w:style w:type="character" w:customStyle="1" w:styleId="28">
    <w:name w:val="fontstyle01"/>
    <w:basedOn w:val="17"/>
    <w:qFormat/>
    <w:uiPriority w:val="0"/>
    <w:rPr>
      <w:rFonts w:hint="eastAsia" w:ascii="仿宋_GB2312" w:eastAsia="仿宋_GB2312"/>
      <w:color w:val="000000"/>
      <w:sz w:val="32"/>
      <w:szCs w:val="32"/>
    </w:rPr>
  </w:style>
  <w:style w:type="paragraph" w:customStyle="1" w:styleId="29">
    <w:name w:val="Table Text"/>
    <w:basedOn w:val="1"/>
    <w:semiHidden/>
    <w:qFormat/>
    <w:uiPriority w:val="0"/>
    <w:pPr>
      <w:widowControl/>
      <w:kinsoku w:val="0"/>
      <w:autoSpaceDE w:val="0"/>
      <w:autoSpaceDN w:val="0"/>
      <w:adjustRightInd w:val="0"/>
      <w:snapToGrid w:val="0"/>
      <w:spacing w:line="240" w:lineRule="auto"/>
      <w:ind w:firstLine="0" w:firstLineChars="0"/>
      <w:jc w:val="left"/>
      <w:textAlignment w:val="baseline"/>
    </w:pPr>
    <w:rPr>
      <w:rFonts w:ascii="仿宋" w:hAnsi="仿宋" w:eastAsia="仿宋" w:cs="仿宋"/>
      <w:snapToGrid w:val="0"/>
      <w:color w:val="000000"/>
      <w:kern w:val="0"/>
      <w:sz w:val="20"/>
      <w:szCs w:val="20"/>
      <w:lang w:eastAsia="en-US"/>
    </w:rPr>
  </w:style>
  <w:style w:type="character" w:customStyle="1" w:styleId="30">
    <w:name w:val="页眉 字符"/>
    <w:basedOn w:val="17"/>
    <w:link w:val="10"/>
    <w:qFormat/>
    <w:uiPriority w:val="99"/>
    <w:rPr>
      <w:rFonts w:eastAsia="仿宋_GB2312" w:cstheme="minorBidi"/>
      <w:kern w:val="2"/>
      <w:sz w:val="18"/>
      <w:szCs w:val="24"/>
    </w:rPr>
  </w:style>
  <w:style w:type="paragraph" w:customStyle="1" w:styleId="31">
    <w:name w:val="Table Paragraph"/>
    <w:basedOn w:val="1"/>
    <w:qFormat/>
    <w:uiPriority w:val="1"/>
    <w:pPr>
      <w:spacing w:line="240" w:lineRule="auto"/>
      <w:ind w:firstLine="0" w:firstLineChars="0"/>
      <w:jc w:val="left"/>
    </w:pPr>
    <w:rPr>
      <w:rFonts w:asciiTheme="minorHAnsi" w:hAnsiTheme="minorHAnsi" w:eastAsiaTheme="minorEastAsia"/>
      <w:kern w:val="0"/>
      <w:sz w:val="22"/>
      <w:szCs w:val="22"/>
      <w:lang w:eastAsia="en-US"/>
    </w:rPr>
  </w:style>
  <w:style w:type="table" w:customStyle="1" w:styleId="32">
    <w:name w:val="Table Normal"/>
    <w:semiHidden/>
    <w:unhideWhenUsed/>
    <w:qFormat/>
    <w:uiPriority w:val="0"/>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3">
    <w:name w:val="msonormal"/>
    <w:basedOn w:val="1"/>
    <w:qFormat/>
    <w:uiPriority w:val="0"/>
    <w:pPr>
      <w:widowControl/>
      <w:spacing w:before="100" w:beforeAutospacing="1" w:after="100" w:afterAutospacing="1" w:line="240" w:lineRule="auto"/>
      <w:ind w:firstLine="0" w:firstLineChars="0"/>
      <w:jc w:val="left"/>
    </w:pPr>
    <w:rPr>
      <w:rFonts w:eastAsia="宋体" w:cs="宋体"/>
      <w:kern w:val="0"/>
      <w:sz w:val="24"/>
    </w:rPr>
  </w:style>
  <w:style w:type="paragraph" w:customStyle="1" w:styleId="34">
    <w:name w:val="cjk"/>
    <w:basedOn w:val="1"/>
    <w:qFormat/>
    <w:uiPriority w:val="0"/>
    <w:pPr>
      <w:widowControl/>
      <w:spacing w:before="100" w:beforeAutospacing="1" w:after="100" w:afterAutospacing="1" w:line="240" w:lineRule="auto"/>
      <w:ind w:firstLine="0" w:firstLineChars="0"/>
      <w:jc w:val="left"/>
    </w:pPr>
    <w:rPr>
      <w:rFonts w:eastAsia="宋体" w:cs="宋体"/>
      <w:kern w:val="0"/>
      <w:sz w:val="24"/>
    </w:rPr>
  </w:style>
  <w:style w:type="character" w:customStyle="1" w:styleId="35">
    <w:name w:val="标题 1 字符"/>
    <w:basedOn w:val="17"/>
    <w:link w:val="2"/>
    <w:qFormat/>
    <w:uiPriority w:val="0"/>
    <w:rPr>
      <w:rFonts w:eastAsia="仿宋_GB2312" w:cstheme="minorBidi"/>
      <w:b/>
      <w:bCs/>
      <w:kern w:val="44"/>
      <w:sz w:val="44"/>
      <w:szCs w:val="44"/>
    </w:rPr>
  </w:style>
  <w:style w:type="paragraph" w:customStyle="1" w:styleId="36">
    <w:name w:val="修订1"/>
    <w:hidden/>
    <w:unhideWhenUsed/>
    <w:qFormat/>
    <w:uiPriority w:val="99"/>
    <w:rPr>
      <w:rFonts w:ascii="Times New Roman" w:hAnsi="Times New Roman" w:eastAsia="仿宋_GB2312" w:cstheme="minorBidi"/>
      <w:kern w:val="2"/>
      <w:sz w:val="32"/>
      <w:szCs w:val="24"/>
      <w:lang w:val="en-US" w:eastAsia="zh-CN" w:bidi="ar-SA"/>
    </w:rPr>
  </w:style>
  <w:style w:type="character" w:customStyle="1" w:styleId="37">
    <w:name w:val="正文文本 字符"/>
    <w:basedOn w:val="17"/>
    <w:link w:val="6"/>
    <w:qFormat/>
    <w:uiPriority w:val="0"/>
    <w:rPr>
      <w:rFonts w:ascii="方正小标宋简体" w:hAnsi="方正小标宋简体" w:eastAsia="方正小标宋简体" w:cs="方正小标宋简体"/>
      <w:snapToGrid w:val="0"/>
      <w:color w:val="000000"/>
      <w:sz w:val="84"/>
      <w:szCs w:val="84"/>
      <w:lang w:eastAsia="en-US"/>
    </w:rPr>
  </w:style>
  <w:style w:type="character" w:customStyle="1" w:styleId="38">
    <w:name w:val="日期 字符"/>
    <w:basedOn w:val="17"/>
    <w:link w:val="8"/>
    <w:qFormat/>
    <w:uiPriority w:val="0"/>
    <w:rPr>
      <w:rFonts w:ascii="宋体" w:hAnsi="宋体" w:eastAsia="仿宋_GB2312" w:cstheme="minorBidi"/>
      <w:kern w:val="2"/>
      <w:sz w:val="32"/>
      <w:szCs w:val="24"/>
    </w:rPr>
  </w:style>
  <w:style w:type="paragraph" w:customStyle="1" w:styleId="39">
    <w:name w:val="修订2"/>
    <w:hidden/>
    <w:unhideWhenUsed/>
    <w:qFormat/>
    <w:uiPriority w:val="99"/>
    <w:rPr>
      <w:rFonts w:ascii="宋体" w:hAnsi="宋体" w:eastAsia="仿宋_GB2312" w:cstheme="minorBidi"/>
      <w:kern w:val="2"/>
      <w:sz w:val="32"/>
      <w:szCs w:val="24"/>
      <w:lang w:val="en-US" w:eastAsia="zh-CN" w:bidi="ar-SA"/>
    </w:rPr>
  </w:style>
  <w:style w:type="character" w:customStyle="1" w:styleId="40">
    <w:name w:val="未处理的提及1"/>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emf"/><Relationship Id="rId23" Type="http://schemas.openxmlformats.org/officeDocument/2006/relationships/image" Target="media/image7.emf"/><Relationship Id="rId22" Type="http://schemas.openxmlformats.org/officeDocument/2006/relationships/image" Target="media/image6.emf"/><Relationship Id="rId21" Type="http://schemas.openxmlformats.org/officeDocument/2006/relationships/image" Target="media/image5.emf"/><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207</Pages>
  <Words>57749</Words>
  <Characters>65834</Characters>
  <Lines>5984</Lines>
  <Paragraphs>5149</Paragraphs>
  <TotalTime>0</TotalTime>
  <ScaleCrop>false</ScaleCrop>
  <LinksUpToDate>false</LinksUpToDate>
  <CharactersWithSpaces>118434</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2025-12-18T03:21:00Z</dcterms:created>
  <dc:creator>Sunshine</dc:creator>
  <cp:lastModifiedBy>uos</cp:lastModifiedBy>
  <dcterms:modified xsi:type="dcterms:W3CDTF">2026-04-16T14:31:17Z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8C53BFB2E11C4C498F47683E1A49231F_13</vt:lpwstr>
  </property>
  <property fmtid="{D5CDD505-2E9C-101B-9397-08002B2CF9AE}" pid="4" name="KSOTemplateDocerSaveRecord">
    <vt:lpwstr>eyJoZGlkIjoiMzEwNTM5NzYwMDRjMzkwZTVkZjY2ODkwMGIxNGU0OTUiLCJ1c2VySWQiOiIzMTYzMTgzMjcifQ==</vt:lpwstr>
  </property>
</Properties>
</file>