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FC85825">
      <w:pPr>
        <w:jc w:val="center"/>
        <w:rPr>
          <w:rFonts w:hint="eastAsia" w:ascii="仿宋" w:hAnsi="仿宋" w:eastAsia="仿宋"/>
          <w:sz w:val="28"/>
          <w:szCs w:val="28"/>
        </w:rPr>
      </w:pPr>
      <w:bookmarkStart w:id="0" w:name="_Hlk184450216"/>
      <w:bookmarkEnd w:id="0"/>
    </w:p>
    <w:p w14:paraId="633F7EB8">
      <w:pPr>
        <w:jc w:val="center"/>
        <w:rPr>
          <w:rFonts w:hint="eastAsia" w:ascii="仿宋" w:hAnsi="仿宋" w:eastAsia="仿宋"/>
          <w:sz w:val="28"/>
          <w:szCs w:val="28"/>
        </w:rPr>
      </w:pPr>
    </w:p>
    <w:p w14:paraId="2594EFA3">
      <w:pPr>
        <w:jc w:val="center"/>
        <w:rPr>
          <w:rFonts w:hint="eastAsia" w:ascii="仿宋" w:hAnsi="仿宋" w:eastAsia="仿宋"/>
          <w:sz w:val="28"/>
          <w:szCs w:val="28"/>
        </w:rPr>
      </w:pPr>
    </w:p>
    <w:p w14:paraId="1914E367">
      <w:pPr>
        <w:jc w:val="center"/>
        <w:rPr>
          <w:rFonts w:hint="eastAsia" w:ascii="仿宋" w:hAnsi="仿宋" w:eastAsia="仿宋"/>
          <w:sz w:val="28"/>
          <w:szCs w:val="28"/>
        </w:rPr>
      </w:pPr>
    </w:p>
    <w:p w14:paraId="11082C09">
      <w:pPr>
        <w:jc w:val="center"/>
        <w:rPr>
          <w:rFonts w:hint="eastAsia" w:ascii="仿宋" w:hAnsi="仿宋" w:eastAsia="仿宋"/>
          <w:sz w:val="28"/>
          <w:szCs w:val="28"/>
        </w:rPr>
      </w:pPr>
    </w:p>
    <w:p w14:paraId="7EFDA796">
      <w:pPr>
        <w:jc w:val="center"/>
        <w:rPr>
          <w:rFonts w:hint="eastAsia" w:ascii="仿宋" w:hAnsi="仿宋" w:eastAsia="仿宋"/>
          <w:b/>
          <w:bCs/>
          <w:sz w:val="48"/>
          <w:szCs w:val="48"/>
          <w:lang w:eastAsia="zh-CN"/>
        </w:rPr>
      </w:pPr>
      <w:r>
        <w:rPr>
          <w:rFonts w:hint="eastAsia" w:ascii="仿宋" w:hAnsi="仿宋" w:eastAsia="仿宋"/>
          <w:b/>
          <w:bCs/>
          <w:sz w:val="48"/>
          <w:szCs w:val="48"/>
        </w:rPr>
        <w:t>新版</w:t>
      </w:r>
      <w:r>
        <w:rPr>
          <w:rFonts w:hint="eastAsia" w:ascii="仿宋" w:hAnsi="仿宋" w:eastAsia="仿宋"/>
          <w:b/>
          <w:bCs/>
          <w:sz w:val="48"/>
          <w:szCs w:val="48"/>
          <w:lang w:eastAsia="zh-CN"/>
        </w:rPr>
        <w:t>全国发行单位年度核验系统</w:t>
      </w:r>
    </w:p>
    <w:p w14:paraId="5F9154F8">
      <w:pPr>
        <w:jc w:val="center"/>
        <w:rPr>
          <w:rFonts w:hint="eastAsia" w:ascii="仿宋" w:hAnsi="仿宋" w:eastAsia="仿宋"/>
          <w:b/>
          <w:bCs/>
          <w:sz w:val="48"/>
          <w:szCs w:val="48"/>
        </w:rPr>
      </w:pPr>
      <w:r>
        <w:rPr>
          <w:rFonts w:hint="eastAsia" w:ascii="仿宋" w:hAnsi="仿宋" w:eastAsia="仿宋"/>
          <w:b/>
          <w:bCs/>
          <w:sz w:val="48"/>
          <w:szCs w:val="48"/>
        </w:rPr>
        <w:t>操作手册（发行单位）</w:t>
      </w:r>
    </w:p>
    <w:p w14:paraId="004589F9">
      <w:pPr>
        <w:rPr>
          <w:rFonts w:hint="eastAsia" w:ascii="仿宋" w:hAnsi="仿宋" w:eastAsia="仿宋"/>
          <w:sz w:val="28"/>
          <w:szCs w:val="28"/>
        </w:rPr>
      </w:pPr>
    </w:p>
    <w:p w14:paraId="1C19248D">
      <w:pPr>
        <w:rPr>
          <w:rFonts w:hint="eastAsia" w:ascii="仿宋" w:hAnsi="仿宋" w:eastAsia="仿宋"/>
          <w:sz w:val="28"/>
          <w:szCs w:val="28"/>
        </w:rPr>
      </w:pPr>
    </w:p>
    <w:p w14:paraId="6184F294">
      <w:pPr>
        <w:rPr>
          <w:rFonts w:hint="eastAsia" w:ascii="仿宋" w:hAnsi="仿宋" w:eastAsia="仿宋"/>
          <w:sz w:val="28"/>
          <w:szCs w:val="28"/>
        </w:rPr>
      </w:pPr>
    </w:p>
    <w:p w14:paraId="35E5C8B5">
      <w:pPr>
        <w:rPr>
          <w:rFonts w:hint="eastAsia" w:ascii="仿宋" w:hAnsi="仿宋" w:eastAsia="仿宋"/>
          <w:sz w:val="28"/>
          <w:szCs w:val="28"/>
        </w:rPr>
      </w:pPr>
    </w:p>
    <w:p w14:paraId="0C67EC4B">
      <w:pPr>
        <w:rPr>
          <w:rFonts w:hint="eastAsia" w:ascii="仿宋" w:hAnsi="仿宋" w:eastAsia="仿宋"/>
          <w:sz w:val="28"/>
          <w:szCs w:val="28"/>
        </w:rPr>
      </w:pPr>
    </w:p>
    <w:p w14:paraId="4831ED63">
      <w:pPr>
        <w:rPr>
          <w:rFonts w:hint="eastAsia" w:ascii="仿宋" w:hAnsi="仿宋" w:eastAsia="仿宋"/>
          <w:sz w:val="28"/>
          <w:szCs w:val="28"/>
        </w:rPr>
      </w:pPr>
    </w:p>
    <w:p w14:paraId="7D27F1F1">
      <w:pPr>
        <w:rPr>
          <w:rFonts w:hint="eastAsia" w:ascii="仿宋" w:hAnsi="仿宋" w:eastAsia="仿宋"/>
          <w:sz w:val="28"/>
          <w:szCs w:val="28"/>
        </w:rPr>
      </w:pPr>
      <w:bookmarkStart w:id="29" w:name="_GoBack"/>
      <w:bookmarkEnd w:id="29"/>
    </w:p>
    <w:p w14:paraId="544A5BD8">
      <w:pPr>
        <w:rPr>
          <w:rFonts w:hint="eastAsia" w:ascii="仿宋" w:hAnsi="仿宋" w:eastAsia="仿宋"/>
          <w:sz w:val="28"/>
          <w:szCs w:val="28"/>
        </w:rPr>
      </w:pPr>
    </w:p>
    <w:p w14:paraId="3B11BA12">
      <w:pPr>
        <w:rPr>
          <w:rFonts w:hint="eastAsia" w:ascii="仿宋" w:hAnsi="仿宋" w:eastAsia="仿宋"/>
          <w:sz w:val="28"/>
          <w:szCs w:val="28"/>
        </w:rPr>
      </w:pPr>
    </w:p>
    <w:p w14:paraId="1DE9E067">
      <w:pPr>
        <w:rPr>
          <w:rFonts w:hint="eastAsia" w:ascii="仿宋" w:hAnsi="仿宋" w:eastAsia="仿宋"/>
          <w:sz w:val="28"/>
          <w:szCs w:val="28"/>
        </w:rPr>
      </w:pPr>
    </w:p>
    <w:p w14:paraId="6E9EB12C">
      <w:pPr>
        <w:rPr>
          <w:rFonts w:hint="eastAsia" w:ascii="仿宋" w:hAnsi="仿宋" w:eastAsia="仿宋"/>
          <w:sz w:val="28"/>
          <w:szCs w:val="28"/>
        </w:rPr>
      </w:pPr>
    </w:p>
    <w:p w14:paraId="3B1D32E2">
      <w:pPr>
        <w:rPr>
          <w:rFonts w:hint="eastAsia" w:ascii="仿宋" w:hAnsi="仿宋" w:eastAsia="仿宋"/>
          <w:sz w:val="28"/>
          <w:szCs w:val="28"/>
        </w:rPr>
      </w:pPr>
    </w:p>
    <w:p w14:paraId="6B246606">
      <w:pPr>
        <w:jc w:val="center"/>
        <w:rPr>
          <w:rFonts w:hint="eastAsia" w:ascii="华文中宋" w:hAnsi="华文中宋" w:eastAsia="华文中宋"/>
          <w:b/>
          <w:bCs/>
          <w:sz w:val="28"/>
          <w:szCs w:val="28"/>
        </w:rPr>
      </w:pPr>
      <w:r>
        <w:rPr>
          <w:rFonts w:hint="eastAsia" w:ascii="华文中宋" w:hAnsi="华文中宋" w:eastAsia="华文中宋"/>
          <w:b/>
          <w:bCs/>
          <w:sz w:val="28"/>
          <w:szCs w:val="28"/>
        </w:rPr>
        <w:t>联通数字科技有限公司</w:t>
      </w:r>
    </w:p>
    <w:p w14:paraId="73545FC4">
      <w:pPr>
        <w:jc w:val="center"/>
        <w:rPr>
          <w:rFonts w:hint="eastAsia" w:ascii="华文中宋" w:hAnsi="华文中宋" w:eastAsia="华文中宋"/>
          <w:b/>
          <w:bCs/>
          <w:sz w:val="28"/>
          <w:szCs w:val="28"/>
        </w:rPr>
      </w:pPr>
      <w:r>
        <w:rPr>
          <w:rFonts w:hint="eastAsia" w:ascii="华文中宋" w:hAnsi="华文中宋" w:eastAsia="华文中宋"/>
          <w:b/>
          <w:bCs/>
          <w:sz w:val="28"/>
          <w:szCs w:val="28"/>
        </w:rPr>
        <w:t>2024年12月</w:t>
      </w:r>
    </w:p>
    <w:p w14:paraId="37B55E11"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br w:type="page"/>
      </w:r>
    </w:p>
    <w:sdt>
      <w:sdtPr>
        <w:rPr>
          <w:rFonts w:hint="eastAsia" w:ascii="仿宋" w:hAnsi="仿宋" w:eastAsia="仿宋" w:cs="仿宋"/>
          <w:color w:val="auto"/>
          <w:kern w:val="2"/>
          <w:sz w:val="52"/>
          <w:szCs w:val="52"/>
          <w:lang w:val="zh-CN"/>
        </w:rPr>
        <w:id w:val="487532704"/>
        <w:docPartObj>
          <w:docPartGallery w:val="Table of Contents"/>
          <w:docPartUnique/>
        </w:docPartObj>
      </w:sdtPr>
      <w:sdtEndPr>
        <w:rPr>
          <w:rFonts w:hint="eastAsia" w:ascii="仿宋" w:hAnsi="仿宋" w:eastAsia="仿宋" w:cstheme="minorBidi"/>
          <w:b/>
          <w:bCs/>
          <w:color w:val="auto"/>
          <w:kern w:val="2"/>
          <w:sz w:val="21"/>
          <w:szCs w:val="24"/>
          <w:lang w:val="zh-CN"/>
        </w:rPr>
      </w:sdtEndPr>
      <w:sdtContent>
        <w:p w14:paraId="4E0AA57B">
          <w:pPr>
            <w:pStyle w:val="16"/>
            <w:jc w:val="center"/>
            <w:rPr>
              <w:rFonts w:hint="eastAsia" w:ascii="仿宋" w:hAnsi="仿宋" w:eastAsia="仿宋" w:cs="仿宋"/>
              <w:b/>
              <w:bCs/>
              <w:color w:val="auto"/>
              <w:sz w:val="52"/>
              <w:szCs w:val="52"/>
            </w:rPr>
          </w:pPr>
          <w:r>
            <w:rPr>
              <w:rFonts w:hint="eastAsia" w:ascii="仿宋" w:hAnsi="仿宋" w:eastAsia="仿宋" w:cs="仿宋"/>
              <w:b/>
              <w:bCs/>
              <w:color w:val="auto"/>
              <w:sz w:val="52"/>
              <w:szCs w:val="52"/>
              <w:lang w:val="zh-CN"/>
            </w:rPr>
            <w:t>目录</w:t>
          </w:r>
        </w:p>
        <w:p w14:paraId="75F3662A">
          <w:pPr>
            <w:pStyle w:val="6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630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36" w:lineRule="auto"/>
            <w:textAlignment w:val="auto"/>
            <w:rPr>
              <w:rFonts w:hint="eastAsia" w:ascii="仿宋" w:hAnsi="仿宋" w:eastAsia="仿宋" w:cs="仿宋"/>
              <w:sz w:val="24"/>
              <w:szCs w:val="24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4"/>
              <w:szCs w:val="24"/>
            </w:rPr>
            <w:instrText xml:space="preserve"> HYPERLINK \l _Toc1853 </w:instrTex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4"/>
              <w:szCs w:val="24"/>
            </w:rPr>
            <w:t>1. 系统说明</w:t>
          </w:r>
          <w:r>
            <w:rPr>
              <w:rFonts w:hint="eastAsia" w:ascii="仿宋" w:hAnsi="仿宋" w:eastAsia="仿宋" w:cs="仿宋"/>
              <w:sz w:val="24"/>
              <w:szCs w:val="24"/>
            </w:rPr>
            <w:tab/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4"/>
              <w:szCs w:val="24"/>
            </w:rPr>
            <w:instrText xml:space="preserve"> PAGEREF _Toc1853 \h </w:instrTex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sz w:val="24"/>
              <w:szCs w:val="24"/>
            </w:rPr>
            <w:t>4</w: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end"/>
          </w:r>
        </w:p>
        <w:p w14:paraId="702E8350">
          <w:pPr>
            <w:pStyle w:val="6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630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36" w:lineRule="auto"/>
            <w:textAlignment w:val="auto"/>
            <w:rPr>
              <w:rFonts w:hint="eastAsia" w:ascii="仿宋" w:hAnsi="仿宋" w:eastAsia="仿宋" w:cs="仿宋"/>
              <w:sz w:val="24"/>
              <w:szCs w:val="24"/>
            </w:rPr>
          </w:pP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instrText xml:space="preserve"> HYPERLINK \l _Toc24449 </w:instrText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en-US"/>
            </w:rPr>
            <w:t xml:space="preserve">2. </w:t>
          </w:r>
          <w:r>
            <w:rPr>
              <w:rFonts w:hint="eastAsia" w:ascii="仿宋" w:hAnsi="仿宋" w:eastAsia="仿宋" w:cs="仿宋"/>
              <w:bCs/>
              <w:sz w:val="24"/>
              <w:szCs w:val="24"/>
            </w:rPr>
            <w:t>系统</w:t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en-US" w:eastAsia="zh-CN"/>
            </w:rPr>
            <w:t>流程</w:t>
          </w:r>
          <w:r>
            <w:rPr>
              <w:rFonts w:hint="eastAsia" w:ascii="仿宋" w:hAnsi="仿宋" w:eastAsia="仿宋" w:cs="仿宋"/>
              <w:sz w:val="24"/>
              <w:szCs w:val="24"/>
            </w:rPr>
            <w:tab/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4"/>
              <w:szCs w:val="24"/>
            </w:rPr>
            <w:instrText xml:space="preserve"> PAGEREF _Toc24449 \h </w:instrTex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sz w:val="24"/>
              <w:szCs w:val="24"/>
            </w:rPr>
            <w:t>4</w: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end"/>
          </w:r>
        </w:p>
        <w:p w14:paraId="2CC3E428">
          <w:pPr>
            <w:pStyle w:val="7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1260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36" w:lineRule="auto"/>
            <w:textAlignment w:val="auto"/>
            <w:rPr>
              <w:rFonts w:hint="eastAsia" w:ascii="仿宋" w:hAnsi="仿宋" w:eastAsia="仿宋" w:cs="仿宋"/>
              <w:sz w:val="24"/>
              <w:szCs w:val="24"/>
            </w:rPr>
          </w:pP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instrText xml:space="preserve"> HYPERLINK \l _Toc16817 </w:instrText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4"/>
              <w:szCs w:val="24"/>
            </w:rPr>
            <w:t xml:space="preserve">2.1. </w:t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en-US" w:eastAsia="zh-CN"/>
            </w:rPr>
            <w:t>非年检期审核流程</w:t>
          </w:r>
          <w:r>
            <w:rPr>
              <w:rFonts w:hint="eastAsia" w:ascii="仿宋" w:hAnsi="仿宋" w:eastAsia="仿宋" w:cs="仿宋"/>
              <w:sz w:val="24"/>
              <w:szCs w:val="24"/>
            </w:rPr>
            <w:tab/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4"/>
              <w:szCs w:val="24"/>
            </w:rPr>
            <w:instrText xml:space="preserve"> PAGEREF _Toc16817 \h </w:instrTex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sz w:val="24"/>
              <w:szCs w:val="24"/>
            </w:rPr>
            <w:t>5</w: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end"/>
          </w:r>
        </w:p>
        <w:p w14:paraId="2E870390">
          <w:pPr>
            <w:pStyle w:val="7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1260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36" w:lineRule="auto"/>
            <w:textAlignment w:val="auto"/>
            <w:rPr>
              <w:rFonts w:hint="eastAsia" w:ascii="仿宋" w:hAnsi="仿宋" w:eastAsia="仿宋" w:cs="仿宋"/>
              <w:sz w:val="24"/>
              <w:szCs w:val="24"/>
            </w:rPr>
          </w:pP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instrText xml:space="preserve"> HYPERLINK \l _Toc281 </w:instrText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4"/>
              <w:szCs w:val="24"/>
            </w:rPr>
            <w:t xml:space="preserve">2.2. </w:t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en-US" w:eastAsia="zh-CN"/>
            </w:rPr>
            <w:t>年检期审核流程</w:t>
          </w:r>
          <w:r>
            <w:rPr>
              <w:rFonts w:hint="eastAsia" w:ascii="仿宋" w:hAnsi="仿宋" w:eastAsia="仿宋" w:cs="仿宋"/>
              <w:sz w:val="24"/>
              <w:szCs w:val="24"/>
            </w:rPr>
            <w:tab/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4"/>
              <w:szCs w:val="24"/>
            </w:rPr>
            <w:instrText xml:space="preserve"> PAGEREF _Toc281 \h </w:instrTex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sz w:val="24"/>
              <w:szCs w:val="24"/>
            </w:rPr>
            <w:t>5</w: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end"/>
          </w:r>
        </w:p>
        <w:p w14:paraId="65673007">
          <w:pPr>
            <w:pStyle w:val="6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630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36" w:lineRule="auto"/>
            <w:textAlignment w:val="auto"/>
            <w:rPr>
              <w:rFonts w:hint="eastAsia" w:ascii="仿宋" w:hAnsi="仿宋" w:eastAsia="仿宋" w:cs="仿宋"/>
              <w:sz w:val="24"/>
              <w:szCs w:val="24"/>
            </w:rPr>
          </w:pP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instrText xml:space="preserve"> HYPERLINK \l _Toc23589 </w:instrText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4"/>
              <w:szCs w:val="24"/>
            </w:rPr>
            <w:t>3. 宣传文化政务服务平台用户注册</w:t>
          </w:r>
          <w:r>
            <w:rPr>
              <w:rFonts w:hint="eastAsia" w:ascii="仿宋" w:hAnsi="仿宋" w:eastAsia="仿宋" w:cs="仿宋"/>
              <w:sz w:val="24"/>
              <w:szCs w:val="24"/>
            </w:rPr>
            <w:tab/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4"/>
              <w:szCs w:val="24"/>
            </w:rPr>
            <w:instrText xml:space="preserve"> PAGEREF _Toc23589 \h </w:instrTex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sz w:val="24"/>
              <w:szCs w:val="24"/>
            </w:rPr>
            <w:t>6</w: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end"/>
          </w:r>
        </w:p>
        <w:p w14:paraId="283C6127">
          <w:pPr>
            <w:pStyle w:val="7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1260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36" w:lineRule="auto"/>
            <w:textAlignment w:val="auto"/>
            <w:rPr>
              <w:rFonts w:hint="eastAsia" w:ascii="仿宋" w:hAnsi="仿宋" w:eastAsia="仿宋" w:cs="仿宋"/>
              <w:sz w:val="24"/>
              <w:szCs w:val="24"/>
            </w:rPr>
          </w:pP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instrText xml:space="preserve"> HYPERLINK \l _Toc23972 </w:instrText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4"/>
              <w:szCs w:val="24"/>
            </w:rPr>
            <w:t>3.1. 平台访问路径</w:t>
          </w:r>
          <w:r>
            <w:rPr>
              <w:rFonts w:hint="eastAsia" w:ascii="仿宋" w:hAnsi="仿宋" w:eastAsia="仿宋" w:cs="仿宋"/>
              <w:sz w:val="24"/>
              <w:szCs w:val="24"/>
            </w:rPr>
            <w:tab/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4"/>
              <w:szCs w:val="24"/>
            </w:rPr>
            <w:instrText xml:space="preserve"> PAGEREF _Toc23972 \h </w:instrTex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sz w:val="24"/>
              <w:szCs w:val="24"/>
            </w:rPr>
            <w:t>6</w: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end"/>
          </w:r>
        </w:p>
        <w:p w14:paraId="2124CB4E">
          <w:pPr>
            <w:pStyle w:val="7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1260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36" w:lineRule="auto"/>
            <w:textAlignment w:val="auto"/>
            <w:rPr>
              <w:rFonts w:hint="eastAsia" w:ascii="仿宋" w:hAnsi="仿宋" w:eastAsia="仿宋" w:cs="仿宋"/>
              <w:sz w:val="24"/>
              <w:szCs w:val="24"/>
            </w:rPr>
          </w:pP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instrText xml:space="preserve"> HYPERLINK \l _Toc17907 </w:instrText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4"/>
              <w:szCs w:val="24"/>
            </w:rPr>
            <w:t>3.2. 用户注册</w:t>
          </w:r>
          <w:r>
            <w:rPr>
              <w:rFonts w:hint="eastAsia" w:ascii="仿宋" w:hAnsi="仿宋" w:eastAsia="仿宋" w:cs="仿宋"/>
              <w:sz w:val="24"/>
              <w:szCs w:val="24"/>
            </w:rPr>
            <w:tab/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4"/>
              <w:szCs w:val="24"/>
            </w:rPr>
            <w:instrText xml:space="preserve"> PAGEREF _Toc17907 \h </w:instrTex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sz w:val="24"/>
              <w:szCs w:val="24"/>
            </w:rPr>
            <w:t>7</w: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end"/>
          </w:r>
        </w:p>
        <w:p w14:paraId="029040D2">
          <w:pPr>
            <w:pStyle w:val="3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1680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36" w:lineRule="auto"/>
            <w:textAlignment w:val="auto"/>
            <w:rPr>
              <w:rFonts w:hint="eastAsia" w:ascii="仿宋" w:hAnsi="仿宋" w:eastAsia="仿宋" w:cs="仿宋"/>
              <w:sz w:val="24"/>
              <w:szCs w:val="24"/>
            </w:rPr>
          </w:pP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instrText xml:space="preserve"> HYPERLINK \l _Toc6291 </w:instrText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4"/>
              <w:szCs w:val="24"/>
            </w:rPr>
            <w:t>3.2.1. 企业/社团/机关事业单位/个体工商户法人注册</w:t>
          </w:r>
          <w:r>
            <w:rPr>
              <w:rFonts w:hint="eastAsia" w:ascii="仿宋" w:hAnsi="仿宋" w:eastAsia="仿宋" w:cs="仿宋"/>
              <w:sz w:val="24"/>
              <w:szCs w:val="24"/>
            </w:rPr>
            <w:tab/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4"/>
              <w:szCs w:val="24"/>
            </w:rPr>
            <w:instrText xml:space="preserve"> PAGEREF _Toc6291 \h </w:instrTex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sz w:val="24"/>
              <w:szCs w:val="24"/>
            </w:rPr>
            <w:t>8</w: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end"/>
          </w:r>
        </w:p>
        <w:p w14:paraId="6D09E99C">
          <w:pPr>
            <w:pStyle w:val="3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1680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36" w:lineRule="auto"/>
            <w:textAlignment w:val="auto"/>
            <w:rPr>
              <w:rFonts w:hint="eastAsia" w:ascii="仿宋" w:hAnsi="仿宋" w:eastAsia="仿宋" w:cs="仿宋"/>
              <w:sz w:val="24"/>
              <w:szCs w:val="24"/>
            </w:rPr>
          </w:pP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instrText xml:space="preserve"> HYPERLINK \l _Toc18493 </w:instrText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4"/>
              <w:szCs w:val="24"/>
            </w:rPr>
            <w:t>3.2.2. 非法人编辑部注册</w:t>
          </w:r>
          <w:r>
            <w:rPr>
              <w:rFonts w:hint="eastAsia" w:ascii="仿宋" w:hAnsi="仿宋" w:eastAsia="仿宋" w:cs="仿宋"/>
              <w:sz w:val="24"/>
              <w:szCs w:val="24"/>
            </w:rPr>
            <w:tab/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4"/>
              <w:szCs w:val="24"/>
            </w:rPr>
            <w:instrText xml:space="preserve"> PAGEREF _Toc18493 \h </w:instrTex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sz w:val="24"/>
              <w:szCs w:val="24"/>
            </w:rPr>
            <w:t>10</w: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end"/>
          </w:r>
        </w:p>
        <w:p w14:paraId="6FA7E2AB">
          <w:pPr>
            <w:pStyle w:val="3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1680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36" w:lineRule="auto"/>
            <w:textAlignment w:val="auto"/>
            <w:rPr>
              <w:rFonts w:hint="eastAsia" w:ascii="仿宋" w:hAnsi="仿宋" w:eastAsia="仿宋" w:cs="仿宋"/>
              <w:sz w:val="24"/>
              <w:szCs w:val="24"/>
            </w:rPr>
          </w:pP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instrText xml:space="preserve"> HYPERLINK \l _Toc9233 </w:instrText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4"/>
              <w:szCs w:val="24"/>
            </w:rPr>
            <w:t>3.2.3. 创建经办人</w:t>
          </w:r>
          <w:r>
            <w:rPr>
              <w:rFonts w:hint="eastAsia" w:ascii="仿宋" w:hAnsi="仿宋" w:eastAsia="仿宋" w:cs="仿宋"/>
              <w:sz w:val="24"/>
              <w:szCs w:val="24"/>
            </w:rPr>
            <w:tab/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4"/>
              <w:szCs w:val="24"/>
            </w:rPr>
            <w:instrText xml:space="preserve"> PAGEREF _Toc9233 \h </w:instrTex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sz w:val="24"/>
              <w:szCs w:val="24"/>
            </w:rPr>
            <w:t>11</w: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end"/>
          </w:r>
        </w:p>
        <w:p w14:paraId="444E19E9">
          <w:pPr>
            <w:pStyle w:val="7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1260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36" w:lineRule="auto"/>
            <w:textAlignment w:val="auto"/>
            <w:rPr>
              <w:rFonts w:hint="eastAsia" w:ascii="仿宋" w:hAnsi="仿宋" w:eastAsia="仿宋" w:cs="仿宋"/>
              <w:sz w:val="24"/>
              <w:szCs w:val="24"/>
            </w:rPr>
          </w:pP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instrText xml:space="preserve"> HYPERLINK \l _Toc27596 </w:instrText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4"/>
              <w:szCs w:val="24"/>
            </w:rPr>
            <w:t>3.3. 平台登录</w:t>
          </w:r>
          <w:r>
            <w:rPr>
              <w:rFonts w:hint="eastAsia" w:ascii="仿宋" w:hAnsi="仿宋" w:eastAsia="仿宋" w:cs="仿宋"/>
              <w:sz w:val="24"/>
              <w:szCs w:val="24"/>
            </w:rPr>
            <w:tab/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4"/>
              <w:szCs w:val="24"/>
            </w:rPr>
            <w:instrText xml:space="preserve"> PAGEREF _Toc27596 \h </w:instrTex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sz w:val="24"/>
              <w:szCs w:val="24"/>
            </w:rPr>
            <w:t>12</w: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end"/>
          </w:r>
        </w:p>
        <w:p w14:paraId="494150AD">
          <w:pPr>
            <w:pStyle w:val="6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630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36" w:lineRule="auto"/>
            <w:textAlignment w:val="auto"/>
            <w:rPr>
              <w:rFonts w:hint="eastAsia" w:ascii="仿宋" w:hAnsi="仿宋" w:eastAsia="仿宋" w:cs="仿宋"/>
              <w:sz w:val="24"/>
              <w:szCs w:val="24"/>
            </w:rPr>
          </w:pP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instrText xml:space="preserve"> HYPERLINK \l _Toc28649 </w:instrText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4"/>
              <w:szCs w:val="24"/>
            </w:rPr>
            <w:t>4. 年检信息填报</w:t>
          </w:r>
          <w:r>
            <w:rPr>
              <w:rFonts w:hint="eastAsia" w:ascii="仿宋" w:hAnsi="仿宋" w:eastAsia="仿宋" w:cs="仿宋"/>
              <w:sz w:val="24"/>
              <w:szCs w:val="24"/>
            </w:rPr>
            <w:tab/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4"/>
              <w:szCs w:val="24"/>
            </w:rPr>
            <w:instrText xml:space="preserve"> PAGEREF _Toc28649 \h </w:instrTex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sz w:val="24"/>
              <w:szCs w:val="24"/>
            </w:rPr>
            <w:t>13</w: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end"/>
          </w:r>
        </w:p>
        <w:p w14:paraId="33E33E03">
          <w:pPr>
            <w:pStyle w:val="7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1260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36" w:lineRule="auto"/>
            <w:textAlignment w:val="auto"/>
            <w:rPr>
              <w:rFonts w:hint="eastAsia" w:ascii="仿宋" w:hAnsi="仿宋" w:eastAsia="仿宋" w:cs="仿宋"/>
              <w:sz w:val="24"/>
              <w:szCs w:val="24"/>
            </w:rPr>
          </w:pP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instrText xml:space="preserve"> HYPERLINK \l _Toc19163 </w:instrText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4"/>
              <w:szCs w:val="24"/>
            </w:rPr>
            <w:t>4.1. 系统入口</w:t>
          </w:r>
          <w:r>
            <w:rPr>
              <w:rFonts w:hint="eastAsia" w:ascii="仿宋" w:hAnsi="仿宋" w:eastAsia="仿宋" w:cs="仿宋"/>
              <w:sz w:val="24"/>
              <w:szCs w:val="24"/>
            </w:rPr>
            <w:tab/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4"/>
              <w:szCs w:val="24"/>
            </w:rPr>
            <w:instrText xml:space="preserve"> PAGEREF _Toc19163 \h </w:instrTex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sz w:val="24"/>
              <w:szCs w:val="24"/>
            </w:rPr>
            <w:t>13</w: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end"/>
          </w:r>
        </w:p>
        <w:p w14:paraId="126B5965">
          <w:pPr>
            <w:pStyle w:val="7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1260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36" w:lineRule="auto"/>
            <w:textAlignment w:val="auto"/>
            <w:rPr>
              <w:rFonts w:hint="eastAsia" w:ascii="仿宋" w:hAnsi="仿宋" w:eastAsia="仿宋" w:cs="仿宋"/>
              <w:sz w:val="24"/>
              <w:szCs w:val="24"/>
            </w:rPr>
          </w:pP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instrText xml:space="preserve"> HYPERLINK \l _Toc22676 </w:instrText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4"/>
              <w:szCs w:val="24"/>
            </w:rPr>
            <w:t>4.2. 信息填报</w:t>
          </w:r>
          <w:r>
            <w:rPr>
              <w:rFonts w:hint="eastAsia" w:ascii="仿宋" w:hAnsi="仿宋" w:eastAsia="仿宋" w:cs="仿宋"/>
              <w:sz w:val="24"/>
              <w:szCs w:val="24"/>
            </w:rPr>
            <w:tab/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4"/>
              <w:szCs w:val="24"/>
            </w:rPr>
            <w:instrText xml:space="preserve"> PAGEREF _Toc22676 \h </w:instrTex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sz w:val="24"/>
              <w:szCs w:val="24"/>
            </w:rPr>
            <w:t>14</w: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end"/>
          </w:r>
        </w:p>
        <w:p w14:paraId="6CBFDD7F">
          <w:pPr>
            <w:pStyle w:val="3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1680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36" w:lineRule="auto"/>
            <w:textAlignment w:val="auto"/>
            <w:rPr>
              <w:rFonts w:hint="eastAsia" w:ascii="仿宋" w:hAnsi="仿宋" w:eastAsia="仿宋" w:cs="仿宋"/>
              <w:sz w:val="24"/>
              <w:szCs w:val="24"/>
            </w:rPr>
          </w:pP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instrText xml:space="preserve"> HYPERLINK \l _Toc5735 </w:instrText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4"/>
              <w:szCs w:val="24"/>
            </w:rPr>
            <w:t>4.2.1. 基本信息和企业信息填报</w:t>
          </w:r>
          <w:r>
            <w:rPr>
              <w:rFonts w:hint="eastAsia" w:ascii="仿宋" w:hAnsi="仿宋" w:eastAsia="仿宋" w:cs="仿宋"/>
              <w:sz w:val="24"/>
              <w:szCs w:val="24"/>
            </w:rPr>
            <w:tab/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4"/>
              <w:szCs w:val="24"/>
            </w:rPr>
            <w:instrText xml:space="preserve"> PAGEREF _Toc5735 \h </w:instrTex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sz w:val="24"/>
              <w:szCs w:val="24"/>
            </w:rPr>
            <w:t>14</w: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end"/>
          </w:r>
        </w:p>
        <w:p w14:paraId="01FEA10C">
          <w:pPr>
            <w:pStyle w:val="3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1680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36" w:lineRule="auto"/>
            <w:textAlignment w:val="auto"/>
            <w:rPr>
              <w:rFonts w:hint="eastAsia" w:ascii="仿宋" w:hAnsi="仿宋" w:eastAsia="仿宋" w:cs="仿宋"/>
              <w:sz w:val="24"/>
              <w:szCs w:val="24"/>
            </w:rPr>
          </w:pP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instrText xml:space="preserve"> HYPERLINK \l _Toc8167 </w:instrText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4"/>
              <w:szCs w:val="24"/>
            </w:rPr>
            <w:t>4.2.2. 发行单位年度核验登记表填报</w:t>
          </w:r>
          <w:r>
            <w:rPr>
              <w:rFonts w:hint="eastAsia" w:ascii="仿宋" w:hAnsi="仿宋" w:eastAsia="仿宋" w:cs="仿宋"/>
              <w:sz w:val="24"/>
              <w:szCs w:val="24"/>
            </w:rPr>
            <w:tab/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4"/>
              <w:szCs w:val="24"/>
            </w:rPr>
            <w:instrText xml:space="preserve"> PAGEREF _Toc8167 \h </w:instrTex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sz w:val="24"/>
              <w:szCs w:val="24"/>
            </w:rPr>
            <w:t>15</w: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end"/>
          </w:r>
        </w:p>
        <w:p w14:paraId="6AA688E6">
          <w:pPr>
            <w:pStyle w:val="7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1260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36" w:lineRule="auto"/>
            <w:textAlignment w:val="auto"/>
            <w:rPr>
              <w:rFonts w:hint="eastAsia" w:ascii="仿宋" w:hAnsi="仿宋" w:eastAsia="仿宋" w:cs="仿宋"/>
              <w:sz w:val="24"/>
              <w:szCs w:val="24"/>
            </w:rPr>
          </w:pP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instrText xml:space="preserve"> HYPERLINK \l _Toc4783 </w:instrText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4"/>
              <w:szCs w:val="24"/>
            </w:rPr>
            <w:t>4.3. 填报状态查询</w:t>
          </w:r>
          <w:r>
            <w:rPr>
              <w:rFonts w:hint="eastAsia" w:ascii="仿宋" w:hAnsi="仿宋" w:eastAsia="仿宋" w:cs="仿宋"/>
              <w:sz w:val="24"/>
              <w:szCs w:val="24"/>
            </w:rPr>
            <w:tab/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4"/>
              <w:szCs w:val="24"/>
            </w:rPr>
            <w:instrText xml:space="preserve"> PAGEREF _Toc4783 \h </w:instrTex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sz w:val="24"/>
              <w:szCs w:val="24"/>
            </w:rPr>
            <w:t>19</w: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end"/>
          </w:r>
        </w:p>
        <w:p w14:paraId="60866006">
          <w:pPr>
            <w:pStyle w:val="7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1260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36" w:lineRule="auto"/>
            <w:textAlignment w:val="auto"/>
            <w:rPr>
              <w:rFonts w:hint="eastAsia" w:ascii="仿宋" w:hAnsi="仿宋" w:eastAsia="仿宋" w:cs="仿宋"/>
              <w:sz w:val="24"/>
              <w:szCs w:val="24"/>
            </w:rPr>
          </w:pP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instrText xml:space="preserve"> HYPERLINK \l _Toc17392 </w:instrText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4"/>
              <w:szCs w:val="24"/>
            </w:rPr>
            <w:t>4.4. 登记表打印</w:t>
          </w:r>
          <w:r>
            <w:rPr>
              <w:rFonts w:hint="eastAsia" w:ascii="仿宋" w:hAnsi="仿宋" w:eastAsia="仿宋" w:cs="仿宋"/>
              <w:sz w:val="24"/>
              <w:szCs w:val="24"/>
            </w:rPr>
            <w:tab/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4"/>
              <w:szCs w:val="24"/>
            </w:rPr>
            <w:instrText xml:space="preserve"> PAGEREF _Toc17392 \h </w:instrTex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sz w:val="24"/>
              <w:szCs w:val="24"/>
            </w:rPr>
            <w:t>20</w: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end"/>
          </w:r>
        </w:p>
        <w:p w14:paraId="0699E558">
          <w:pPr>
            <w:pStyle w:val="7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1260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36" w:lineRule="auto"/>
            <w:textAlignment w:val="auto"/>
            <w:rPr>
              <w:rFonts w:hint="eastAsia" w:ascii="仿宋" w:hAnsi="仿宋" w:eastAsia="仿宋" w:cs="仿宋"/>
              <w:sz w:val="24"/>
              <w:szCs w:val="24"/>
            </w:rPr>
          </w:pP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instrText xml:space="preserve"> HYPERLINK \l _Toc11532 </w:instrText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4"/>
              <w:szCs w:val="24"/>
            </w:rPr>
            <w:t>4.5. 登记表撤回</w:t>
          </w:r>
          <w:r>
            <w:rPr>
              <w:rFonts w:hint="eastAsia" w:ascii="仿宋" w:hAnsi="仿宋" w:eastAsia="仿宋" w:cs="仿宋"/>
              <w:sz w:val="24"/>
              <w:szCs w:val="24"/>
            </w:rPr>
            <w:tab/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4"/>
              <w:szCs w:val="24"/>
            </w:rPr>
            <w:instrText xml:space="preserve"> PAGEREF _Toc11532 \h </w:instrTex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sz w:val="24"/>
              <w:szCs w:val="24"/>
            </w:rPr>
            <w:t>20</w: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end"/>
          </w:r>
        </w:p>
        <w:p w14:paraId="64B6D975">
          <w:pPr>
            <w:pStyle w:val="7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1260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36" w:lineRule="auto"/>
            <w:textAlignment w:val="auto"/>
            <w:rPr>
              <w:rFonts w:hint="eastAsia" w:ascii="仿宋" w:hAnsi="仿宋" w:eastAsia="仿宋" w:cs="仿宋"/>
              <w:sz w:val="24"/>
              <w:szCs w:val="24"/>
            </w:rPr>
          </w:pP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instrText xml:space="preserve"> HYPERLINK \l _Toc28169 </w:instrText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4"/>
              <w:szCs w:val="24"/>
            </w:rPr>
            <w:t>4.6. 退审操作</w:t>
          </w:r>
          <w:r>
            <w:rPr>
              <w:rFonts w:hint="eastAsia" w:ascii="仿宋" w:hAnsi="仿宋" w:eastAsia="仿宋" w:cs="仿宋"/>
              <w:sz w:val="24"/>
              <w:szCs w:val="24"/>
            </w:rPr>
            <w:tab/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4"/>
              <w:szCs w:val="24"/>
            </w:rPr>
            <w:instrText xml:space="preserve"> PAGEREF _Toc28169 \h </w:instrTex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sz w:val="24"/>
              <w:szCs w:val="24"/>
            </w:rPr>
            <w:t>21</w: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end"/>
          </w:r>
        </w:p>
        <w:p w14:paraId="1718C1B2">
          <w:pPr>
            <w:pStyle w:val="7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1260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36" w:lineRule="auto"/>
            <w:textAlignment w:val="auto"/>
            <w:rPr>
              <w:rFonts w:hint="eastAsia" w:ascii="仿宋" w:hAnsi="仿宋" w:eastAsia="仿宋" w:cs="仿宋"/>
              <w:sz w:val="24"/>
              <w:szCs w:val="24"/>
            </w:rPr>
          </w:pP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instrText xml:space="preserve"> HYPERLINK \l _Toc7507 </w:instrText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4"/>
              <w:szCs w:val="24"/>
            </w:rPr>
            <w:t xml:space="preserve">4.7. </w:t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en-US" w:eastAsia="zh-CN"/>
            </w:rPr>
            <w:t>不予通过</w:t>
          </w:r>
          <w:r>
            <w:rPr>
              <w:rFonts w:hint="eastAsia" w:ascii="仿宋" w:hAnsi="仿宋" w:eastAsia="仿宋" w:cs="仿宋"/>
              <w:bCs/>
              <w:sz w:val="24"/>
              <w:szCs w:val="24"/>
            </w:rPr>
            <w:t>操作</w:t>
          </w:r>
          <w:r>
            <w:rPr>
              <w:rFonts w:hint="eastAsia" w:ascii="仿宋" w:hAnsi="仿宋" w:eastAsia="仿宋" w:cs="仿宋"/>
              <w:sz w:val="24"/>
              <w:szCs w:val="24"/>
            </w:rPr>
            <w:tab/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4"/>
              <w:szCs w:val="24"/>
            </w:rPr>
            <w:instrText xml:space="preserve"> PAGEREF _Toc7507 \h </w:instrTex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sz w:val="24"/>
              <w:szCs w:val="24"/>
            </w:rPr>
            <w:t>21</w: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end"/>
          </w:r>
        </w:p>
        <w:p w14:paraId="1A8811E9">
          <w:pPr>
            <w:pStyle w:val="7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1260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36" w:lineRule="auto"/>
            <w:textAlignment w:val="auto"/>
            <w:rPr>
              <w:rFonts w:hint="eastAsia" w:ascii="仿宋" w:hAnsi="仿宋" w:eastAsia="仿宋" w:cs="仿宋"/>
              <w:sz w:val="24"/>
              <w:szCs w:val="24"/>
            </w:rPr>
          </w:pP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instrText xml:space="preserve"> HYPERLINK \l _Toc17188 </w:instrText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4"/>
              <w:szCs w:val="24"/>
            </w:rPr>
            <w:t>4.8. 作废操作</w:t>
          </w:r>
          <w:r>
            <w:rPr>
              <w:rFonts w:hint="eastAsia" w:ascii="仿宋" w:hAnsi="仿宋" w:eastAsia="仿宋" w:cs="仿宋"/>
              <w:sz w:val="24"/>
              <w:szCs w:val="24"/>
            </w:rPr>
            <w:tab/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4"/>
              <w:szCs w:val="24"/>
            </w:rPr>
            <w:instrText xml:space="preserve"> PAGEREF _Toc17188 \h </w:instrTex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sz w:val="24"/>
              <w:szCs w:val="24"/>
            </w:rPr>
            <w:t>21</w: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end"/>
          </w:r>
        </w:p>
        <w:p w14:paraId="0AC27EB9">
          <w:pPr>
            <w:pStyle w:val="7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1260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36" w:lineRule="auto"/>
            <w:textAlignment w:val="auto"/>
            <w:rPr>
              <w:rFonts w:hint="eastAsia" w:ascii="仿宋" w:hAnsi="仿宋" w:eastAsia="仿宋" w:cs="仿宋"/>
              <w:sz w:val="24"/>
              <w:szCs w:val="24"/>
            </w:rPr>
          </w:pP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instrText xml:space="preserve"> HYPERLINK \l _Toc22352 </w:instrText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4"/>
              <w:szCs w:val="24"/>
            </w:rPr>
            <w:t>4.9. 缓审操作</w:t>
          </w:r>
          <w:r>
            <w:rPr>
              <w:rFonts w:hint="eastAsia" w:ascii="仿宋" w:hAnsi="仿宋" w:eastAsia="仿宋" w:cs="仿宋"/>
              <w:sz w:val="24"/>
              <w:szCs w:val="24"/>
            </w:rPr>
            <w:tab/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4"/>
              <w:szCs w:val="24"/>
            </w:rPr>
            <w:instrText xml:space="preserve"> PAGEREF _Toc22352 \h </w:instrTex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sz w:val="24"/>
              <w:szCs w:val="24"/>
            </w:rPr>
            <w:t>22</w: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end"/>
          </w:r>
        </w:p>
        <w:p w14:paraId="197A4C2D">
          <w:pPr>
            <w:pStyle w:val="7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1260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36" w:lineRule="auto"/>
            <w:textAlignment w:val="auto"/>
            <w:rPr>
              <w:rFonts w:hint="eastAsia" w:ascii="仿宋" w:hAnsi="仿宋" w:eastAsia="仿宋" w:cs="仿宋"/>
              <w:sz w:val="24"/>
              <w:szCs w:val="24"/>
            </w:rPr>
          </w:pP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instrText xml:space="preserve"> HYPERLINK \l _Toc26593 </w:instrText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4"/>
              <w:szCs w:val="24"/>
            </w:rPr>
            <w:t>4.10. 基本信息修改</w:t>
          </w:r>
          <w:r>
            <w:rPr>
              <w:rFonts w:hint="eastAsia" w:ascii="仿宋" w:hAnsi="仿宋" w:eastAsia="仿宋" w:cs="仿宋"/>
              <w:sz w:val="24"/>
              <w:szCs w:val="24"/>
            </w:rPr>
            <w:tab/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4"/>
              <w:szCs w:val="24"/>
            </w:rPr>
            <w:instrText xml:space="preserve"> PAGEREF _Toc26593 \h </w:instrTex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sz w:val="24"/>
              <w:szCs w:val="24"/>
            </w:rPr>
            <w:t>22</w: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end"/>
          </w:r>
        </w:p>
        <w:p w14:paraId="61E89CAE">
          <w:pPr>
            <w:pStyle w:val="6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630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36" w:lineRule="auto"/>
            <w:textAlignment w:val="auto"/>
            <w:rPr>
              <w:rFonts w:hint="eastAsia" w:ascii="仿宋" w:hAnsi="仿宋" w:eastAsia="仿宋" w:cs="仿宋"/>
              <w:sz w:val="24"/>
              <w:szCs w:val="24"/>
            </w:rPr>
          </w:pP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instrText xml:space="preserve"> HYPERLINK \l _Toc29987 </w:instrText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4"/>
              <w:szCs w:val="24"/>
            </w:rPr>
            <w:t>5. 其他功能</w:t>
          </w:r>
          <w:r>
            <w:rPr>
              <w:rFonts w:hint="eastAsia" w:ascii="仿宋" w:hAnsi="仿宋" w:eastAsia="仿宋" w:cs="仿宋"/>
              <w:sz w:val="24"/>
              <w:szCs w:val="24"/>
            </w:rPr>
            <w:tab/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4"/>
              <w:szCs w:val="24"/>
            </w:rPr>
            <w:instrText xml:space="preserve"> PAGEREF _Toc29987 \h </w:instrTex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sz w:val="24"/>
              <w:szCs w:val="24"/>
            </w:rPr>
            <w:t>22</w: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end"/>
          </w:r>
        </w:p>
        <w:p w14:paraId="72F24D39">
          <w:pPr>
            <w:pStyle w:val="3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1680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36" w:lineRule="auto"/>
            <w:textAlignment w:val="auto"/>
            <w:rPr>
              <w:rFonts w:hint="eastAsia" w:ascii="仿宋" w:hAnsi="仿宋" w:eastAsia="仿宋" w:cs="仿宋"/>
              <w:sz w:val="24"/>
              <w:szCs w:val="24"/>
            </w:rPr>
          </w:pP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instrText xml:space="preserve"> HYPERLINK \l _Toc24045 </w:instrText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4"/>
              <w:szCs w:val="24"/>
            </w:rPr>
            <w:t>5.1. 修改密码</w:t>
          </w:r>
          <w:r>
            <w:rPr>
              <w:rFonts w:hint="eastAsia" w:ascii="仿宋" w:hAnsi="仿宋" w:eastAsia="仿宋" w:cs="仿宋"/>
              <w:sz w:val="24"/>
              <w:szCs w:val="24"/>
            </w:rPr>
            <w:tab/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4"/>
              <w:szCs w:val="24"/>
            </w:rPr>
            <w:instrText xml:space="preserve"> PAGEREF _Toc24045 \h </w:instrTex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sz w:val="24"/>
              <w:szCs w:val="24"/>
            </w:rPr>
            <w:t>22</w: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end"/>
          </w:r>
        </w:p>
        <w:p w14:paraId="54A04A82">
          <w:pPr>
            <w:pStyle w:val="3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1680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36" w:lineRule="auto"/>
            <w:textAlignment w:val="auto"/>
            <w:rPr>
              <w:rFonts w:hint="eastAsia" w:ascii="仿宋" w:hAnsi="仿宋" w:eastAsia="仿宋" w:cs="仿宋"/>
              <w:sz w:val="24"/>
              <w:szCs w:val="24"/>
            </w:rPr>
          </w:pP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instrText xml:space="preserve"> HYPERLINK \l _Toc18825 </w:instrText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4"/>
              <w:szCs w:val="24"/>
            </w:rPr>
            <w:t>5.2. 修改手机号</w:t>
          </w:r>
          <w:r>
            <w:rPr>
              <w:rFonts w:hint="eastAsia" w:ascii="仿宋" w:hAnsi="仿宋" w:eastAsia="仿宋" w:cs="仿宋"/>
              <w:sz w:val="24"/>
              <w:szCs w:val="24"/>
            </w:rPr>
            <w:tab/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4"/>
              <w:szCs w:val="24"/>
            </w:rPr>
            <w:instrText xml:space="preserve"> PAGEREF _Toc18825 \h </w:instrTex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sz w:val="24"/>
              <w:szCs w:val="24"/>
            </w:rPr>
            <w:t>24</w: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end"/>
          </w:r>
        </w:p>
        <w:p w14:paraId="4C5F564E">
          <w:pPr>
            <w:pStyle w:val="3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1680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36" w:lineRule="auto"/>
            <w:textAlignment w:val="auto"/>
          </w:pP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instrText xml:space="preserve"> HYPERLINK \l _Toc19897 </w:instrText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4"/>
              <w:szCs w:val="24"/>
            </w:rPr>
            <w:t>5.3. 经办人管理</w:t>
          </w:r>
          <w:r>
            <w:rPr>
              <w:rFonts w:hint="eastAsia" w:ascii="仿宋" w:hAnsi="仿宋" w:eastAsia="仿宋" w:cs="仿宋"/>
              <w:sz w:val="24"/>
              <w:szCs w:val="24"/>
            </w:rPr>
            <w:tab/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4"/>
              <w:szCs w:val="24"/>
            </w:rPr>
            <w:instrText xml:space="preserve"> PAGEREF _Toc19897 \h </w:instrTex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sz w:val="24"/>
              <w:szCs w:val="24"/>
            </w:rPr>
            <w:t>25</w: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end"/>
          </w:r>
        </w:p>
        <w:p w14:paraId="649F5A7C">
          <w:r>
            <w:rPr>
              <w:rFonts w:ascii="仿宋" w:hAnsi="仿宋" w:eastAsia="仿宋"/>
              <w:bCs/>
              <w:lang w:val="zh-CN"/>
            </w:rPr>
            <w:fldChar w:fldCharType="end"/>
          </w:r>
        </w:p>
      </w:sdtContent>
    </w:sdt>
    <w:p w14:paraId="225DCDCF">
      <w:pPr>
        <w:rPr>
          <w:rFonts w:hint="eastAsia" w:ascii="仿宋" w:hAnsi="仿宋" w:eastAsia="仿宋"/>
          <w:bCs/>
          <w:sz w:val="28"/>
          <w:szCs w:val="28"/>
        </w:rPr>
      </w:pPr>
      <w:r>
        <w:rPr>
          <w:rFonts w:ascii="仿宋" w:hAnsi="仿宋" w:eastAsia="仿宋"/>
          <w:bCs/>
          <w:sz w:val="28"/>
          <w:szCs w:val="28"/>
        </w:rPr>
        <w:br w:type="page"/>
      </w:r>
    </w:p>
    <w:p w14:paraId="2F38392C">
      <w:pPr>
        <w:numPr>
          <w:ilvl w:val="0"/>
          <w:numId w:val="1"/>
        </w:numPr>
        <w:outlineLvl w:val="0"/>
        <w:rPr>
          <w:rFonts w:hint="eastAsia" w:ascii="楷体" w:hAnsi="楷体" w:eastAsia="楷体"/>
          <w:b/>
          <w:bCs/>
          <w:sz w:val="28"/>
          <w:szCs w:val="28"/>
        </w:rPr>
      </w:pPr>
      <w:bookmarkStart w:id="1" w:name="_Toc1853"/>
      <w:r>
        <w:rPr>
          <w:rFonts w:hint="eastAsia" w:ascii="楷体" w:hAnsi="楷体" w:eastAsia="楷体"/>
          <w:b/>
          <w:bCs/>
          <w:sz w:val="28"/>
          <w:szCs w:val="28"/>
        </w:rPr>
        <w:t>系统说明</w:t>
      </w:r>
      <w:bookmarkEnd w:id="1"/>
    </w:p>
    <w:p w14:paraId="36957E0A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新版</w:t>
      </w:r>
      <w:r>
        <w:rPr>
          <w:rFonts w:hint="eastAsia" w:ascii="仿宋" w:hAnsi="仿宋" w:eastAsia="仿宋"/>
          <w:sz w:val="28"/>
          <w:szCs w:val="28"/>
          <w:lang w:eastAsia="zh-CN"/>
        </w:rPr>
        <w:t>全国发行单位年度核验系统</w:t>
      </w:r>
      <w:r>
        <w:rPr>
          <w:rFonts w:hint="eastAsia" w:ascii="仿宋" w:hAnsi="仿宋" w:eastAsia="仿宋"/>
          <w:sz w:val="28"/>
          <w:szCs w:val="28"/>
        </w:rPr>
        <w:t>包括日常填报和年度核验填报两个阶段。日常填报期间，发行单位可进行单位基本信息的填报和审核；年度核验填报期间，发行单位需对单位基本信息和业务信息进行统一填报和审核。</w:t>
      </w:r>
    </w:p>
    <w:p w14:paraId="6571B7A4">
      <w:pPr>
        <w:numPr>
          <w:ilvl w:val="0"/>
          <w:numId w:val="1"/>
        </w:numPr>
        <w:outlineLvl w:val="0"/>
        <w:rPr>
          <w:rFonts w:hint="default" w:ascii="楷体" w:hAnsi="楷体" w:eastAsia="楷体"/>
          <w:b/>
          <w:bCs/>
          <w:sz w:val="28"/>
          <w:szCs w:val="28"/>
          <w:lang w:val="en-US"/>
        </w:rPr>
      </w:pPr>
      <w:bookmarkStart w:id="2" w:name="_Toc24449"/>
      <w:r>
        <w:rPr>
          <w:rFonts w:hint="eastAsia" w:ascii="楷体" w:hAnsi="楷体" w:eastAsia="楷体"/>
          <w:b/>
          <w:bCs/>
          <w:sz w:val="28"/>
          <w:szCs w:val="28"/>
        </w:rPr>
        <w:t>系统</w:t>
      </w:r>
      <w:r>
        <w:rPr>
          <w:rFonts w:hint="eastAsia" w:ascii="楷体" w:hAnsi="楷体" w:eastAsia="楷体"/>
          <w:b/>
          <w:bCs/>
          <w:sz w:val="28"/>
          <w:szCs w:val="28"/>
          <w:lang w:val="en-US" w:eastAsia="zh-CN"/>
        </w:rPr>
        <w:t>流程</w:t>
      </w:r>
      <w:bookmarkEnd w:id="2"/>
    </w:p>
    <w:p w14:paraId="4B98AC8A">
      <w:pPr>
        <w:ind w:firstLine="560" w:firstLineChars="200"/>
        <w:rPr>
          <w:rFonts w:hint="eastAsia" w:ascii="仿宋" w:hAnsi="仿宋" w:eastAsia="仿宋"/>
          <w:sz w:val="28"/>
          <w:szCs w:val="28"/>
          <w:lang w:val="en-US"/>
        </w:rPr>
      </w:pPr>
      <w:r>
        <w:rPr>
          <w:rFonts w:hint="eastAsia" w:ascii="仿宋" w:hAnsi="仿宋" w:eastAsia="仿宋"/>
          <w:sz w:val="28"/>
          <w:szCs w:val="28"/>
          <w:lang w:val="en-US"/>
        </w:rPr>
        <w:t>出版物发行单位需在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每年度</w:t>
      </w:r>
      <w:r>
        <w:rPr>
          <w:rFonts w:hint="eastAsia" w:ascii="仿宋" w:hAnsi="仿宋" w:eastAsia="仿宋"/>
          <w:sz w:val="28"/>
          <w:szCs w:val="28"/>
          <w:lang w:val="en-US"/>
        </w:rPr>
        <w:t>规定时间内通过宣传文化政务服务平台登录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“全国发行单位年度核验系统”</w:t>
      </w:r>
      <w:r>
        <w:rPr>
          <w:rFonts w:hint="eastAsia" w:ascii="仿宋" w:hAnsi="仿宋" w:eastAsia="仿宋"/>
          <w:sz w:val="28"/>
          <w:szCs w:val="28"/>
          <w:lang w:val="en-US"/>
        </w:rPr>
        <w:t>，如实填报《年度发行单位年度核验登记表》，并上传相关材料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，</w:t>
      </w:r>
      <w:r>
        <w:rPr>
          <w:rFonts w:hint="eastAsia" w:ascii="仿宋" w:hAnsi="仿宋" w:eastAsia="仿宋"/>
          <w:sz w:val="28"/>
          <w:szCs w:val="28"/>
          <w:lang w:val="en-US"/>
        </w:rPr>
        <w:t>进行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发行</w:t>
      </w:r>
      <w:r>
        <w:rPr>
          <w:rFonts w:hint="eastAsia" w:ascii="仿宋" w:hAnsi="仿宋" w:eastAsia="仿宋"/>
          <w:sz w:val="28"/>
          <w:szCs w:val="28"/>
          <w:lang w:val="en-US"/>
        </w:rPr>
        <w:t>单位信息及核验登记表的在线填报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工作</w:t>
      </w:r>
      <w:r>
        <w:rPr>
          <w:rFonts w:hint="eastAsia" w:ascii="仿宋" w:hAnsi="仿宋" w:eastAsia="仿宋"/>
          <w:sz w:val="28"/>
          <w:szCs w:val="28"/>
          <w:lang w:val="en-US"/>
        </w:rPr>
        <w:t>。</w:t>
      </w:r>
    </w:p>
    <w:p w14:paraId="105CEA9B">
      <w:pPr>
        <w:ind w:firstLine="560" w:firstLineChars="200"/>
        <w:rPr>
          <w:rFonts w:hint="eastAsia" w:ascii="仿宋" w:hAnsi="仿宋" w:eastAsia="仿宋"/>
          <w:sz w:val="28"/>
          <w:szCs w:val="28"/>
          <w:lang w:val="en-US"/>
        </w:rPr>
      </w:pPr>
      <w:r>
        <w:rPr>
          <w:rFonts w:hint="eastAsia" w:ascii="仿宋" w:hAnsi="仿宋" w:eastAsia="仿宋"/>
          <w:sz w:val="28"/>
          <w:szCs w:val="28"/>
          <w:lang w:val="en-US"/>
        </w:rPr>
        <w:t>用户首次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使用</w:t>
      </w:r>
      <w:r>
        <w:rPr>
          <w:rFonts w:hint="eastAsia" w:ascii="仿宋" w:hAnsi="仿宋" w:eastAsia="仿宋"/>
          <w:sz w:val="28"/>
          <w:szCs w:val="28"/>
          <w:lang w:val="en-US"/>
        </w:rPr>
        <w:t>本系统时，需在宣传文化政务服务平台完成用户注册流程。注册成功后，登录宣传文化政务服务平台，在首页界面点击“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全国发行单位年度核验系统</w:t>
      </w:r>
      <w:r>
        <w:rPr>
          <w:rFonts w:hint="eastAsia" w:ascii="仿宋" w:hAnsi="仿宋" w:eastAsia="仿宋"/>
          <w:sz w:val="28"/>
          <w:szCs w:val="28"/>
          <w:lang w:val="en-US"/>
        </w:rPr>
        <w:t>”图标，即可进入该系统。</w:t>
      </w:r>
    </w:p>
    <w:p w14:paraId="4FC5BF6A">
      <w:pPr>
        <w:bidi w:val="0"/>
        <w:spacing w:line="360" w:lineRule="auto"/>
        <w:jc w:val="center"/>
        <w:rPr>
          <w:rFonts w:hint="eastAsia" w:ascii="仿宋" w:hAnsi="仿宋" w:eastAsia="仿宋" w:cs="仿宋"/>
          <w:sz w:val="28"/>
          <w:szCs w:val="36"/>
          <w:lang w:val="en-US"/>
        </w:rPr>
      </w:pPr>
      <w:r>
        <w:drawing>
          <wp:inline distT="0" distB="0" distL="0" distR="0">
            <wp:extent cx="4748530" cy="3386455"/>
            <wp:effectExtent l="0" t="0" r="1270" b="444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57473" cy="3392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EC939">
      <w:pPr>
        <w:numPr>
          <w:ilvl w:val="1"/>
          <w:numId w:val="1"/>
        </w:numPr>
        <w:outlineLvl w:val="1"/>
        <w:rPr>
          <w:rFonts w:hint="eastAsia" w:ascii="楷体" w:hAnsi="楷体" w:eastAsia="楷体"/>
          <w:b/>
          <w:bCs/>
          <w:sz w:val="28"/>
          <w:szCs w:val="28"/>
        </w:rPr>
      </w:pPr>
      <w:bookmarkStart w:id="3" w:name="_Toc16817"/>
      <w:r>
        <w:rPr>
          <w:rFonts w:hint="eastAsia" w:ascii="楷体" w:hAnsi="楷体" w:eastAsia="楷体"/>
          <w:b/>
          <w:bCs/>
          <w:sz w:val="28"/>
          <w:szCs w:val="28"/>
          <w:lang w:val="en-US" w:eastAsia="zh-CN"/>
        </w:rPr>
        <w:t>非年检期审核流程</w:t>
      </w:r>
      <w:bookmarkEnd w:id="3"/>
    </w:p>
    <w:p w14:paraId="7B9D8817">
      <w:pPr>
        <w:bidi w:val="0"/>
      </w:pPr>
      <w:r>
        <w:drawing>
          <wp:inline distT="0" distB="0" distL="114300" distR="114300">
            <wp:extent cx="5265420" cy="7932420"/>
            <wp:effectExtent l="0" t="0" r="17780" b="1778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793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12EA2">
      <w:pPr>
        <w:bidi w:val="0"/>
        <w:rPr>
          <w:rFonts w:hint="eastAsia"/>
          <w:lang w:eastAsia="zh-CN"/>
        </w:rPr>
      </w:pPr>
    </w:p>
    <w:p w14:paraId="6C721727">
      <w:pPr>
        <w:numPr>
          <w:ilvl w:val="1"/>
          <w:numId w:val="1"/>
        </w:numPr>
        <w:outlineLvl w:val="1"/>
        <w:rPr>
          <w:rFonts w:hint="eastAsia" w:ascii="楷体" w:hAnsi="楷体" w:eastAsia="楷体"/>
          <w:b/>
          <w:bCs/>
          <w:sz w:val="28"/>
          <w:szCs w:val="28"/>
        </w:rPr>
      </w:pPr>
      <w:bookmarkStart w:id="4" w:name="_Toc281"/>
      <w:r>
        <w:rPr>
          <w:rFonts w:hint="eastAsia" w:ascii="楷体" w:hAnsi="楷体" w:eastAsia="楷体"/>
          <w:b/>
          <w:bCs/>
          <w:sz w:val="28"/>
          <w:szCs w:val="28"/>
          <w:lang w:val="en-US" w:eastAsia="zh-CN"/>
        </w:rPr>
        <w:t>年检期审核流程</w:t>
      </w:r>
      <w:bookmarkEnd w:id="4"/>
    </w:p>
    <w:p w14:paraId="343570B2"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drawing>
          <wp:inline distT="0" distB="0" distL="114300" distR="114300">
            <wp:extent cx="5250180" cy="6827520"/>
            <wp:effectExtent l="0" t="0" r="7620" b="5080"/>
            <wp:docPr id="6" name="图片 6" descr="全国发行单位年度核验登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全国发行单位年度核验登记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0180" cy="682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3FB56">
      <w:pPr>
        <w:numPr>
          <w:ilvl w:val="0"/>
          <w:numId w:val="1"/>
        </w:numPr>
        <w:outlineLvl w:val="0"/>
        <w:rPr>
          <w:rFonts w:hint="eastAsia" w:ascii="楷体" w:hAnsi="楷体" w:eastAsia="楷体"/>
          <w:b/>
          <w:bCs/>
          <w:sz w:val="28"/>
          <w:szCs w:val="28"/>
        </w:rPr>
      </w:pPr>
      <w:bookmarkStart w:id="5" w:name="_Toc23589"/>
      <w:r>
        <w:rPr>
          <w:rFonts w:hint="eastAsia" w:ascii="楷体" w:hAnsi="楷体" w:eastAsia="楷体"/>
          <w:b/>
          <w:bCs/>
          <w:sz w:val="28"/>
          <w:szCs w:val="28"/>
        </w:rPr>
        <w:t>宣传文化政务服务平台用户注册</w:t>
      </w:r>
      <w:bookmarkEnd w:id="5"/>
    </w:p>
    <w:p w14:paraId="0DED999A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新版</w:t>
      </w:r>
      <w:r>
        <w:rPr>
          <w:rFonts w:hint="eastAsia" w:ascii="仿宋" w:hAnsi="仿宋" w:eastAsia="仿宋"/>
          <w:sz w:val="28"/>
          <w:szCs w:val="28"/>
          <w:lang w:eastAsia="zh-CN"/>
        </w:rPr>
        <w:t>全国发行单位年度核验系统</w:t>
      </w:r>
      <w:r>
        <w:rPr>
          <w:rFonts w:hint="eastAsia" w:ascii="仿宋" w:hAnsi="仿宋" w:eastAsia="仿宋"/>
          <w:sz w:val="28"/>
          <w:szCs w:val="28"/>
        </w:rPr>
        <w:t>属于宣传文化政务服务平台的业务系统之一，发行单位</w:t>
      </w:r>
      <w:r>
        <w:rPr>
          <w:rFonts w:hint="eastAsia" w:ascii="仿宋" w:hAnsi="仿宋" w:eastAsia="仿宋"/>
          <w:sz w:val="28"/>
          <w:szCs w:val="28"/>
          <w:lang w:eastAsia="zh-CN"/>
        </w:rPr>
        <w:t>首次登录</w:t>
      </w:r>
      <w:r>
        <w:rPr>
          <w:rFonts w:hint="eastAsia" w:ascii="仿宋" w:hAnsi="仿宋" w:eastAsia="仿宋"/>
          <w:sz w:val="28"/>
          <w:szCs w:val="28"/>
        </w:rPr>
        <w:t>宣传文化政务服务平台需要注册平台用户。</w:t>
      </w:r>
    </w:p>
    <w:p w14:paraId="3F744F8D">
      <w:pPr>
        <w:numPr>
          <w:ilvl w:val="1"/>
          <w:numId w:val="1"/>
        </w:numPr>
        <w:outlineLvl w:val="1"/>
        <w:rPr>
          <w:rFonts w:hint="eastAsia" w:ascii="楷体" w:hAnsi="楷体" w:eastAsia="楷体"/>
          <w:b/>
          <w:bCs/>
          <w:sz w:val="28"/>
          <w:szCs w:val="28"/>
        </w:rPr>
      </w:pPr>
      <w:bookmarkStart w:id="6" w:name="_Toc23972"/>
      <w:r>
        <w:rPr>
          <w:rFonts w:hint="eastAsia" w:ascii="楷体" w:hAnsi="楷体" w:eastAsia="楷体"/>
          <w:b/>
          <w:bCs/>
          <w:sz w:val="28"/>
          <w:szCs w:val="28"/>
        </w:rPr>
        <w:t>平台访问路径</w:t>
      </w:r>
      <w:bookmarkEnd w:id="6"/>
    </w:p>
    <w:p w14:paraId="2355475C">
      <w:pPr>
        <w:wordWrap w:val="0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出版物发行单位可登录国家新闻出版署官方网站（</w:t>
      </w:r>
      <w:r>
        <w:rPr>
          <w:rFonts w:ascii="仿宋" w:hAnsi="仿宋" w:eastAsia="仿宋"/>
          <w:sz w:val="28"/>
          <w:szCs w:val="28"/>
        </w:rPr>
        <w:t>https://www.nppa.gov.cn/</w:t>
      </w:r>
      <w:r>
        <w:rPr>
          <w:rFonts w:hint="eastAsia" w:ascii="仿宋" w:hAnsi="仿宋" w:eastAsia="仿宋"/>
          <w:sz w:val="28"/>
          <w:szCs w:val="28"/>
        </w:rPr>
        <w:t>），通过“业务平台”板块内的“</w:t>
      </w:r>
      <w:r>
        <w:rPr>
          <w:rFonts w:hint="eastAsia" w:ascii="仿宋" w:hAnsi="仿宋" w:eastAsia="仿宋"/>
          <w:sz w:val="28"/>
          <w:szCs w:val="28"/>
          <w:lang w:eastAsia="zh-CN"/>
        </w:rPr>
        <w:t>全国发行单位年度核验系统</w:t>
      </w:r>
      <w:r>
        <w:rPr>
          <w:rFonts w:hint="eastAsia" w:ascii="仿宋" w:hAnsi="仿宋" w:eastAsia="仿宋"/>
          <w:sz w:val="28"/>
          <w:szCs w:val="28"/>
        </w:rPr>
        <w:t>”进入宣传文化政务服务平台。</w:t>
      </w:r>
    </w:p>
    <w:p w14:paraId="1193C5A7">
      <w:pPr>
        <w:jc w:val="center"/>
        <w:rPr>
          <w:rFonts w:hint="eastAsia" w:ascii="仿宋" w:hAnsi="仿宋" w:eastAsia="仿宋"/>
          <w:sz w:val="28"/>
          <w:szCs w:val="28"/>
        </w:rPr>
      </w:pPr>
      <w:r>
        <w:drawing>
          <wp:inline distT="0" distB="0" distL="0" distR="0">
            <wp:extent cx="5274310" cy="2545715"/>
            <wp:effectExtent l="0" t="0" r="2540" b="6985"/>
            <wp:docPr id="8980888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088814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04926">
      <w:pPr>
        <w:jc w:val="left"/>
        <w:rPr>
          <w:rFonts w:hint="eastAsia" w:ascii="仿宋" w:hAnsi="仿宋" w:eastAsia="仿宋"/>
          <w:sz w:val="24"/>
        </w:rPr>
      </w:pPr>
      <w:r>
        <w:drawing>
          <wp:inline distT="0" distB="0" distL="0" distR="0">
            <wp:extent cx="5274310" cy="2568575"/>
            <wp:effectExtent l="0" t="0" r="2540" b="3175"/>
            <wp:docPr id="2305774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577499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42FF3">
      <w:pPr>
        <w:numPr>
          <w:ilvl w:val="1"/>
          <w:numId w:val="1"/>
        </w:numPr>
        <w:outlineLvl w:val="1"/>
        <w:rPr>
          <w:rFonts w:hint="eastAsia" w:ascii="楷体" w:hAnsi="楷体" w:eastAsia="楷体"/>
          <w:b/>
          <w:bCs/>
          <w:sz w:val="28"/>
          <w:szCs w:val="28"/>
        </w:rPr>
      </w:pPr>
      <w:bookmarkStart w:id="7" w:name="_Toc17907"/>
      <w:r>
        <w:rPr>
          <w:rFonts w:hint="eastAsia" w:ascii="楷体" w:hAnsi="楷体" w:eastAsia="楷体"/>
          <w:b/>
          <w:bCs/>
          <w:sz w:val="28"/>
          <w:szCs w:val="28"/>
        </w:rPr>
        <w:t>用户注册</w:t>
      </w:r>
      <w:bookmarkEnd w:id="7"/>
    </w:p>
    <w:p w14:paraId="281E2397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进入宣传文化政务服务平台用户注册页面。</w:t>
      </w:r>
    </w:p>
    <w:p w14:paraId="4B13D859">
      <w:pPr>
        <w:jc w:val="center"/>
        <w:rPr>
          <w:rFonts w:hint="eastAsia" w:ascii="仿宋" w:hAnsi="仿宋" w:eastAsia="仿宋"/>
          <w:sz w:val="28"/>
          <w:szCs w:val="28"/>
        </w:rPr>
      </w:pPr>
      <w:r>
        <w:drawing>
          <wp:inline distT="0" distB="0" distL="0" distR="0">
            <wp:extent cx="4916170" cy="2811145"/>
            <wp:effectExtent l="0" t="0" r="0" b="8255"/>
            <wp:docPr id="6248478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847848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35560" cy="2821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BC81C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发行单位可按照自身情况，选择企业、社团、机关事业单位、非法人单位或个体工商户等法人类型进行注册。</w:t>
      </w:r>
    </w:p>
    <w:p w14:paraId="55BD38B6">
      <w:pPr>
        <w:ind w:firstLine="562" w:firstLineChars="200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注：一个法人/负责人可以注册多个企业账号。</w:t>
      </w:r>
    </w:p>
    <w:p w14:paraId="71B667A1">
      <w:pPr>
        <w:ind w:firstLine="420" w:firstLineChars="200"/>
        <w:jc w:val="left"/>
        <w:rPr>
          <w:rFonts w:hint="eastAsia" w:ascii="仿宋" w:hAnsi="仿宋" w:eastAsia="仿宋"/>
          <w:sz w:val="28"/>
          <w:szCs w:val="28"/>
        </w:rPr>
      </w:pPr>
      <w:r>
        <w:drawing>
          <wp:inline distT="0" distB="0" distL="0" distR="0">
            <wp:extent cx="2000250" cy="1552575"/>
            <wp:effectExtent l="0" t="0" r="0" b="9525"/>
            <wp:docPr id="16120755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075532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59DA1">
      <w:pPr>
        <w:numPr>
          <w:ilvl w:val="2"/>
          <w:numId w:val="1"/>
        </w:numPr>
        <w:outlineLvl w:val="2"/>
        <w:rPr>
          <w:rFonts w:hint="eastAsia" w:ascii="楷体" w:hAnsi="楷体" w:eastAsia="楷体" w:cs="楷体"/>
          <w:b/>
          <w:bCs/>
          <w:sz w:val="28"/>
          <w:szCs w:val="28"/>
        </w:rPr>
      </w:pPr>
      <w:bookmarkStart w:id="8" w:name="_Toc6291"/>
      <w:r>
        <w:rPr>
          <w:rFonts w:hint="eastAsia" w:ascii="楷体" w:hAnsi="楷体" w:eastAsia="楷体" w:cs="楷体"/>
          <w:b/>
          <w:bCs/>
          <w:sz w:val="28"/>
          <w:szCs w:val="28"/>
        </w:rPr>
        <w:t>企业/社团/机关事业单位/个体工商户法人注册</w:t>
      </w:r>
      <w:bookmarkEnd w:id="8"/>
    </w:p>
    <w:p w14:paraId="444C26CB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企业/社团/机关事业单位/个体工商户需按照证件内容准确填写单位名称、统一社会信用代码、证件类型、法定代表人姓名、法定代表人身份证号等信息；</w:t>
      </w:r>
    </w:p>
    <w:p w14:paraId="1CECC134">
      <w:pPr>
        <w:ind w:firstLine="420" w:firstLineChars="200"/>
        <w:rPr>
          <w:rFonts w:hint="eastAsia" w:ascii="仿宋" w:hAnsi="仿宋" w:eastAsia="仿宋"/>
          <w:sz w:val="28"/>
          <w:szCs w:val="28"/>
        </w:rPr>
      </w:pPr>
      <w:r>
        <w:drawing>
          <wp:inline distT="0" distB="0" distL="0" distR="0">
            <wp:extent cx="4055745" cy="2489835"/>
            <wp:effectExtent l="0" t="0" r="1905" b="5715"/>
            <wp:docPr id="17257622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762206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73675" cy="2500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FBB70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设置法人账号（用户名），可使用6-20位数字、英文、中文字符。账号重复时，提示修改；</w:t>
      </w:r>
    </w:p>
    <w:p w14:paraId="36B0E7CB">
      <w:pPr>
        <w:jc w:val="center"/>
        <w:rPr>
          <w:rFonts w:hint="eastAsia" w:ascii="仿宋" w:hAnsi="仿宋" w:eastAsia="仿宋"/>
          <w:sz w:val="28"/>
          <w:szCs w:val="28"/>
        </w:rPr>
      </w:pPr>
      <w:r>
        <w:drawing>
          <wp:inline distT="0" distB="0" distL="0" distR="0">
            <wp:extent cx="4915535" cy="653415"/>
            <wp:effectExtent l="0" t="0" r="0" b="0"/>
            <wp:docPr id="294646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64683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rcRect l="6794"/>
                    <a:stretch>
                      <a:fillRect/>
                    </a:stretch>
                  </pic:blipFill>
                  <pic:spPr>
                    <a:xfrm>
                      <a:off x="0" y="0"/>
                      <a:ext cx="4915964" cy="65341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93295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输入个人/企业邮箱；</w:t>
      </w:r>
    </w:p>
    <w:p w14:paraId="065D6E60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输入法定代表人手机号，点击【获取验证码】，验证码时效为3分钟；</w:t>
      </w:r>
    </w:p>
    <w:p w14:paraId="27BD97BA">
      <w:pPr>
        <w:ind w:firstLine="420" w:firstLineChars="200"/>
        <w:rPr>
          <w:rFonts w:hint="eastAsia" w:ascii="仿宋" w:hAnsi="仿宋" w:eastAsia="仿宋"/>
          <w:sz w:val="28"/>
          <w:szCs w:val="28"/>
        </w:rPr>
      </w:pPr>
      <w:r>
        <w:drawing>
          <wp:inline distT="0" distB="0" distL="0" distR="0">
            <wp:extent cx="4732020" cy="947420"/>
            <wp:effectExtent l="0" t="0" r="0" b="5080"/>
            <wp:docPr id="17799689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968960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58284" cy="952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7A698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法人账号设置密码，密码长度必须为8-16位，并且包含大小写字母和数字，安全级别达到中级；</w:t>
      </w:r>
    </w:p>
    <w:p w14:paraId="35D2B72D">
      <w:pPr>
        <w:jc w:val="center"/>
        <w:rPr>
          <w:rFonts w:hint="eastAsia" w:ascii="仿宋" w:hAnsi="仿宋" w:eastAsia="仿宋"/>
          <w:sz w:val="28"/>
          <w:szCs w:val="28"/>
        </w:rPr>
      </w:pPr>
      <w:r>
        <w:drawing>
          <wp:inline distT="0" distB="0" distL="0" distR="0">
            <wp:extent cx="4683125" cy="1312545"/>
            <wp:effectExtent l="0" t="0" r="3175" b="1905"/>
            <wp:docPr id="17692443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244308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701212" cy="131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4EA00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点击“注册”完成法人注册环节，进入经办人注册环节。</w:t>
      </w:r>
    </w:p>
    <w:p w14:paraId="00FD7BD5">
      <w:pPr>
        <w:numPr>
          <w:ilvl w:val="2"/>
          <w:numId w:val="1"/>
        </w:numPr>
        <w:outlineLvl w:val="2"/>
        <w:rPr>
          <w:rFonts w:hint="eastAsia" w:ascii="楷体" w:hAnsi="楷体" w:eastAsia="楷体" w:cs="楷体"/>
          <w:b/>
          <w:bCs/>
          <w:sz w:val="28"/>
          <w:szCs w:val="28"/>
        </w:rPr>
      </w:pPr>
      <w:bookmarkStart w:id="9" w:name="_Toc18493"/>
      <w:r>
        <w:rPr>
          <w:rFonts w:hint="eastAsia" w:ascii="楷体" w:hAnsi="楷体" w:eastAsia="楷体" w:cs="楷体"/>
          <w:b/>
          <w:bCs/>
          <w:sz w:val="28"/>
          <w:szCs w:val="28"/>
        </w:rPr>
        <w:t>非法人编辑部注册</w:t>
      </w:r>
      <w:bookmarkEnd w:id="9"/>
    </w:p>
    <w:p w14:paraId="0575DE4B">
      <w:pPr>
        <w:ind w:firstLine="560" w:firstLineChars="2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非法人编辑部注册时，需按照许可证内容准确填写单位名称、许可证号、证件类型、负责人姓名、负责人身份证号等信息；</w:t>
      </w:r>
    </w:p>
    <w:p w14:paraId="3AAEFFB6">
      <w:pPr>
        <w:ind w:firstLine="420" w:firstLineChars="200"/>
        <w:rPr>
          <w:rFonts w:hint="eastAsia" w:ascii="仿宋" w:hAnsi="仿宋" w:eastAsia="仿宋"/>
          <w:sz w:val="28"/>
          <w:szCs w:val="28"/>
        </w:rPr>
      </w:pPr>
      <w:r>
        <w:drawing>
          <wp:inline distT="0" distB="0" distL="0" distR="0">
            <wp:extent cx="4194810" cy="2497455"/>
            <wp:effectExtent l="0" t="0" r="0" b="0"/>
            <wp:docPr id="11187866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786653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03599" cy="2502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0DD7E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设置负责人账号（用户名），可使用6-20位数字、英文、中文字符。账号重复时，提示修改；</w:t>
      </w:r>
    </w:p>
    <w:p w14:paraId="51C2511E">
      <w:pPr>
        <w:jc w:val="center"/>
        <w:rPr>
          <w:rFonts w:hint="eastAsia" w:ascii="仿宋" w:hAnsi="仿宋" w:eastAsia="仿宋"/>
          <w:sz w:val="28"/>
          <w:szCs w:val="28"/>
        </w:rPr>
      </w:pPr>
      <w:r>
        <w:drawing>
          <wp:inline distT="0" distB="0" distL="0" distR="0">
            <wp:extent cx="4915535" cy="653415"/>
            <wp:effectExtent l="0" t="0" r="0" b="0"/>
            <wp:docPr id="6686346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634680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rcRect l="6794"/>
                    <a:stretch>
                      <a:fillRect/>
                    </a:stretch>
                  </pic:blipFill>
                  <pic:spPr>
                    <a:xfrm>
                      <a:off x="0" y="0"/>
                      <a:ext cx="4915964" cy="65341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F7DA4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输入个人/企业邮箱；</w:t>
      </w:r>
    </w:p>
    <w:p w14:paraId="626B143F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输入法定代表人手机号，点击【获取验证码】，验证码时效为3分钟；</w:t>
      </w:r>
    </w:p>
    <w:p w14:paraId="5B474B4B">
      <w:pPr>
        <w:ind w:firstLine="420" w:firstLineChars="200"/>
        <w:rPr>
          <w:rFonts w:hint="eastAsia" w:ascii="仿宋" w:hAnsi="仿宋" w:eastAsia="仿宋"/>
          <w:sz w:val="28"/>
          <w:szCs w:val="28"/>
        </w:rPr>
      </w:pPr>
      <w:r>
        <w:drawing>
          <wp:inline distT="0" distB="0" distL="0" distR="0">
            <wp:extent cx="4373880" cy="875665"/>
            <wp:effectExtent l="0" t="0" r="7620" b="635"/>
            <wp:docPr id="19670942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094289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434022" cy="88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D0E8F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负责人账号设置密码，密码长度必须为8-16位，并且包含大小写字母和数字，安全级别达到中级；</w:t>
      </w:r>
    </w:p>
    <w:p w14:paraId="220BA984">
      <w:pPr>
        <w:jc w:val="center"/>
        <w:rPr>
          <w:rFonts w:hint="eastAsia" w:ascii="仿宋" w:hAnsi="仿宋" w:eastAsia="仿宋"/>
          <w:sz w:val="28"/>
          <w:szCs w:val="28"/>
        </w:rPr>
      </w:pPr>
      <w:r>
        <w:drawing>
          <wp:inline distT="0" distB="0" distL="0" distR="0">
            <wp:extent cx="4744720" cy="1329690"/>
            <wp:effectExtent l="0" t="0" r="0" b="3810"/>
            <wp:docPr id="1147052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05253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752803" cy="133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02B69">
      <w:pPr>
        <w:ind w:firstLine="560" w:firstLineChars="200"/>
        <w:rPr>
          <w:rFonts w:hint="eastAsia" w:ascii="仿宋" w:hAnsi="仿宋" w:eastAsia="仿宋"/>
          <w:sz w:val="22"/>
          <w:szCs w:val="22"/>
        </w:rPr>
      </w:pPr>
      <w:r>
        <w:rPr>
          <w:rFonts w:hint="eastAsia" w:ascii="仿宋" w:hAnsi="仿宋" w:eastAsia="仿宋"/>
          <w:sz w:val="28"/>
          <w:szCs w:val="28"/>
        </w:rPr>
        <w:t>点击“注册”完成法人注册，进入创建经办人环节。</w:t>
      </w:r>
    </w:p>
    <w:p w14:paraId="5DA04A73">
      <w:pPr>
        <w:numPr>
          <w:ilvl w:val="2"/>
          <w:numId w:val="1"/>
        </w:numPr>
        <w:outlineLvl w:val="2"/>
        <w:rPr>
          <w:rFonts w:hint="eastAsia" w:ascii="楷体" w:hAnsi="楷体" w:eastAsia="楷体" w:cs="楷体"/>
          <w:b/>
          <w:bCs/>
          <w:sz w:val="28"/>
          <w:szCs w:val="28"/>
        </w:rPr>
      </w:pPr>
      <w:bookmarkStart w:id="10" w:name="_Toc9233"/>
      <w:r>
        <w:rPr>
          <w:rFonts w:hint="eastAsia" w:ascii="楷体" w:hAnsi="楷体" w:eastAsia="楷体" w:cs="楷体"/>
          <w:b/>
          <w:bCs/>
          <w:sz w:val="28"/>
          <w:szCs w:val="28"/>
        </w:rPr>
        <w:t>创建经办人</w:t>
      </w:r>
      <w:bookmarkEnd w:id="10"/>
    </w:p>
    <w:p w14:paraId="2A934E7D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发行单位可根据自身需要“</w:t>
      </w:r>
      <w:r>
        <w:rPr>
          <w:rFonts w:ascii="仿宋" w:hAnsi="仿宋" w:eastAsia="仿宋"/>
          <w:sz w:val="28"/>
          <w:szCs w:val="28"/>
        </w:rPr>
        <w:t>创建经办人</w:t>
      </w:r>
      <w:r>
        <w:rPr>
          <w:rFonts w:hint="eastAsia" w:ascii="仿宋" w:hAnsi="仿宋" w:eastAsia="仿宋"/>
          <w:sz w:val="28"/>
          <w:szCs w:val="28"/>
        </w:rPr>
        <w:t>”。如不需创建经办人可点击下方“跳过”按钮完成宣传文化政务服务平台注册流程。</w:t>
      </w:r>
    </w:p>
    <w:p w14:paraId="10D188AD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创建经办人需准确填写经办人姓名、证件类型、经办人身份证号等信息；</w:t>
      </w:r>
    </w:p>
    <w:p w14:paraId="6FCB8636">
      <w:pPr>
        <w:jc w:val="center"/>
        <w:rPr>
          <w:rFonts w:hint="eastAsia" w:ascii="仿宋" w:hAnsi="仿宋" w:eastAsia="仿宋"/>
          <w:sz w:val="28"/>
          <w:szCs w:val="28"/>
        </w:rPr>
      </w:pPr>
      <w:r>
        <w:drawing>
          <wp:inline distT="0" distB="0" distL="0" distR="0">
            <wp:extent cx="5274310" cy="2121535"/>
            <wp:effectExtent l="0" t="0" r="2540" b="0"/>
            <wp:docPr id="2521759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175958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588C5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设置经办人账号（用户名），可使用6-20位数字、英文、中文字符。账号重复时，提示修改；</w:t>
      </w:r>
    </w:p>
    <w:p w14:paraId="16FE16D7">
      <w:pPr>
        <w:jc w:val="center"/>
        <w:rPr>
          <w:rFonts w:hint="eastAsia" w:ascii="仿宋" w:hAnsi="仿宋" w:eastAsia="仿宋"/>
          <w:sz w:val="28"/>
          <w:szCs w:val="28"/>
        </w:rPr>
      </w:pPr>
      <w:r>
        <w:drawing>
          <wp:inline distT="0" distB="0" distL="0" distR="0">
            <wp:extent cx="4915535" cy="653415"/>
            <wp:effectExtent l="0" t="0" r="0" b="0"/>
            <wp:docPr id="13677240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724072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rcRect l="6794"/>
                    <a:stretch>
                      <a:fillRect/>
                    </a:stretch>
                  </pic:blipFill>
                  <pic:spPr>
                    <a:xfrm>
                      <a:off x="0" y="0"/>
                      <a:ext cx="4915964" cy="65341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2BE4F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输入个人/企业邮箱；</w:t>
      </w:r>
    </w:p>
    <w:p w14:paraId="78C77C26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输入经办人手机号，点击【获取验证码】，验证码时效为3分钟；</w:t>
      </w:r>
    </w:p>
    <w:p w14:paraId="712DDACD">
      <w:pPr>
        <w:ind w:firstLine="420" w:firstLineChars="200"/>
        <w:rPr>
          <w:rFonts w:hint="eastAsia" w:ascii="仿宋" w:hAnsi="仿宋" w:eastAsia="仿宋"/>
          <w:sz w:val="28"/>
          <w:szCs w:val="28"/>
        </w:rPr>
      </w:pPr>
      <w:r>
        <w:drawing>
          <wp:inline distT="0" distB="0" distL="0" distR="0">
            <wp:extent cx="4620895" cy="1023620"/>
            <wp:effectExtent l="0" t="0" r="8255" b="5080"/>
            <wp:docPr id="6061333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133383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665776" cy="1033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0E08F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经办人账号设置密码，密码长度必须为8-16位，并且包含大小写字母和数字，安全级别达到中级；</w:t>
      </w:r>
    </w:p>
    <w:p w14:paraId="789C6EF2">
      <w:pPr>
        <w:jc w:val="center"/>
        <w:rPr>
          <w:rFonts w:hint="eastAsia" w:ascii="仿宋" w:hAnsi="仿宋" w:eastAsia="仿宋"/>
          <w:sz w:val="28"/>
          <w:szCs w:val="28"/>
        </w:rPr>
      </w:pPr>
      <w:r>
        <w:drawing>
          <wp:inline distT="0" distB="0" distL="0" distR="0">
            <wp:extent cx="4781550" cy="1339850"/>
            <wp:effectExtent l="0" t="0" r="0" b="0"/>
            <wp:docPr id="6410681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068179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789278" cy="1342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2AE15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设置经办人有效期，有效期内经办人可代表本单位办理相关业务；</w:t>
      </w:r>
    </w:p>
    <w:p w14:paraId="784A8AD6">
      <w:pPr>
        <w:jc w:val="center"/>
        <w:rPr>
          <w:rFonts w:hint="eastAsia" w:ascii="仿宋" w:hAnsi="仿宋" w:eastAsia="仿宋"/>
          <w:sz w:val="28"/>
          <w:szCs w:val="28"/>
        </w:rPr>
      </w:pPr>
      <w:r>
        <w:drawing>
          <wp:inline distT="0" distB="0" distL="0" distR="0">
            <wp:extent cx="5274310" cy="1176020"/>
            <wp:effectExtent l="0" t="0" r="2540" b="5080"/>
            <wp:docPr id="19396557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655798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7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068AF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点击“创建经办人”完成宣传文化政务服务</w:t>
      </w:r>
      <w:r>
        <w:rPr>
          <w:rFonts w:hint="eastAsia" w:ascii="仿宋" w:hAnsi="仿宋" w:eastAsia="仿宋"/>
          <w:sz w:val="28"/>
          <w:szCs w:val="28"/>
          <w:lang w:eastAsia="zh-CN"/>
        </w:rPr>
        <w:t>平台</w:t>
      </w:r>
      <w:r>
        <w:rPr>
          <w:rFonts w:hint="eastAsia" w:ascii="仿宋" w:hAnsi="仿宋" w:eastAsia="仿宋"/>
          <w:sz w:val="28"/>
          <w:szCs w:val="28"/>
        </w:rPr>
        <w:t>注册流程。</w:t>
      </w:r>
    </w:p>
    <w:p w14:paraId="07FFFBD6">
      <w:pPr>
        <w:numPr>
          <w:ilvl w:val="1"/>
          <w:numId w:val="1"/>
        </w:numPr>
        <w:outlineLvl w:val="1"/>
        <w:rPr>
          <w:rFonts w:hint="eastAsia" w:ascii="楷体" w:hAnsi="楷体" w:eastAsia="楷体"/>
          <w:b/>
          <w:bCs/>
          <w:sz w:val="28"/>
          <w:szCs w:val="28"/>
        </w:rPr>
      </w:pPr>
      <w:bookmarkStart w:id="11" w:name="_Toc27596"/>
      <w:r>
        <w:rPr>
          <w:rFonts w:hint="eastAsia" w:ascii="楷体" w:hAnsi="楷体" w:eastAsia="楷体"/>
          <w:b/>
          <w:bCs/>
          <w:sz w:val="28"/>
          <w:szCs w:val="28"/>
        </w:rPr>
        <w:t>平台登录</w:t>
      </w:r>
      <w:bookmarkEnd w:id="11"/>
    </w:p>
    <w:p w14:paraId="7E0E1CE5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注册完成后，返回宣传文化政务服务平台页面进行登录。</w:t>
      </w:r>
    </w:p>
    <w:p w14:paraId="1FDC7C18">
      <w:pPr>
        <w:rPr>
          <w:rFonts w:hint="eastAsia" w:ascii="仿宋" w:hAnsi="仿宋" w:eastAsia="仿宋"/>
          <w:sz w:val="28"/>
          <w:szCs w:val="28"/>
        </w:rPr>
      </w:pPr>
      <w:r>
        <w:drawing>
          <wp:inline distT="0" distB="0" distL="0" distR="0">
            <wp:extent cx="5274310" cy="3093720"/>
            <wp:effectExtent l="0" t="0" r="2540" b="0"/>
            <wp:docPr id="16399883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988330" name="图片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9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73044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用户可通过“账号+密码+短信验证码”或“手机号+短信验证码”方式登录，进入宣传文化政务服务平台用户主页。</w:t>
      </w:r>
    </w:p>
    <w:p w14:paraId="101E10D4">
      <w:pPr>
        <w:ind w:firstLine="420" w:firstLineChars="200"/>
        <w:rPr>
          <w:rFonts w:hint="eastAsia" w:ascii="仿宋" w:hAnsi="仿宋" w:eastAsia="仿宋"/>
          <w:sz w:val="28"/>
          <w:szCs w:val="28"/>
        </w:rPr>
      </w:pPr>
      <w:r>
        <w:drawing>
          <wp:inline distT="0" distB="0" distL="0" distR="0">
            <wp:extent cx="1828800" cy="2049145"/>
            <wp:effectExtent l="0" t="0" r="0" b="8255"/>
            <wp:docPr id="5719092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909259" name="图片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844694" cy="2067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sz w:val="28"/>
          <w:szCs w:val="28"/>
        </w:rPr>
        <w:t xml:space="preserve">           </w:t>
      </w: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1935480" cy="1981200"/>
            <wp:effectExtent l="0" t="0" r="7620" b="0"/>
            <wp:docPr id="18913555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355507" name="图片 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940852" cy="1986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FD2CB">
      <w:pPr>
        <w:ind w:firstLine="440" w:firstLineChars="200"/>
        <w:rPr>
          <w:rFonts w:hint="eastAsia" w:ascii="仿宋" w:hAnsi="仿宋" w:eastAsia="仿宋"/>
          <w:sz w:val="22"/>
          <w:szCs w:val="22"/>
        </w:rPr>
      </w:pPr>
    </w:p>
    <w:p w14:paraId="22530E58">
      <w:pPr>
        <w:numPr>
          <w:ilvl w:val="0"/>
          <w:numId w:val="1"/>
        </w:numPr>
        <w:outlineLvl w:val="0"/>
        <w:rPr>
          <w:rFonts w:hint="eastAsia" w:ascii="楷体" w:hAnsi="楷体" w:eastAsia="楷体"/>
          <w:b/>
          <w:bCs/>
          <w:sz w:val="28"/>
          <w:szCs w:val="28"/>
        </w:rPr>
      </w:pPr>
      <w:bookmarkStart w:id="12" w:name="_Toc28649"/>
      <w:r>
        <w:rPr>
          <w:rFonts w:hint="eastAsia" w:ascii="楷体" w:hAnsi="楷体" w:eastAsia="楷体"/>
          <w:b/>
          <w:bCs/>
          <w:sz w:val="28"/>
          <w:szCs w:val="28"/>
        </w:rPr>
        <w:t>年检信息填报</w:t>
      </w:r>
      <w:bookmarkEnd w:id="12"/>
    </w:p>
    <w:p w14:paraId="23B27C5C">
      <w:pPr>
        <w:numPr>
          <w:ilvl w:val="1"/>
          <w:numId w:val="1"/>
        </w:numPr>
        <w:outlineLvl w:val="1"/>
        <w:rPr>
          <w:rFonts w:hint="eastAsia" w:ascii="楷体" w:hAnsi="楷体" w:eastAsia="楷体"/>
          <w:b/>
          <w:bCs/>
          <w:sz w:val="28"/>
          <w:szCs w:val="28"/>
        </w:rPr>
      </w:pPr>
      <w:bookmarkStart w:id="13" w:name="_Toc19163"/>
      <w:r>
        <w:rPr>
          <w:rFonts w:hint="eastAsia" w:ascii="楷体" w:hAnsi="楷体" w:eastAsia="楷体"/>
          <w:b/>
          <w:bCs/>
          <w:sz w:val="28"/>
          <w:szCs w:val="28"/>
        </w:rPr>
        <w:t>系统入口</w:t>
      </w:r>
      <w:bookmarkEnd w:id="13"/>
    </w:p>
    <w:p w14:paraId="0AD3CF07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点击页面左下方“推荐服务”中的“</w:t>
      </w:r>
      <w:r>
        <w:rPr>
          <w:rFonts w:hint="eastAsia" w:ascii="仿宋" w:hAnsi="仿宋" w:eastAsia="仿宋"/>
          <w:sz w:val="28"/>
          <w:szCs w:val="28"/>
          <w:lang w:eastAsia="zh-CN"/>
        </w:rPr>
        <w:t>全国发行单位年度核验系统</w:t>
      </w:r>
      <w:r>
        <w:rPr>
          <w:rFonts w:hint="eastAsia" w:ascii="仿宋" w:hAnsi="仿宋" w:eastAsia="仿宋"/>
          <w:sz w:val="28"/>
          <w:szCs w:val="28"/>
        </w:rPr>
        <w:t>”按钮，进入系统开始填报。</w:t>
      </w:r>
    </w:p>
    <w:p w14:paraId="7F085D9A">
      <w:pPr>
        <w:rPr>
          <w:rFonts w:hint="eastAsia" w:ascii="仿宋" w:hAnsi="仿宋" w:eastAsia="仿宋"/>
          <w:sz w:val="22"/>
          <w:szCs w:val="22"/>
        </w:rPr>
      </w:pPr>
      <w:r>
        <w:drawing>
          <wp:inline distT="0" distB="0" distL="114300" distR="114300">
            <wp:extent cx="5266690" cy="3452495"/>
            <wp:effectExtent l="0" t="0" r="16510" b="190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45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F2079">
      <w:pPr>
        <w:numPr>
          <w:ilvl w:val="1"/>
          <w:numId w:val="1"/>
        </w:numPr>
        <w:outlineLvl w:val="1"/>
        <w:rPr>
          <w:rFonts w:hint="eastAsia" w:ascii="楷体" w:hAnsi="楷体" w:eastAsia="楷体"/>
          <w:b/>
          <w:bCs/>
          <w:sz w:val="28"/>
          <w:szCs w:val="28"/>
        </w:rPr>
      </w:pPr>
      <w:bookmarkStart w:id="14" w:name="_Toc22676"/>
      <w:r>
        <w:rPr>
          <w:rFonts w:hint="eastAsia" w:ascii="楷体" w:hAnsi="楷体" w:eastAsia="楷体"/>
          <w:b/>
          <w:bCs/>
          <w:sz w:val="28"/>
          <w:szCs w:val="28"/>
        </w:rPr>
        <w:t>信息填报</w:t>
      </w:r>
      <w:bookmarkEnd w:id="14"/>
    </w:p>
    <w:p w14:paraId="22BA26E8">
      <w:pPr>
        <w:numPr>
          <w:ilvl w:val="2"/>
          <w:numId w:val="1"/>
        </w:numPr>
        <w:outlineLvl w:val="2"/>
        <w:rPr>
          <w:rFonts w:hint="eastAsia" w:ascii="楷体" w:hAnsi="楷体" w:eastAsia="楷体" w:cs="楷体"/>
          <w:b/>
          <w:bCs/>
          <w:sz w:val="28"/>
          <w:szCs w:val="28"/>
        </w:rPr>
      </w:pPr>
      <w:bookmarkStart w:id="15" w:name="_Toc5735"/>
      <w:r>
        <w:rPr>
          <w:rFonts w:hint="eastAsia" w:ascii="楷体" w:hAnsi="楷体" w:eastAsia="楷体" w:cs="楷体"/>
          <w:b/>
          <w:bCs/>
          <w:sz w:val="28"/>
          <w:szCs w:val="28"/>
        </w:rPr>
        <w:t>基本信息和企业信息填报</w:t>
      </w:r>
      <w:bookmarkEnd w:id="15"/>
    </w:p>
    <w:p w14:paraId="4F6ED788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新用户登录系统后，直接进入出版物发行单位“基本信息”和“企业信息”填报页面。按照营业执照、出版物经营许可证、实体书店和网上书店情况准确填写相关信息，点击“添加”按钮可增加实体书店或网上书店数量。填写完毕后，点击“下一步”。</w:t>
      </w:r>
    </w:p>
    <w:p w14:paraId="5BBCE476">
      <w:pPr>
        <w:ind w:firstLine="562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日常填报</w:t>
      </w:r>
      <w:r>
        <w:rPr>
          <w:rFonts w:hint="eastAsia" w:ascii="仿宋" w:hAnsi="仿宋" w:eastAsia="仿宋"/>
          <w:sz w:val="28"/>
          <w:szCs w:val="28"/>
        </w:rPr>
        <w:t>期间直接提交至审核部门进行出版物发行单位基本信息审核。</w:t>
      </w:r>
    </w:p>
    <w:p w14:paraId="31BBD431">
      <w:pPr>
        <w:ind w:firstLine="562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年度核验填报</w:t>
      </w:r>
      <w:r>
        <w:rPr>
          <w:rFonts w:hint="eastAsia" w:ascii="仿宋" w:hAnsi="仿宋" w:eastAsia="仿宋"/>
          <w:sz w:val="28"/>
          <w:szCs w:val="28"/>
        </w:rPr>
        <w:t>期间进入“发行单位年度核验登记表”填报页面。</w:t>
      </w:r>
    </w:p>
    <w:p w14:paraId="5038500F">
      <w:pPr>
        <w:jc w:val="center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5274310" cy="5471795"/>
            <wp:effectExtent l="0" t="0" r="13970" b="14605"/>
            <wp:docPr id="151629778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297787" name="图片 6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7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C91F6">
      <w:pPr>
        <w:jc w:val="center"/>
        <w:rPr>
          <w:rFonts w:hint="eastAsia" w:ascii="仿宋" w:hAnsi="仿宋" w:eastAsia="仿宋"/>
          <w:b/>
          <w:bCs/>
          <w:sz w:val="22"/>
          <w:szCs w:val="22"/>
        </w:rPr>
      </w:pPr>
    </w:p>
    <w:p w14:paraId="1F32AE8F">
      <w:pPr>
        <w:numPr>
          <w:ilvl w:val="2"/>
          <w:numId w:val="1"/>
        </w:numPr>
        <w:outlineLvl w:val="2"/>
        <w:rPr>
          <w:rFonts w:hint="eastAsia" w:ascii="楷体" w:hAnsi="楷体" w:eastAsia="楷体" w:cs="楷体"/>
          <w:b/>
          <w:bCs/>
          <w:sz w:val="28"/>
          <w:szCs w:val="28"/>
        </w:rPr>
      </w:pPr>
      <w:bookmarkStart w:id="16" w:name="_Toc8167"/>
      <w:r>
        <w:rPr>
          <w:rFonts w:hint="eastAsia" w:ascii="楷体" w:hAnsi="楷体" w:eastAsia="楷体" w:cs="楷体"/>
          <w:b/>
          <w:bCs/>
          <w:sz w:val="28"/>
          <w:szCs w:val="28"/>
        </w:rPr>
        <w:t>发行单位年度核验登记表填报</w:t>
      </w:r>
      <w:bookmarkEnd w:id="16"/>
    </w:p>
    <w:p w14:paraId="781365A1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1、按照年度核验要求完善基本信息。</w:t>
      </w:r>
    </w:p>
    <w:p w14:paraId="6A9FAE2F">
      <w:pPr>
        <w:ind w:firstLine="562" w:firstLineChars="200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填报规则：</w:t>
      </w:r>
    </w:p>
    <w:p w14:paraId="3CFD8349">
      <w:pPr>
        <w:numPr>
          <w:ilvl w:val="0"/>
          <w:numId w:val="2"/>
        </w:numPr>
        <w:ind w:left="425" w:leftChars="0" w:hanging="425" w:firstLineChars="0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职工人数必须大于0；</w:t>
      </w:r>
    </w:p>
    <w:p w14:paraId="2DB4114A">
      <w:pPr>
        <w:numPr>
          <w:ilvl w:val="0"/>
          <w:numId w:val="2"/>
        </w:numPr>
        <w:ind w:left="425" w:leftChars="0" w:hanging="425" w:firstLineChars="0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投资比例合计必须为100%</w:t>
      </w:r>
    </w:p>
    <w:p w14:paraId="2C90C811">
      <w:pPr>
        <w:jc w:val="center"/>
        <w:rPr>
          <w:rFonts w:hint="eastAsia" w:ascii="仿宋" w:hAnsi="仿宋" w:eastAsia="仿宋"/>
          <w:sz w:val="28"/>
          <w:szCs w:val="28"/>
        </w:rPr>
      </w:pPr>
      <w:r>
        <w:drawing>
          <wp:inline distT="0" distB="0" distL="0" distR="0">
            <wp:extent cx="5274310" cy="3973830"/>
            <wp:effectExtent l="0" t="0" r="2540" b="7620"/>
            <wp:docPr id="13374050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405001" name="图片 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7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C7223">
      <w:pPr>
        <w:jc w:val="center"/>
        <w:rPr>
          <w:rFonts w:hint="eastAsia" w:ascii="仿宋" w:hAnsi="仿宋" w:eastAsia="仿宋"/>
          <w:sz w:val="22"/>
          <w:szCs w:val="22"/>
        </w:rPr>
      </w:pPr>
    </w:p>
    <w:p w14:paraId="0FB6E191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2、按照实际经营情况填写业务信息。</w:t>
      </w:r>
    </w:p>
    <w:p w14:paraId="5E77AE4F">
      <w:pPr>
        <w:ind w:firstLine="562" w:firstLineChars="200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填报规则：</w:t>
      </w:r>
    </w:p>
    <w:p w14:paraId="0B6A32A8">
      <w:pPr>
        <w:numPr>
          <w:ilvl w:val="0"/>
          <w:numId w:val="2"/>
        </w:numPr>
        <w:ind w:left="425" w:leftChars="0" w:hanging="425" w:firstLineChars="0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发行网点面积总计应大于等于实体书店面积总计；</w:t>
      </w:r>
    </w:p>
    <w:p w14:paraId="0952B97D">
      <w:pPr>
        <w:numPr>
          <w:ilvl w:val="0"/>
          <w:numId w:val="2"/>
        </w:numPr>
        <w:ind w:left="425" w:leftChars="0" w:hanging="425" w:firstLineChars="0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批发单位发行网点面积总计应大于等于50；</w:t>
      </w:r>
    </w:p>
    <w:p w14:paraId="6518ABD3">
      <w:pPr>
        <w:numPr>
          <w:ilvl w:val="0"/>
          <w:numId w:val="2"/>
        </w:numPr>
        <w:ind w:left="425" w:leftChars="0" w:hanging="425" w:firstLineChars="0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出版物营业收入（万元）大于等于 实体书店（出版物销售额）+网上</w:t>
      </w: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书店</w:t>
      </w:r>
      <w:r>
        <w:rPr>
          <w:rFonts w:hint="eastAsia" w:ascii="仿宋" w:hAnsi="仿宋" w:eastAsia="仿宋"/>
          <w:b/>
          <w:bCs/>
          <w:sz w:val="28"/>
          <w:szCs w:val="28"/>
        </w:rPr>
        <w:t>（网络销售额），小于等于营业收入；</w:t>
      </w:r>
    </w:p>
    <w:p w14:paraId="0D104D95">
      <w:pPr>
        <w:numPr>
          <w:ilvl w:val="0"/>
          <w:numId w:val="2"/>
        </w:numPr>
        <w:ind w:left="425" w:leftChars="0" w:hanging="425" w:firstLineChars="0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出版物资产总额（万元）小于等于资产总额（万元）；</w:t>
      </w:r>
    </w:p>
    <w:p w14:paraId="57F3B6D9">
      <w:pPr>
        <w:numPr>
          <w:ilvl w:val="0"/>
          <w:numId w:val="2"/>
        </w:numPr>
        <w:ind w:left="425" w:leftChars="0" w:hanging="425" w:firstLineChars="0"/>
        <w:rPr>
          <w:rFonts w:hint="eastAsia" w:ascii="仿宋" w:hAnsi="仿宋" w:eastAsia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发行网点总数=县及县以上网点总数（个）+乡镇及以下网点总数（个），并且发行网点总数 必须大于等于1，发行网点总数必须大于等于实体书店总数</w:t>
      </w: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；</w:t>
      </w:r>
    </w:p>
    <w:p w14:paraId="2A058A5C">
      <w:pPr>
        <w:numPr>
          <w:ilvl w:val="0"/>
          <w:numId w:val="2"/>
        </w:numPr>
        <w:ind w:left="425" w:leftChars="0" w:hanging="425" w:firstLineChars="0"/>
        <w:rPr>
          <w:rFonts w:hint="eastAsia" w:ascii="仿宋" w:hAnsi="仿宋" w:eastAsia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营业收入应大于等于实体书店营业收入合计</w:t>
      </w: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；</w:t>
      </w:r>
    </w:p>
    <w:p w14:paraId="6E733649">
      <w:pPr>
        <w:numPr>
          <w:ilvl w:val="0"/>
          <w:numId w:val="2"/>
        </w:numPr>
        <w:ind w:left="425" w:leftChars="0" w:hanging="425" w:firstLineChars="0"/>
        <w:rPr>
          <w:rFonts w:hint="eastAsia" w:ascii="仿宋" w:hAnsi="仿宋" w:eastAsia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出版物营业收入应大于等于实体书店出版物营业收入合计+ 网上书店出版物营业收入合计</w:t>
      </w: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；</w:t>
      </w:r>
    </w:p>
    <w:p w14:paraId="664FFD59">
      <w:pPr>
        <w:numPr>
          <w:ilvl w:val="0"/>
          <w:numId w:val="2"/>
        </w:numPr>
        <w:ind w:left="425" w:leftChars="0" w:hanging="425" w:firstLineChars="0"/>
        <w:rPr>
          <w:rFonts w:hint="eastAsia" w:ascii="仿宋" w:hAnsi="仿宋" w:eastAsia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出版物利润总额应大于等于实体书店出版物利润总额合计+ 网上书店出版物利润总额合计，小于出版物营业收入</w:t>
      </w: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；</w:t>
      </w:r>
    </w:p>
    <w:p w14:paraId="576E6BDB">
      <w:pPr>
        <w:numPr>
          <w:ilvl w:val="0"/>
          <w:numId w:val="2"/>
        </w:numPr>
        <w:ind w:left="425" w:leftChars="0" w:hanging="425" w:firstLineChars="0"/>
        <w:rPr>
          <w:rFonts w:hint="eastAsia" w:ascii="仿宋" w:hAnsi="仿宋" w:eastAsia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出版物营业收入大于等于出版物销售额，出版物营业收入小于等于营业收入</w:t>
      </w: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；</w:t>
      </w:r>
    </w:p>
    <w:p w14:paraId="0C94C321">
      <w:pPr>
        <w:numPr>
          <w:ilvl w:val="0"/>
          <w:numId w:val="2"/>
        </w:numPr>
        <w:ind w:left="425" w:leftChars="0" w:hanging="425" w:firstLineChars="0"/>
        <w:rPr>
          <w:rFonts w:hint="eastAsia" w:ascii="仿宋" w:hAnsi="仿宋" w:eastAsia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出版物利润总额（万元）小于出版物营业收入（万元）</w:t>
      </w: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。</w:t>
      </w:r>
    </w:p>
    <w:p w14:paraId="744189AD">
      <w:pPr>
        <w:numPr>
          <w:ilvl w:val="0"/>
          <w:numId w:val="2"/>
        </w:numPr>
        <w:ind w:left="425" w:leftChars="0" w:hanging="425" w:firstLineChars="0"/>
        <w:rPr>
          <w:rFonts w:hint="default" w:ascii="仿宋" w:hAnsi="仿宋" w:eastAsia="仿宋"/>
          <w:b/>
          <w:bCs/>
          <w:sz w:val="28"/>
          <w:szCs w:val="28"/>
          <w:lang w:val="en-US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今年填报的营业收入（万元）将自动与上一年度的营业收入（万元）进行比例对比，超出对比规则后进行会提示：</w:t>
      </w:r>
    </w:p>
    <w:p w14:paraId="1E4936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去年营业额小于等于50万的校验，并且今年的变化大于100%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时提示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营业收入同比去年变化比例超出100%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686811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去年营业额大于50万的小于等于100万校验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时提示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营业收入同比去年变化比例超出50%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16846C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去年营业额大于100万并且小于等于500万的校验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时提示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营业收入同比去年变化比例超出30%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597878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去年营业额大于500万并且小于等于1000万的校验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时提示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营业收入同比去年变化比例超出20%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2B0AED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去年营业额大于1000万的校验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时提示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营业收入同比去年变化比例超出10%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4652BA24">
      <w:pPr>
        <w:jc w:val="center"/>
        <w:rPr>
          <w:rFonts w:hint="eastAsia" w:ascii="仿宋" w:hAnsi="仿宋" w:eastAsia="仿宋"/>
          <w:sz w:val="28"/>
          <w:szCs w:val="28"/>
        </w:rPr>
      </w:pPr>
      <w:r>
        <w:drawing>
          <wp:inline distT="0" distB="0" distL="0" distR="0">
            <wp:extent cx="5274310" cy="2628900"/>
            <wp:effectExtent l="0" t="0" r="2540" b="0"/>
            <wp:docPr id="6081278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127887" name="图片 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9EE09">
      <w:pPr>
        <w:jc w:val="center"/>
        <w:rPr>
          <w:rFonts w:hint="eastAsia" w:ascii="仿宋" w:hAnsi="仿宋" w:eastAsia="仿宋"/>
          <w:sz w:val="28"/>
          <w:szCs w:val="28"/>
        </w:rPr>
      </w:pPr>
      <w:r>
        <w:drawing>
          <wp:inline distT="0" distB="0" distL="0" distR="0">
            <wp:extent cx="5274310" cy="2656205"/>
            <wp:effectExtent l="0" t="0" r="2540" b="0"/>
            <wp:docPr id="6438661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866198" name="图片 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44DF4">
      <w:pPr>
        <w:jc w:val="center"/>
        <w:rPr>
          <w:rFonts w:hint="eastAsia" w:ascii="仿宋" w:hAnsi="仿宋" w:eastAsia="仿宋"/>
          <w:sz w:val="22"/>
          <w:szCs w:val="22"/>
        </w:rPr>
      </w:pPr>
    </w:p>
    <w:p w14:paraId="5AC7A5C8"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3、按照销售业态填报统计信息。</w:t>
      </w:r>
    </w:p>
    <w:p w14:paraId="5FD0CD44">
      <w:pPr>
        <w:ind w:firstLine="562" w:firstLineChars="200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填报规则：</w:t>
      </w:r>
    </w:p>
    <w:p w14:paraId="1831509D">
      <w:pPr>
        <w:numPr>
          <w:ilvl w:val="0"/>
          <w:numId w:val="2"/>
        </w:numPr>
        <w:ind w:left="425" w:leftChars="0" w:hanging="425" w:firstLineChars="0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按销售业态统计中的总计小于等于出版物营业收入（万元）；</w:t>
      </w:r>
    </w:p>
    <w:p w14:paraId="09344400">
      <w:pPr>
        <w:numPr>
          <w:ilvl w:val="0"/>
          <w:numId w:val="2"/>
        </w:numPr>
        <w:ind w:left="425" w:leftChars="0" w:hanging="425" w:firstLineChars="0"/>
        <w:rPr>
          <w:rFonts w:hint="eastAsia" w:ascii="仿宋" w:hAnsi="仿宋" w:eastAsia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按销售业态统计中的总计大于等于实体书店总计出版物销售额</w:t>
      </w: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；</w:t>
      </w:r>
    </w:p>
    <w:p w14:paraId="28FCC6C0">
      <w:pPr>
        <w:numPr>
          <w:ilvl w:val="0"/>
          <w:numId w:val="2"/>
        </w:numPr>
        <w:ind w:left="425" w:leftChars="0" w:hanging="425" w:firstLineChars="0"/>
        <w:rPr>
          <w:rFonts w:hint="eastAsia" w:ascii="仿宋" w:hAnsi="仿宋" w:eastAsia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销售数量总计（万册、万份、万盒、万张）应大于等于实体书店出版物销售量总计+网络销售数量总计</w:t>
      </w: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。</w:t>
      </w:r>
    </w:p>
    <w:p w14:paraId="67EDA5B0">
      <w:pPr>
        <w:rPr>
          <w:rFonts w:hint="eastAsia" w:ascii="仿宋" w:hAnsi="仿宋" w:eastAsia="仿宋"/>
          <w:sz w:val="28"/>
          <w:szCs w:val="28"/>
        </w:rPr>
      </w:pPr>
      <w:r>
        <w:drawing>
          <wp:inline distT="0" distB="0" distL="114300" distR="114300">
            <wp:extent cx="5265420" cy="1419860"/>
            <wp:effectExtent l="0" t="0" r="7620" b="1270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41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DA791">
      <w:pPr>
        <w:rPr>
          <w:rFonts w:hint="eastAsia" w:ascii="仿宋" w:hAnsi="仿宋" w:eastAsia="仿宋"/>
          <w:sz w:val="22"/>
          <w:szCs w:val="22"/>
        </w:rPr>
      </w:pPr>
    </w:p>
    <w:p w14:paraId="4B707566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4、按照销售分类填报统计信息</w:t>
      </w:r>
    </w:p>
    <w:p w14:paraId="27D3639D">
      <w:pPr>
        <w:ind w:firstLine="562" w:firstLineChars="200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填报规则：</w:t>
      </w:r>
    </w:p>
    <w:p w14:paraId="05ED6879">
      <w:pPr>
        <w:numPr>
          <w:ilvl w:val="0"/>
          <w:numId w:val="2"/>
        </w:numPr>
        <w:ind w:left="425" w:leftChars="0" w:hanging="425" w:firstLineChars="0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按销售分类统计的总计数应与按销售业态统计的总计数相等。</w:t>
      </w:r>
    </w:p>
    <w:p w14:paraId="32C861A0">
      <w:pPr>
        <w:jc w:val="center"/>
      </w:pPr>
    </w:p>
    <w:p w14:paraId="608E5580">
      <w:pPr>
        <w:jc w:val="center"/>
        <w:rPr>
          <w:rFonts w:hint="eastAsia" w:ascii="仿宋" w:hAnsi="仿宋" w:eastAsia="仿宋"/>
          <w:sz w:val="28"/>
          <w:szCs w:val="28"/>
        </w:rPr>
      </w:pPr>
      <w:r>
        <w:drawing>
          <wp:inline distT="0" distB="0" distL="114300" distR="114300">
            <wp:extent cx="5265420" cy="1622425"/>
            <wp:effectExtent l="0" t="0" r="7620" b="825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62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FC8AE">
      <w:pPr>
        <w:jc w:val="center"/>
        <w:rPr>
          <w:rFonts w:hint="eastAsia" w:ascii="仿宋" w:hAnsi="仿宋" w:eastAsia="仿宋"/>
          <w:sz w:val="22"/>
          <w:szCs w:val="22"/>
        </w:rPr>
      </w:pPr>
    </w:p>
    <w:p w14:paraId="6B8CAE5C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5、按实际情况填写自有且大于等于5000平方米的物流中心信息。</w:t>
      </w:r>
    </w:p>
    <w:p w14:paraId="0775FD05">
      <w:pPr>
        <w:jc w:val="center"/>
        <w:rPr>
          <w:rFonts w:hint="eastAsia" w:ascii="仿宋" w:hAnsi="仿宋" w:eastAsia="仿宋"/>
          <w:sz w:val="28"/>
          <w:szCs w:val="28"/>
        </w:rPr>
      </w:pPr>
      <w:r>
        <w:drawing>
          <wp:inline distT="0" distB="0" distL="0" distR="0">
            <wp:extent cx="5274310" cy="1144905"/>
            <wp:effectExtent l="0" t="0" r="2540" b="0"/>
            <wp:docPr id="6390418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041856" name="图片 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4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7E9B2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6、按单位实际情况填报核验年度上一年所受到的奖励或处罚信息。</w:t>
      </w:r>
    </w:p>
    <w:p w14:paraId="20B17752">
      <w:pPr>
        <w:rPr>
          <w:rFonts w:hint="eastAsia" w:ascii="仿宋" w:hAnsi="仿宋" w:eastAsia="仿宋"/>
          <w:sz w:val="28"/>
          <w:szCs w:val="28"/>
        </w:rPr>
      </w:pPr>
      <w:r>
        <w:drawing>
          <wp:inline distT="0" distB="0" distL="0" distR="0">
            <wp:extent cx="5274310" cy="1472565"/>
            <wp:effectExtent l="0" t="0" r="2540" b="0"/>
            <wp:docPr id="7124786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478608" name="图片 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7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9BC5A">
      <w:pPr>
        <w:rPr>
          <w:rFonts w:hint="eastAsia" w:ascii="仿宋" w:hAnsi="仿宋" w:eastAsia="仿宋"/>
          <w:sz w:val="22"/>
          <w:szCs w:val="22"/>
        </w:rPr>
      </w:pPr>
    </w:p>
    <w:p w14:paraId="03A599AD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7、登记表信息填写过程中，可随时点击“保存”按钮对填报信息进行保存，后续可通过系统首页的“填报”按钮继续完成填写。</w:t>
      </w:r>
    </w:p>
    <w:p w14:paraId="5E255F82">
      <w:pPr>
        <w:jc w:val="center"/>
        <w:rPr>
          <w:rFonts w:hint="eastAsia" w:ascii="仿宋" w:hAnsi="仿宋" w:eastAsia="仿宋"/>
          <w:sz w:val="28"/>
          <w:szCs w:val="28"/>
        </w:rPr>
      </w:pPr>
      <w:r>
        <w:drawing>
          <wp:inline distT="0" distB="0" distL="0" distR="0">
            <wp:extent cx="5274310" cy="548005"/>
            <wp:effectExtent l="0" t="0" r="2540" b="4445"/>
            <wp:docPr id="18575470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547078" name="图片 1"/>
                    <pic:cNvPicPr>
                      <a:picLocks noChangeAspect="1"/>
                    </pic:cNvPicPr>
                  </pic:nvPicPr>
                  <pic:blipFill>
                    <a:blip r:embed="rId37"/>
                    <a:srcRect t="6869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849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6F3B5">
      <w:pPr>
        <w:jc w:val="center"/>
        <w:rPr>
          <w:rFonts w:hint="eastAsia" w:ascii="仿宋" w:hAnsi="仿宋" w:eastAsia="仿宋"/>
          <w:sz w:val="22"/>
          <w:szCs w:val="22"/>
        </w:rPr>
      </w:pPr>
    </w:p>
    <w:p w14:paraId="17891909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8、完成登记表信息填写后，点击“提交”按钮完成年检填报。</w:t>
      </w:r>
    </w:p>
    <w:p w14:paraId="3CFBB600">
      <w:pPr>
        <w:jc w:val="center"/>
        <w:rPr>
          <w:rFonts w:hint="eastAsia" w:ascii="仿宋" w:hAnsi="仿宋" w:eastAsia="仿宋"/>
          <w:sz w:val="28"/>
          <w:szCs w:val="28"/>
        </w:rPr>
      </w:pPr>
      <w:r>
        <w:drawing>
          <wp:inline distT="0" distB="0" distL="0" distR="0">
            <wp:extent cx="5274310" cy="490855"/>
            <wp:effectExtent l="0" t="0" r="2540" b="4445"/>
            <wp:docPr id="17685031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503186" name="图片 1"/>
                    <pic:cNvPicPr>
                      <a:picLocks noChangeAspect="1"/>
                    </pic:cNvPicPr>
                  </pic:nvPicPr>
                  <pic:blipFill>
                    <a:blip r:embed="rId38"/>
                    <a:srcRect t="7180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114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D237F">
      <w:pPr>
        <w:ind w:firstLine="440" w:firstLineChars="200"/>
        <w:rPr>
          <w:rFonts w:hint="eastAsia" w:ascii="仿宋" w:hAnsi="仿宋" w:eastAsia="仿宋"/>
          <w:sz w:val="22"/>
          <w:szCs w:val="22"/>
        </w:rPr>
      </w:pPr>
    </w:p>
    <w:p w14:paraId="5D408281">
      <w:pPr>
        <w:numPr>
          <w:ilvl w:val="1"/>
          <w:numId w:val="1"/>
        </w:numPr>
        <w:outlineLvl w:val="1"/>
        <w:rPr>
          <w:rFonts w:hint="eastAsia" w:ascii="楷体" w:hAnsi="楷体" w:eastAsia="楷体"/>
          <w:b/>
          <w:bCs/>
          <w:sz w:val="28"/>
          <w:szCs w:val="28"/>
        </w:rPr>
      </w:pPr>
      <w:bookmarkStart w:id="17" w:name="_Toc4783"/>
      <w:r>
        <w:rPr>
          <w:rFonts w:hint="eastAsia" w:ascii="楷体" w:hAnsi="楷体" w:eastAsia="楷体"/>
          <w:b/>
          <w:bCs/>
          <w:sz w:val="28"/>
          <w:szCs w:val="28"/>
        </w:rPr>
        <w:t>填报状态查询</w:t>
      </w:r>
      <w:bookmarkEnd w:id="17"/>
    </w:p>
    <w:p w14:paraId="4DFF60F8">
      <w:pPr>
        <w:ind w:left="709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进入系统首页可查看填报状态。</w:t>
      </w:r>
    </w:p>
    <w:p w14:paraId="1974F4DE">
      <w:pPr>
        <w:rPr>
          <w:rFonts w:hint="eastAsia" w:ascii="仿宋" w:hAnsi="仿宋" w:eastAsia="仿宋"/>
          <w:sz w:val="28"/>
          <w:szCs w:val="28"/>
        </w:rPr>
      </w:pPr>
      <w:r>
        <w:drawing>
          <wp:inline distT="0" distB="0" distL="0" distR="0">
            <wp:extent cx="5274310" cy="1544955"/>
            <wp:effectExtent l="0" t="0" r="2540" b="0"/>
            <wp:docPr id="5497100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710087" name="图片 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4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5BC1B">
      <w:pPr>
        <w:rPr>
          <w:rFonts w:hint="eastAsia" w:ascii="仿宋" w:hAnsi="仿宋" w:eastAsia="仿宋"/>
          <w:sz w:val="22"/>
          <w:szCs w:val="22"/>
        </w:rPr>
      </w:pPr>
    </w:p>
    <w:p w14:paraId="47C9876C">
      <w:pPr>
        <w:numPr>
          <w:ilvl w:val="1"/>
          <w:numId w:val="1"/>
        </w:numPr>
        <w:outlineLvl w:val="1"/>
        <w:rPr>
          <w:rFonts w:hint="eastAsia" w:ascii="楷体" w:hAnsi="楷体" w:eastAsia="楷体"/>
          <w:b/>
          <w:bCs/>
          <w:sz w:val="28"/>
          <w:szCs w:val="28"/>
        </w:rPr>
      </w:pPr>
      <w:bookmarkStart w:id="18" w:name="_Toc17392"/>
      <w:r>
        <w:rPr>
          <w:rFonts w:hint="eastAsia" w:ascii="楷体" w:hAnsi="楷体" w:eastAsia="楷体"/>
          <w:b/>
          <w:bCs/>
          <w:sz w:val="28"/>
          <w:szCs w:val="28"/>
        </w:rPr>
        <w:t>登记表打印</w:t>
      </w:r>
      <w:bookmarkEnd w:id="18"/>
    </w:p>
    <w:p w14:paraId="2328C98D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登记表完成审核后，点击“查看”进入登记表详情页面，点击左上方 “打印登记表”按钮，进入打印预览页面，点击“打印”。</w:t>
      </w:r>
    </w:p>
    <w:p w14:paraId="334D36BF">
      <w:pPr>
        <w:jc w:val="center"/>
        <w:rPr>
          <w:rFonts w:hint="eastAsia" w:ascii="仿宋" w:hAnsi="仿宋" w:eastAsia="仿宋"/>
          <w:sz w:val="28"/>
          <w:szCs w:val="28"/>
        </w:rPr>
      </w:pPr>
      <w:r>
        <w:drawing>
          <wp:inline distT="0" distB="0" distL="0" distR="0">
            <wp:extent cx="5274310" cy="2521585"/>
            <wp:effectExtent l="0" t="0" r="2540" b="0"/>
            <wp:docPr id="8345902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590201" name="图片 1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BA7C0">
      <w:pPr>
        <w:ind w:firstLine="440" w:firstLineChars="200"/>
        <w:rPr>
          <w:rFonts w:hint="eastAsia" w:ascii="仿宋" w:hAnsi="仿宋" w:eastAsia="仿宋"/>
          <w:sz w:val="22"/>
          <w:szCs w:val="22"/>
        </w:rPr>
      </w:pPr>
    </w:p>
    <w:p w14:paraId="22097A68">
      <w:pPr>
        <w:numPr>
          <w:ilvl w:val="1"/>
          <w:numId w:val="1"/>
        </w:numPr>
        <w:outlineLvl w:val="1"/>
        <w:rPr>
          <w:rFonts w:hint="eastAsia" w:ascii="楷体" w:hAnsi="楷体" w:eastAsia="楷体"/>
          <w:b/>
          <w:bCs/>
          <w:sz w:val="28"/>
          <w:szCs w:val="28"/>
        </w:rPr>
      </w:pPr>
      <w:bookmarkStart w:id="19" w:name="_Toc11532"/>
      <w:r>
        <w:rPr>
          <w:rFonts w:hint="eastAsia" w:ascii="楷体" w:hAnsi="楷体" w:eastAsia="楷体"/>
          <w:b/>
          <w:bCs/>
          <w:sz w:val="28"/>
          <w:szCs w:val="28"/>
        </w:rPr>
        <w:t>登记表撤回</w:t>
      </w:r>
      <w:bookmarkEnd w:id="19"/>
    </w:p>
    <w:p w14:paraId="30FDF373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年检填报数据在“待审核”状态下，可进入“年检数据”功能模块，点击右侧“撤回”按钮进行撤回修改。“审核通过”后不可撤回。</w:t>
      </w:r>
    </w:p>
    <w:p w14:paraId="10DD1B08">
      <w:pPr>
        <w:jc w:val="center"/>
        <w:rPr>
          <w:rFonts w:hint="eastAsia" w:ascii="仿宋" w:hAnsi="仿宋" w:eastAsia="仿宋"/>
          <w:sz w:val="28"/>
          <w:szCs w:val="28"/>
        </w:rPr>
      </w:pPr>
      <w:r>
        <w:drawing>
          <wp:inline distT="0" distB="0" distL="0" distR="0">
            <wp:extent cx="5274310" cy="1371600"/>
            <wp:effectExtent l="0" t="0" r="2540" b="0"/>
            <wp:docPr id="2057246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24624" name="图片 1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0F6E0">
      <w:pPr>
        <w:numPr>
          <w:ilvl w:val="1"/>
          <w:numId w:val="1"/>
        </w:numPr>
        <w:outlineLvl w:val="1"/>
        <w:rPr>
          <w:rFonts w:hint="eastAsia" w:ascii="楷体" w:hAnsi="楷体" w:eastAsia="楷体"/>
          <w:b/>
          <w:bCs/>
          <w:sz w:val="28"/>
          <w:szCs w:val="28"/>
        </w:rPr>
      </w:pPr>
      <w:bookmarkStart w:id="20" w:name="_Toc28169"/>
      <w:r>
        <w:rPr>
          <w:rFonts w:hint="eastAsia" w:ascii="楷体" w:hAnsi="楷体" w:eastAsia="楷体"/>
          <w:b/>
          <w:bCs/>
          <w:sz w:val="28"/>
          <w:szCs w:val="28"/>
        </w:rPr>
        <w:t>退审操作</w:t>
      </w:r>
      <w:bookmarkEnd w:id="20"/>
    </w:p>
    <w:p w14:paraId="46004374">
      <w:pPr>
        <w:ind w:firstLine="565" w:firstLineChars="202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当填报信息有误，审核部门可对未审核填报信息进行退审，用户登录系统点击“填报”可对错误信息进行修改后再次提交。</w:t>
      </w:r>
    </w:p>
    <w:p w14:paraId="42EB5593">
      <w:pPr>
        <w:jc w:val="center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drawing>
          <wp:inline distT="0" distB="0" distL="0" distR="0">
            <wp:extent cx="5274310" cy="1262380"/>
            <wp:effectExtent l="0" t="0" r="2540" b="0"/>
            <wp:docPr id="19094735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47357" name="图片 9"/>
                    <pic:cNvPicPr>
                      <a:picLocks noChangeAspect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1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6246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511C1">
      <w:pPr>
        <w:numPr>
          <w:ilvl w:val="1"/>
          <w:numId w:val="1"/>
        </w:numPr>
        <w:outlineLvl w:val="1"/>
        <w:rPr>
          <w:rFonts w:hint="eastAsia" w:ascii="楷体" w:hAnsi="楷体" w:eastAsia="楷体"/>
          <w:b/>
          <w:bCs/>
          <w:sz w:val="28"/>
          <w:szCs w:val="28"/>
        </w:rPr>
      </w:pPr>
      <w:bookmarkStart w:id="21" w:name="_Toc7507"/>
      <w:r>
        <w:rPr>
          <w:rFonts w:hint="eastAsia" w:ascii="楷体" w:hAnsi="楷体" w:eastAsia="楷体"/>
          <w:b/>
          <w:bCs/>
          <w:sz w:val="28"/>
          <w:szCs w:val="28"/>
          <w:lang w:val="en-US" w:eastAsia="zh-CN"/>
        </w:rPr>
        <w:t>不予通过</w:t>
      </w:r>
      <w:r>
        <w:rPr>
          <w:rFonts w:hint="eastAsia" w:ascii="楷体" w:hAnsi="楷体" w:eastAsia="楷体"/>
          <w:b/>
          <w:bCs/>
          <w:sz w:val="28"/>
          <w:szCs w:val="28"/>
        </w:rPr>
        <w:t>操作</w:t>
      </w:r>
      <w:bookmarkEnd w:id="21"/>
    </w:p>
    <w:p w14:paraId="78081BAD">
      <w:pPr>
        <w:ind w:firstLine="565" w:firstLineChars="202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当填报信息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存在违规或不具有行政许可的条件</w:t>
      </w:r>
      <w:r>
        <w:rPr>
          <w:rFonts w:hint="eastAsia" w:ascii="仿宋" w:hAnsi="仿宋" w:eastAsia="仿宋"/>
          <w:sz w:val="28"/>
          <w:szCs w:val="28"/>
        </w:rPr>
        <w:t>，审核部门可对未审核填报信息进行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不予通过操作</w:t>
      </w:r>
      <w:r>
        <w:rPr>
          <w:rFonts w:hint="eastAsia" w:ascii="仿宋" w:hAnsi="仿宋" w:eastAsia="仿宋"/>
          <w:sz w:val="28"/>
          <w:szCs w:val="28"/>
        </w:rPr>
        <w:t>，用户登录系统点击“填报”可对信息进行修改后再次提交。</w:t>
      </w:r>
    </w:p>
    <w:p w14:paraId="32BE97DC">
      <w:pPr>
        <w:jc w:val="left"/>
        <w:rPr>
          <w:rFonts w:hint="eastAsia" w:ascii="仿宋" w:hAnsi="仿宋" w:eastAsia="仿宋"/>
          <w:sz w:val="22"/>
          <w:szCs w:val="22"/>
        </w:rPr>
      </w:pPr>
      <w:r>
        <w:rPr>
          <w:rFonts w:hint="eastAsia" w:ascii="仿宋" w:hAnsi="仿宋" w:eastAsia="仿宋"/>
          <w:sz w:val="28"/>
          <w:szCs w:val="28"/>
        </w:rPr>
        <w:drawing>
          <wp:inline distT="0" distB="0" distL="0" distR="0">
            <wp:extent cx="5274310" cy="1262380"/>
            <wp:effectExtent l="0" t="0" r="13970" b="2540"/>
            <wp:docPr id="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9"/>
                    <pic:cNvPicPr>
                      <a:picLocks noChangeAspect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1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6246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D7898">
      <w:pPr>
        <w:numPr>
          <w:ilvl w:val="1"/>
          <w:numId w:val="1"/>
        </w:numPr>
        <w:outlineLvl w:val="1"/>
        <w:rPr>
          <w:rFonts w:hint="eastAsia" w:ascii="楷体" w:hAnsi="楷体" w:eastAsia="楷体"/>
          <w:b/>
          <w:bCs/>
          <w:sz w:val="28"/>
          <w:szCs w:val="28"/>
        </w:rPr>
      </w:pPr>
      <w:bookmarkStart w:id="22" w:name="_Toc17188"/>
      <w:r>
        <w:rPr>
          <w:rFonts w:hint="eastAsia" w:ascii="楷体" w:hAnsi="楷体" w:eastAsia="楷体"/>
          <w:b/>
          <w:bCs/>
          <w:sz w:val="28"/>
          <w:szCs w:val="28"/>
        </w:rPr>
        <w:t>作废操作</w:t>
      </w:r>
      <w:bookmarkEnd w:id="22"/>
    </w:p>
    <w:p w14:paraId="7B19FD23">
      <w:pPr>
        <w:ind w:firstLine="565" w:firstLineChars="202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当填报信息有误，审核部门可对已经通过审核的登记表进行作废，用户登录系统点击“填报”可对错误信息进行修改后重新提交。系统首页将增加一条作废信息。</w:t>
      </w:r>
    </w:p>
    <w:p w14:paraId="744FFFD7">
      <w:pPr>
        <w:jc w:val="center"/>
        <w:rPr>
          <w:rFonts w:hint="eastAsia" w:ascii="仿宋" w:hAnsi="仿宋" w:eastAsia="仿宋"/>
          <w:sz w:val="28"/>
          <w:szCs w:val="28"/>
        </w:rPr>
      </w:pPr>
      <w:r>
        <w:drawing>
          <wp:inline distT="0" distB="0" distL="0" distR="0">
            <wp:extent cx="5274310" cy="1744980"/>
            <wp:effectExtent l="0" t="0" r="2540" b="7620"/>
            <wp:docPr id="4477825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782597" name="图片 1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4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8B758">
      <w:pPr>
        <w:rPr>
          <w:rFonts w:hint="eastAsia" w:ascii="仿宋" w:hAnsi="仿宋" w:eastAsia="仿宋"/>
          <w:sz w:val="22"/>
          <w:szCs w:val="22"/>
        </w:rPr>
      </w:pPr>
    </w:p>
    <w:p w14:paraId="605A9CDC">
      <w:pPr>
        <w:numPr>
          <w:ilvl w:val="1"/>
          <w:numId w:val="1"/>
        </w:numPr>
        <w:outlineLvl w:val="1"/>
        <w:rPr>
          <w:rFonts w:hint="eastAsia" w:ascii="楷体" w:hAnsi="楷体" w:eastAsia="楷体"/>
          <w:b/>
          <w:bCs/>
          <w:sz w:val="28"/>
          <w:szCs w:val="28"/>
        </w:rPr>
      </w:pPr>
      <w:bookmarkStart w:id="23" w:name="_Toc22352"/>
      <w:r>
        <w:rPr>
          <w:rFonts w:hint="eastAsia" w:ascii="楷体" w:hAnsi="楷体" w:eastAsia="楷体"/>
          <w:b/>
          <w:bCs/>
          <w:sz w:val="28"/>
          <w:szCs w:val="28"/>
        </w:rPr>
        <w:t>缓审操作</w:t>
      </w:r>
      <w:bookmarkEnd w:id="23"/>
    </w:p>
    <w:p w14:paraId="2F9964C4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审核部门对填报信息进行缓审的，发行单位在缓审期结束前不得再次填报。</w:t>
      </w:r>
    </w:p>
    <w:p w14:paraId="07E2E78D">
      <w:pPr>
        <w:numPr>
          <w:ilvl w:val="1"/>
          <w:numId w:val="1"/>
        </w:numPr>
        <w:outlineLvl w:val="1"/>
        <w:rPr>
          <w:rFonts w:hint="eastAsia" w:ascii="楷体" w:hAnsi="楷体" w:eastAsia="楷体"/>
          <w:b/>
          <w:bCs/>
          <w:sz w:val="28"/>
          <w:szCs w:val="28"/>
        </w:rPr>
      </w:pPr>
      <w:bookmarkStart w:id="24" w:name="_Toc26593"/>
      <w:r>
        <w:rPr>
          <w:rFonts w:hint="eastAsia" w:ascii="楷体" w:hAnsi="楷体" w:eastAsia="楷体"/>
          <w:b/>
          <w:bCs/>
          <w:sz w:val="28"/>
          <w:szCs w:val="28"/>
        </w:rPr>
        <w:t>基本信息修改</w:t>
      </w:r>
      <w:bookmarkEnd w:id="24"/>
    </w:p>
    <w:p w14:paraId="24AFC987">
      <w:pPr>
        <w:ind w:firstLine="560" w:firstLineChars="2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用户登录本系统后，可通过左侧“基本信息”功能模块对单位基本信息进行修改，审核通过后更新基本信息。（年度核验期间不可单独进行单位基本信息修改。）</w:t>
      </w:r>
    </w:p>
    <w:p w14:paraId="32BCA285">
      <w:pPr>
        <w:jc w:val="left"/>
        <w:rPr>
          <w:rFonts w:hint="eastAsia" w:ascii="仿宋" w:hAnsi="仿宋" w:eastAsia="仿宋"/>
          <w:sz w:val="28"/>
          <w:szCs w:val="28"/>
        </w:rPr>
      </w:pPr>
      <w:r>
        <w:drawing>
          <wp:inline distT="0" distB="0" distL="0" distR="0">
            <wp:extent cx="5274310" cy="2362835"/>
            <wp:effectExtent l="0" t="0" r="2540" b="0"/>
            <wp:docPr id="15305478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547847" name="图片 1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6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B8BB6">
      <w:pPr>
        <w:numPr>
          <w:ilvl w:val="0"/>
          <w:numId w:val="1"/>
        </w:numPr>
        <w:outlineLvl w:val="0"/>
        <w:rPr>
          <w:rFonts w:hint="eastAsia" w:ascii="楷体" w:hAnsi="楷体" w:eastAsia="楷体"/>
          <w:b/>
          <w:bCs/>
          <w:sz w:val="28"/>
          <w:szCs w:val="28"/>
        </w:rPr>
      </w:pPr>
      <w:bookmarkStart w:id="25" w:name="_Toc29987"/>
      <w:r>
        <w:rPr>
          <w:rFonts w:hint="eastAsia" w:ascii="楷体" w:hAnsi="楷体" w:eastAsia="楷体"/>
          <w:b/>
          <w:bCs/>
          <w:sz w:val="28"/>
          <w:szCs w:val="28"/>
        </w:rPr>
        <w:t>其他功能</w:t>
      </w:r>
      <w:bookmarkEnd w:id="25"/>
    </w:p>
    <w:p w14:paraId="4BE4EC9C">
      <w:pPr>
        <w:numPr>
          <w:ilvl w:val="1"/>
          <w:numId w:val="1"/>
        </w:numPr>
        <w:outlineLvl w:val="2"/>
        <w:rPr>
          <w:rFonts w:hint="eastAsia" w:ascii="楷体" w:hAnsi="楷体" w:eastAsia="楷体"/>
          <w:b/>
          <w:bCs/>
          <w:sz w:val="28"/>
          <w:szCs w:val="28"/>
        </w:rPr>
      </w:pPr>
      <w:bookmarkStart w:id="26" w:name="_Toc24045"/>
      <w:r>
        <w:rPr>
          <w:rFonts w:hint="eastAsia" w:ascii="楷体" w:hAnsi="楷体" w:eastAsia="楷体"/>
          <w:b/>
          <w:bCs/>
          <w:sz w:val="28"/>
          <w:szCs w:val="28"/>
        </w:rPr>
        <w:t>修改密码</w:t>
      </w:r>
      <w:bookmarkEnd w:id="26"/>
    </w:p>
    <w:p w14:paraId="3E258B02">
      <w:pPr>
        <w:ind w:firstLine="560" w:firstLineChars="2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用户密码需在宣传文化政务服务平台用户主页中进行修改，进入 “用户中心”。</w:t>
      </w:r>
    </w:p>
    <w:p w14:paraId="26FD5560">
      <w:pPr>
        <w:rPr>
          <w:rFonts w:hint="eastAsia" w:ascii="仿宋" w:hAnsi="仿宋" w:eastAsia="仿宋"/>
          <w:sz w:val="28"/>
          <w:szCs w:val="28"/>
        </w:rPr>
      </w:pPr>
      <w:r>
        <w:drawing>
          <wp:inline distT="0" distB="0" distL="0" distR="0">
            <wp:extent cx="5274310" cy="3473450"/>
            <wp:effectExtent l="0" t="0" r="2540" b="0"/>
            <wp:docPr id="7297065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706562" name="图片 1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7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72F94">
      <w:pPr>
        <w:jc w:val="center"/>
        <w:rPr>
          <w:rFonts w:hint="eastAsia" w:ascii="仿宋" w:hAnsi="仿宋" w:eastAsia="仿宋"/>
          <w:sz w:val="22"/>
          <w:szCs w:val="22"/>
        </w:rPr>
      </w:pPr>
    </w:p>
    <w:p w14:paraId="639412FB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点击“单位管理”按钮</w:t>
      </w:r>
    </w:p>
    <w:p w14:paraId="79A2C78E">
      <w:pPr>
        <w:rPr>
          <w:rFonts w:hint="eastAsia" w:ascii="仿宋" w:hAnsi="仿宋" w:eastAsia="仿宋"/>
          <w:sz w:val="28"/>
          <w:szCs w:val="28"/>
        </w:rPr>
      </w:pPr>
      <w:r>
        <w:drawing>
          <wp:inline distT="0" distB="0" distL="0" distR="0">
            <wp:extent cx="5274310" cy="2839720"/>
            <wp:effectExtent l="0" t="0" r="2540" b="0"/>
            <wp:docPr id="8511017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101774" name="图片 1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1D086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点击“修改密码”按钮，并按照所提供的流程指引完成密码修改操作。</w:t>
      </w:r>
    </w:p>
    <w:p w14:paraId="0EDDB35F">
      <w:pPr>
        <w:jc w:val="center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114300" distR="114300">
            <wp:extent cx="5273040" cy="3316605"/>
            <wp:effectExtent l="0" t="0" r="10160" b="10795"/>
            <wp:docPr id="1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6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2D908">
      <w:pPr>
        <w:jc w:val="center"/>
        <w:rPr>
          <w:rFonts w:hint="eastAsia" w:ascii="仿宋" w:hAnsi="仿宋" w:eastAsia="仿宋"/>
          <w:sz w:val="22"/>
          <w:szCs w:val="22"/>
        </w:rPr>
      </w:pPr>
    </w:p>
    <w:p w14:paraId="23E62502">
      <w:pPr>
        <w:numPr>
          <w:ilvl w:val="1"/>
          <w:numId w:val="1"/>
        </w:numPr>
        <w:outlineLvl w:val="2"/>
        <w:rPr>
          <w:rFonts w:hint="eastAsia" w:ascii="楷体" w:hAnsi="楷体" w:eastAsia="楷体"/>
          <w:b/>
          <w:bCs/>
          <w:sz w:val="28"/>
          <w:szCs w:val="28"/>
        </w:rPr>
      </w:pPr>
      <w:bookmarkStart w:id="27" w:name="_Toc18825"/>
      <w:r>
        <w:rPr>
          <w:rFonts w:hint="eastAsia" w:ascii="楷体" w:hAnsi="楷体" w:eastAsia="楷体"/>
          <w:b/>
          <w:bCs/>
          <w:sz w:val="28"/>
          <w:szCs w:val="28"/>
        </w:rPr>
        <w:t>修改手机号</w:t>
      </w:r>
      <w:bookmarkEnd w:id="27"/>
    </w:p>
    <w:p w14:paraId="349425D0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依次进入 “用户中心”、“单位管理”页面，点击手机号修改按钮，按照流程进行手机号码修改。</w:t>
      </w:r>
    </w:p>
    <w:p w14:paraId="1E2EABC4">
      <w:pPr>
        <w:rPr>
          <w:rFonts w:hint="eastAsia" w:ascii="仿宋" w:hAnsi="仿宋" w:eastAsia="仿宋"/>
          <w:sz w:val="28"/>
          <w:szCs w:val="28"/>
        </w:rPr>
      </w:pPr>
      <w:r>
        <w:drawing>
          <wp:inline distT="0" distB="0" distL="0" distR="0">
            <wp:extent cx="5274310" cy="2722880"/>
            <wp:effectExtent l="0" t="0" r="2540" b="1270"/>
            <wp:docPr id="11685617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561743" name="图片 1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2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F18D2">
      <w:pPr>
        <w:jc w:val="center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114300" distR="114300">
            <wp:extent cx="5266055" cy="3104515"/>
            <wp:effectExtent l="0" t="0" r="17145" b="19685"/>
            <wp:docPr id="1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10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A08F0">
      <w:pPr>
        <w:jc w:val="center"/>
        <w:rPr>
          <w:rFonts w:hint="eastAsia" w:ascii="仿宋" w:hAnsi="仿宋" w:eastAsia="仿宋"/>
          <w:sz w:val="22"/>
          <w:szCs w:val="22"/>
        </w:rPr>
      </w:pPr>
    </w:p>
    <w:p w14:paraId="0072DF80">
      <w:pPr>
        <w:numPr>
          <w:ilvl w:val="1"/>
          <w:numId w:val="1"/>
        </w:numPr>
        <w:outlineLvl w:val="2"/>
        <w:rPr>
          <w:rFonts w:hint="eastAsia" w:ascii="楷体" w:hAnsi="楷体" w:eastAsia="楷体"/>
          <w:b/>
          <w:bCs/>
          <w:sz w:val="28"/>
          <w:szCs w:val="28"/>
        </w:rPr>
      </w:pPr>
      <w:bookmarkStart w:id="28" w:name="_Toc19897"/>
      <w:r>
        <w:rPr>
          <w:rFonts w:hint="eastAsia" w:ascii="楷体" w:hAnsi="楷体" w:eastAsia="楷体"/>
          <w:b/>
          <w:bCs/>
          <w:sz w:val="28"/>
          <w:szCs w:val="28"/>
        </w:rPr>
        <w:t>经办人管理</w:t>
      </w:r>
      <w:bookmarkEnd w:id="28"/>
    </w:p>
    <w:p w14:paraId="229798A9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若本单位需设立经办人代替法人进行系统操作，可以从宣传文化政务服务平台用户主页依次进入“用户中心”、“单位管理”页面，点击“我的经办人”进行添加、删除、设置经办人权限、经办人延期等操作。</w:t>
      </w:r>
    </w:p>
    <w:p w14:paraId="045A8A5B">
      <w:pPr>
        <w:ind w:firstLine="560" w:firstLineChars="200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主经办人具有维护其他经办人的权限，一个单位只能创建一个主经办人。</w:t>
      </w:r>
    </w:p>
    <w:p w14:paraId="6FD9F78F">
      <w:pPr>
        <w:rPr>
          <w:rFonts w:hint="eastAsia" w:ascii="仿宋" w:hAnsi="仿宋" w:eastAsia="仿宋"/>
          <w:sz w:val="28"/>
          <w:szCs w:val="28"/>
        </w:rPr>
      </w:pPr>
      <w:r>
        <w:drawing>
          <wp:inline distT="0" distB="0" distL="0" distR="0">
            <wp:extent cx="5274310" cy="2547620"/>
            <wp:effectExtent l="0" t="0" r="2540" b="5080"/>
            <wp:docPr id="18950129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012998" name="图片 1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7B7A9">
      <w:pPr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114300" distR="114300">
            <wp:extent cx="5262880" cy="3595370"/>
            <wp:effectExtent l="0" t="0" r="10160" b="1270"/>
            <wp:docPr id="22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9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59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 Light">
    <w:altName w:val="Times New Roman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FF0879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93916D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93916D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AC859C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5B80C5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9346A9"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9A1551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1766B5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C50AD6"/>
    <w:multiLevelType w:val="singleLevel"/>
    <w:tmpl w:val="93C50AD6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533F8302"/>
    <w:multiLevelType w:val="multilevel"/>
    <w:tmpl w:val="533F830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F6F73BDF"/>
    <w:rsid w:val="00002981"/>
    <w:rsid w:val="00002BF5"/>
    <w:rsid w:val="000215C2"/>
    <w:rsid w:val="00021FB3"/>
    <w:rsid w:val="000232BD"/>
    <w:rsid w:val="00091E26"/>
    <w:rsid w:val="000B7E2D"/>
    <w:rsid w:val="000D7893"/>
    <w:rsid w:val="000E66B9"/>
    <w:rsid w:val="001008AE"/>
    <w:rsid w:val="00130F86"/>
    <w:rsid w:val="00145E22"/>
    <w:rsid w:val="00165858"/>
    <w:rsid w:val="00181660"/>
    <w:rsid w:val="00186925"/>
    <w:rsid w:val="001D6949"/>
    <w:rsid w:val="00207D25"/>
    <w:rsid w:val="00210529"/>
    <w:rsid w:val="002142ED"/>
    <w:rsid w:val="002164A8"/>
    <w:rsid w:val="00280CCD"/>
    <w:rsid w:val="002A3F40"/>
    <w:rsid w:val="002C2260"/>
    <w:rsid w:val="00300209"/>
    <w:rsid w:val="00353381"/>
    <w:rsid w:val="00367DDA"/>
    <w:rsid w:val="0038026E"/>
    <w:rsid w:val="003C3E45"/>
    <w:rsid w:val="003D0FEF"/>
    <w:rsid w:val="003F2101"/>
    <w:rsid w:val="004043DC"/>
    <w:rsid w:val="00413EEB"/>
    <w:rsid w:val="00426D00"/>
    <w:rsid w:val="00432888"/>
    <w:rsid w:val="00494657"/>
    <w:rsid w:val="004E202C"/>
    <w:rsid w:val="00500565"/>
    <w:rsid w:val="00506F06"/>
    <w:rsid w:val="00523AEB"/>
    <w:rsid w:val="00530311"/>
    <w:rsid w:val="00533F10"/>
    <w:rsid w:val="005377F9"/>
    <w:rsid w:val="00541F71"/>
    <w:rsid w:val="005976F3"/>
    <w:rsid w:val="005A3908"/>
    <w:rsid w:val="005A589A"/>
    <w:rsid w:val="005E084D"/>
    <w:rsid w:val="005E29A0"/>
    <w:rsid w:val="00607C3D"/>
    <w:rsid w:val="00626900"/>
    <w:rsid w:val="0063474F"/>
    <w:rsid w:val="00635B5D"/>
    <w:rsid w:val="00660449"/>
    <w:rsid w:val="00690C18"/>
    <w:rsid w:val="0073053A"/>
    <w:rsid w:val="00730D61"/>
    <w:rsid w:val="007706BC"/>
    <w:rsid w:val="0078759F"/>
    <w:rsid w:val="0078794B"/>
    <w:rsid w:val="007F1C5C"/>
    <w:rsid w:val="007F4127"/>
    <w:rsid w:val="00804263"/>
    <w:rsid w:val="008A59BE"/>
    <w:rsid w:val="008B4136"/>
    <w:rsid w:val="008C7EDA"/>
    <w:rsid w:val="00950C57"/>
    <w:rsid w:val="00996973"/>
    <w:rsid w:val="0099711A"/>
    <w:rsid w:val="009D3531"/>
    <w:rsid w:val="009D472A"/>
    <w:rsid w:val="009D4C89"/>
    <w:rsid w:val="009E5120"/>
    <w:rsid w:val="00A107BB"/>
    <w:rsid w:val="00A13645"/>
    <w:rsid w:val="00A414B2"/>
    <w:rsid w:val="00A57143"/>
    <w:rsid w:val="00A871BC"/>
    <w:rsid w:val="00A93E36"/>
    <w:rsid w:val="00AE5528"/>
    <w:rsid w:val="00AF6868"/>
    <w:rsid w:val="00B1302B"/>
    <w:rsid w:val="00B24A71"/>
    <w:rsid w:val="00B44DBE"/>
    <w:rsid w:val="00B64B17"/>
    <w:rsid w:val="00B8069C"/>
    <w:rsid w:val="00BA30CA"/>
    <w:rsid w:val="00BD2933"/>
    <w:rsid w:val="00BF254B"/>
    <w:rsid w:val="00BF6266"/>
    <w:rsid w:val="00C270DF"/>
    <w:rsid w:val="00C3098E"/>
    <w:rsid w:val="00C57541"/>
    <w:rsid w:val="00C62F98"/>
    <w:rsid w:val="00C658FC"/>
    <w:rsid w:val="00C66D36"/>
    <w:rsid w:val="00C94477"/>
    <w:rsid w:val="00CA40DF"/>
    <w:rsid w:val="00CB620E"/>
    <w:rsid w:val="00CC2CC8"/>
    <w:rsid w:val="00CC3AD5"/>
    <w:rsid w:val="00D17BC6"/>
    <w:rsid w:val="00D67FBA"/>
    <w:rsid w:val="00D748C0"/>
    <w:rsid w:val="00DA5A76"/>
    <w:rsid w:val="00E204E7"/>
    <w:rsid w:val="00E34E6A"/>
    <w:rsid w:val="00E823BC"/>
    <w:rsid w:val="00E917F9"/>
    <w:rsid w:val="00EC2E88"/>
    <w:rsid w:val="00EC4B23"/>
    <w:rsid w:val="00F41063"/>
    <w:rsid w:val="00F416D3"/>
    <w:rsid w:val="00F71CDD"/>
    <w:rsid w:val="00F943C6"/>
    <w:rsid w:val="08FA177B"/>
    <w:rsid w:val="10E227B6"/>
    <w:rsid w:val="25680485"/>
    <w:rsid w:val="2A135BAE"/>
    <w:rsid w:val="2B1264B8"/>
    <w:rsid w:val="30BF2DC9"/>
    <w:rsid w:val="367B5207"/>
    <w:rsid w:val="3890049B"/>
    <w:rsid w:val="3F7FE27C"/>
    <w:rsid w:val="447B63D2"/>
    <w:rsid w:val="450F48DA"/>
    <w:rsid w:val="488A7888"/>
    <w:rsid w:val="5BCA7F13"/>
    <w:rsid w:val="5CD7083C"/>
    <w:rsid w:val="5FAFDDC7"/>
    <w:rsid w:val="66966AFA"/>
    <w:rsid w:val="67F78BC5"/>
    <w:rsid w:val="7373DC02"/>
    <w:rsid w:val="747694C5"/>
    <w:rsid w:val="753F8B9A"/>
    <w:rsid w:val="8F4532D6"/>
    <w:rsid w:val="AFEB4E97"/>
    <w:rsid w:val="B3FB7F45"/>
    <w:rsid w:val="BB3FAE2B"/>
    <w:rsid w:val="D6ED8AFC"/>
    <w:rsid w:val="DE6F61A9"/>
    <w:rsid w:val="EAFF9316"/>
    <w:rsid w:val="EEFF2007"/>
    <w:rsid w:val="F67FA6EA"/>
    <w:rsid w:val="F6F73BDF"/>
    <w:rsid w:val="F75EF430"/>
    <w:rsid w:val="F799AD22"/>
    <w:rsid w:val="FFE7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1"/>
    <w:next w:val="1"/>
    <w:autoRedefine/>
    <w:qFormat/>
    <w:uiPriority w:val="39"/>
    <w:pPr>
      <w:tabs>
        <w:tab w:val="left" w:pos="1680"/>
        <w:tab w:val="right" w:leader="dot" w:pos="8296"/>
      </w:tabs>
      <w:ind w:left="424" w:leftChars="202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toc 1"/>
    <w:basedOn w:val="1"/>
    <w:next w:val="1"/>
    <w:autoRedefine/>
    <w:qFormat/>
    <w:uiPriority w:val="39"/>
    <w:pPr>
      <w:tabs>
        <w:tab w:val="left" w:pos="630"/>
        <w:tab w:val="right" w:leader="dot" w:pos="8296"/>
      </w:tabs>
    </w:pPr>
    <w:rPr>
      <w:rFonts w:ascii="仿宋" w:hAnsi="仿宋" w:eastAsia="仿宋"/>
      <w:b/>
      <w:bCs/>
      <w:sz w:val="28"/>
      <w:szCs w:val="28"/>
    </w:rPr>
  </w:style>
  <w:style w:type="paragraph" w:styleId="7">
    <w:name w:val="toc 2"/>
    <w:basedOn w:val="1"/>
    <w:next w:val="1"/>
    <w:autoRedefine/>
    <w:qFormat/>
    <w:uiPriority w:val="39"/>
    <w:pPr>
      <w:tabs>
        <w:tab w:val="left" w:pos="1260"/>
        <w:tab w:val="right" w:leader="dot" w:pos="8296"/>
      </w:tabs>
      <w:spacing w:line="440" w:lineRule="exact"/>
      <w:ind w:left="420" w:leftChars="200"/>
    </w:pPr>
  </w:style>
  <w:style w:type="character" w:styleId="10">
    <w:name w:val="Hyperlink"/>
    <w:basedOn w:val="9"/>
    <w:qFormat/>
    <w:uiPriority w:val="99"/>
    <w:rPr>
      <w:color w:val="0000FF"/>
      <w:u w:val="single"/>
    </w:rPr>
  </w:style>
  <w:style w:type="paragraph" w:customStyle="1" w:styleId="11">
    <w:name w:val="WPSOffice手动目录 1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12">
    <w:name w:val="WPSOffice手动目录 2"/>
    <w:qFormat/>
    <w:uiPriority w:val="0"/>
    <w:pPr>
      <w:ind w:left="200" w:leftChars="200"/>
    </w:pPr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13">
    <w:name w:val="WPSOffice手动目录 3"/>
    <w:qFormat/>
    <w:uiPriority w:val="0"/>
    <w:pPr>
      <w:ind w:left="400" w:leftChars="400"/>
    </w:pPr>
    <w:rPr>
      <w:rFonts w:asciiTheme="minorHAnsi" w:hAnsiTheme="minorHAnsi" w:eastAsiaTheme="minorEastAsia" w:cstheme="minorBidi"/>
      <w:lang w:val="en-US" w:eastAsia="zh-CN" w:bidi="ar-SA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5">
    <w:name w:val="标题 1 字符"/>
    <w:basedOn w:val="9"/>
    <w:link w:val="2"/>
    <w:qFormat/>
    <w:uiPriority w:val="0"/>
    <w:rPr>
      <w:b/>
      <w:bCs/>
      <w:kern w:val="44"/>
      <w:sz w:val="44"/>
      <w:szCs w:val="44"/>
    </w:rPr>
  </w:style>
  <w:style w:type="paragraph" w:customStyle="1" w:styleId="16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54A1" w:themeColor="accent1" w:themeShade="BF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4" Type="http://schemas.openxmlformats.org/officeDocument/2006/relationships/fontTable" Target="fontTable.xml"/><Relationship Id="rId53" Type="http://schemas.openxmlformats.org/officeDocument/2006/relationships/numbering" Target="numbering.xml"/><Relationship Id="rId52" Type="http://schemas.openxmlformats.org/officeDocument/2006/relationships/customXml" Target="../customXml/item1.xml"/><Relationship Id="rId51" Type="http://schemas.openxmlformats.org/officeDocument/2006/relationships/image" Target="media/image42.png"/><Relationship Id="rId50" Type="http://schemas.openxmlformats.org/officeDocument/2006/relationships/image" Target="media/image41.png"/><Relationship Id="rId5" Type="http://schemas.openxmlformats.org/officeDocument/2006/relationships/header" Target="header3.xml"/><Relationship Id="rId49" Type="http://schemas.openxmlformats.org/officeDocument/2006/relationships/image" Target="media/image40.png"/><Relationship Id="rId48" Type="http://schemas.openxmlformats.org/officeDocument/2006/relationships/image" Target="media/image39.png"/><Relationship Id="rId47" Type="http://schemas.openxmlformats.org/officeDocument/2006/relationships/image" Target="media/image38.png"/><Relationship Id="rId46" Type="http://schemas.openxmlformats.org/officeDocument/2006/relationships/image" Target="media/image37.png"/><Relationship Id="rId45" Type="http://schemas.openxmlformats.org/officeDocument/2006/relationships/image" Target="media/image36.png"/><Relationship Id="rId44" Type="http://schemas.openxmlformats.org/officeDocument/2006/relationships/image" Target="media/image35.png"/><Relationship Id="rId43" Type="http://schemas.openxmlformats.org/officeDocument/2006/relationships/image" Target="media/image34.png"/><Relationship Id="rId42" Type="http://schemas.openxmlformats.org/officeDocument/2006/relationships/image" Target="media/image33.jpeg"/><Relationship Id="rId41" Type="http://schemas.openxmlformats.org/officeDocument/2006/relationships/image" Target="media/image32.png"/><Relationship Id="rId40" Type="http://schemas.openxmlformats.org/officeDocument/2006/relationships/image" Target="media/image31.png"/><Relationship Id="rId4" Type="http://schemas.openxmlformats.org/officeDocument/2006/relationships/header" Target="header2.xml"/><Relationship Id="rId39" Type="http://schemas.openxmlformats.org/officeDocument/2006/relationships/image" Target="media/image30.png"/><Relationship Id="rId38" Type="http://schemas.openxmlformats.org/officeDocument/2006/relationships/image" Target="media/image29.png"/><Relationship Id="rId37" Type="http://schemas.openxmlformats.org/officeDocument/2006/relationships/image" Target="media/image28.png"/><Relationship Id="rId36" Type="http://schemas.openxmlformats.org/officeDocument/2006/relationships/image" Target="media/image27.png"/><Relationship Id="rId35" Type="http://schemas.openxmlformats.org/officeDocument/2006/relationships/image" Target="media/image26.png"/><Relationship Id="rId34" Type="http://schemas.openxmlformats.org/officeDocument/2006/relationships/image" Target="media/image25.png"/><Relationship Id="rId33" Type="http://schemas.openxmlformats.org/officeDocument/2006/relationships/image" Target="media/image24.png"/><Relationship Id="rId32" Type="http://schemas.openxmlformats.org/officeDocument/2006/relationships/image" Target="media/image23.png"/><Relationship Id="rId31" Type="http://schemas.openxmlformats.org/officeDocument/2006/relationships/image" Target="media/image22.png"/><Relationship Id="rId30" Type="http://schemas.openxmlformats.org/officeDocument/2006/relationships/image" Target="media/image21.png"/><Relationship Id="rId3" Type="http://schemas.openxmlformats.org/officeDocument/2006/relationships/header" Target="header1.xml"/><Relationship Id="rId29" Type="http://schemas.openxmlformats.org/officeDocument/2006/relationships/image" Target="media/image20.png"/><Relationship Id="rId28" Type="http://schemas.openxmlformats.org/officeDocument/2006/relationships/image" Target="media/image19.png"/><Relationship Id="rId27" Type="http://schemas.openxmlformats.org/officeDocument/2006/relationships/image" Target="media/image18.png"/><Relationship Id="rId26" Type="http://schemas.openxmlformats.org/officeDocument/2006/relationships/image" Target="media/image17.png"/><Relationship Id="rId25" Type="http://schemas.openxmlformats.org/officeDocument/2006/relationships/image" Target="media/image16.png"/><Relationship Id="rId24" Type="http://schemas.openxmlformats.org/officeDocument/2006/relationships/image" Target="media/image15.png"/><Relationship Id="rId23" Type="http://schemas.openxmlformats.org/officeDocument/2006/relationships/image" Target="media/image14.png"/><Relationship Id="rId22" Type="http://schemas.openxmlformats.org/officeDocument/2006/relationships/image" Target="media/image13.png"/><Relationship Id="rId21" Type="http://schemas.openxmlformats.org/officeDocument/2006/relationships/image" Target="media/image12.png"/><Relationship Id="rId20" Type="http://schemas.openxmlformats.org/officeDocument/2006/relationships/image" Target="media/image11.png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26</Pages>
  <Words>3320</Words>
  <Characters>3510</Characters>
  <Lines>35</Lines>
  <Paragraphs>10</Paragraphs>
  <TotalTime>132</TotalTime>
  <ScaleCrop>false</ScaleCrop>
  <LinksUpToDate>false</LinksUpToDate>
  <CharactersWithSpaces>3640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2024-12-10T08:20:00Z</dcterms:created>
  <dc:creator>吴迪</dc:creator>
  <cp:lastModifiedBy>YG、</cp:lastModifiedBy>
  <dcterms:modified xsi:type="dcterms:W3CDTF">2025-12-08T10:59:21Z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FE956E63C178C2C6093F36696A1B9298_43</vt:lpwstr>
  </property>
  <property fmtid="{D5CDD505-2E9C-101B-9397-08002B2CF9AE}" pid="4" name="KSOTemplateDocerSaveRecord">
    <vt:lpwstr>eyJoZGlkIjoiNDg5MzEwM2NhMjY2MzAxNjgwN2FkN2QxZjI1OWFhZDMiLCJ1c2VySWQiOiI2MzQwMzcwNTEifQ==</vt:lpwstr>
  </property>
</Properties>
</file>