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lang w:eastAsia="zh-CN"/>
        </w:rPr>
      </w:pPr>
      <w:r>
        <w:rPr>
          <w:rFonts w:hint="eastAsia"/>
          <w:b/>
          <w:bCs/>
          <w:sz w:val="32"/>
          <w:szCs w:val="32"/>
          <w:lang w:eastAsia="zh-CN"/>
        </w:rPr>
        <w:t>项目支出绩效评价报告</w:t>
      </w:r>
    </w:p>
    <w:p>
      <w:pPr>
        <w:numPr>
          <w:ilvl w:val="0"/>
          <w:numId w:val="1"/>
        </w:numPr>
        <w:jc w:val="left"/>
        <w:rPr>
          <w:rFonts w:hint="eastAsia"/>
          <w:b/>
          <w:bCs/>
          <w:sz w:val="28"/>
          <w:szCs w:val="28"/>
          <w:lang w:eastAsia="zh-CN"/>
        </w:rPr>
      </w:pPr>
      <w:r>
        <w:rPr>
          <w:rFonts w:hint="eastAsia"/>
          <w:b/>
          <w:bCs/>
          <w:sz w:val="28"/>
          <w:szCs w:val="28"/>
          <w:lang w:eastAsia="zh-CN"/>
        </w:rPr>
        <w:t>项目基本情况</w:t>
      </w:r>
    </w:p>
    <w:p>
      <w:pPr>
        <w:numPr>
          <w:ilvl w:val="0"/>
          <w:numId w:val="2"/>
        </w:numPr>
        <w:jc w:val="left"/>
        <w:rPr>
          <w:rFonts w:hint="eastAsia"/>
          <w:b/>
          <w:bCs/>
          <w:sz w:val="28"/>
          <w:szCs w:val="28"/>
          <w:lang w:val="en-US" w:eastAsia="zh-CN"/>
        </w:rPr>
      </w:pPr>
      <w:r>
        <w:rPr>
          <w:rFonts w:hint="eastAsia"/>
          <w:b/>
          <w:bCs/>
          <w:sz w:val="28"/>
          <w:szCs w:val="28"/>
          <w:lang w:eastAsia="zh-CN"/>
        </w:rPr>
        <w:t>项目概况。</w:t>
      </w:r>
    </w:p>
    <w:p>
      <w:pPr>
        <w:numPr>
          <w:ilvl w:val="0"/>
          <w:numId w:val="0"/>
        </w:numPr>
        <w:ind w:firstLine="560" w:firstLineChars="200"/>
        <w:jc w:val="left"/>
        <w:rPr>
          <w:rFonts w:hint="eastAsia"/>
          <w:b w:val="0"/>
          <w:bCs w:val="0"/>
          <w:sz w:val="28"/>
          <w:szCs w:val="28"/>
          <w:lang w:val="en-US" w:eastAsia="zh-CN"/>
        </w:rPr>
      </w:pPr>
      <w:r>
        <w:rPr>
          <w:rFonts w:hint="eastAsia"/>
          <w:b w:val="0"/>
          <w:bCs w:val="0"/>
          <w:sz w:val="28"/>
          <w:szCs w:val="28"/>
          <w:lang w:val="en-US" w:eastAsia="zh-CN"/>
        </w:rPr>
        <w:t>南磨房乡2018年老旧小区综合整治项目（紫南家园小区、双龙南里小区）总投资40006.8万元，其中：中央直达资金3289.07万元，市、区级财政资金32717.73万元，乡自筹资金4000万元。2018年10月17日完成朝阳区政府采购立项手续，立项金额39732.9万元，非立项金额273.9万元。立项列项分为：1、楼体保温工程；2、电梯采购及安装工程；3、环境整治及提升工程；4、项目管理及造价咨询；5、设计；6、监理；7、勘察；共七项。</w:t>
      </w:r>
    </w:p>
    <w:p>
      <w:pPr>
        <w:numPr>
          <w:ilvl w:val="0"/>
          <w:numId w:val="0"/>
        </w:numPr>
        <w:ind w:firstLine="560" w:firstLineChars="200"/>
        <w:jc w:val="left"/>
        <w:rPr>
          <w:rFonts w:hint="default"/>
          <w:b w:val="0"/>
          <w:bCs w:val="0"/>
          <w:sz w:val="28"/>
          <w:szCs w:val="28"/>
          <w:highlight w:val="none"/>
          <w:lang w:val="en-US" w:eastAsia="zh-CN"/>
        </w:rPr>
      </w:pPr>
      <w:r>
        <w:rPr>
          <w:rFonts w:hint="eastAsia"/>
          <w:b w:val="0"/>
          <w:bCs w:val="0"/>
          <w:sz w:val="28"/>
          <w:szCs w:val="28"/>
          <w:highlight w:val="none"/>
          <w:lang w:val="en-US" w:eastAsia="zh-CN"/>
        </w:rPr>
        <w:t>目前项目已支出金额18516.08万元，其中：中央直达资金3289.07万元，市、区级资金15227.01万元。</w:t>
      </w:r>
    </w:p>
    <w:p>
      <w:pPr>
        <w:numPr>
          <w:ilvl w:val="0"/>
          <w:numId w:val="0"/>
        </w:numPr>
        <w:ind w:firstLine="560" w:firstLineChars="200"/>
        <w:jc w:val="left"/>
        <w:rPr>
          <w:rFonts w:hint="eastAsia"/>
          <w:b w:val="0"/>
          <w:bCs w:val="0"/>
          <w:sz w:val="28"/>
          <w:szCs w:val="28"/>
          <w:lang w:val="en-US" w:eastAsia="zh-CN"/>
        </w:rPr>
      </w:pPr>
      <w:r>
        <w:rPr>
          <w:rFonts w:hint="eastAsia"/>
          <w:b w:val="0"/>
          <w:bCs w:val="0"/>
          <w:sz w:val="28"/>
          <w:szCs w:val="28"/>
          <w:lang w:val="en-US" w:eastAsia="zh-CN"/>
        </w:rPr>
        <w:t>本项目综合整治的范围包括：紫南家园小区加装电梯、楼体节能保温改造、公共区域整治，双龙南里小区楼体节能保温改造、公共区域整治。</w:t>
      </w:r>
    </w:p>
    <w:p>
      <w:pPr>
        <w:numPr>
          <w:ilvl w:val="0"/>
          <w:numId w:val="0"/>
        </w:numPr>
        <w:ind w:firstLine="560" w:firstLineChars="200"/>
        <w:jc w:val="left"/>
        <w:rPr>
          <w:rFonts w:hint="eastAsia"/>
          <w:b w:val="0"/>
          <w:bCs w:val="0"/>
          <w:sz w:val="28"/>
          <w:szCs w:val="28"/>
          <w:lang w:val="en-US" w:eastAsia="zh-CN"/>
        </w:rPr>
      </w:pPr>
      <w:r>
        <w:rPr>
          <w:rFonts w:hint="eastAsia"/>
          <w:b w:val="0"/>
          <w:bCs w:val="0"/>
          <w:sz w:val="28"/>
          <w:szCs w:val="28"/>
          <w:lang w:val="en-US" w:eastAsia="zh-CN"/>
        </w:rPr>
        <w:t>楼体节能保温工程改造建筑面积共计269426.47平米，其中紫南家园小区231515.29平米（南区18栋住宅，2栋公建，北区7栋住宅），双龙南里小区37911.18平米（3栋住宅）；紫南家园小区加装电梯121部。</w:t>
      </w:r>
    </w:p>
    <w:p>
      <w:pPr>
        <w:numPr>
          <w:ilvl w:val="0"/>
          <w:numId w:val="0"/>
        </w:numPr>
        <w:ind w:firstLine="560" w:firstLineChars="200"/>
        <w:jc w:val="left"/>
        <w:rPr>
          <w:rFonts w:hint="default"/>
          <w:b w:val="0"/>
          <w:bCs w:val="0"/>
          <w:sz w:val="28"/>
          <w:szCs w:val="28"/>
          <w:lang w:val="en-US" w:eastAsia="zh-CN"/>
        </w:rPr>
      </w:pPr>
      <w:r>
        <w:rPr>
          <w:rFonts w:hint="eastAsia"/>
          <w:b w:val="0"/>
          <w:bCs w:val="0"/>
          <w:sz w:val="28"/>
          <w:szCs w:val="28"/>
          <w:lang w:val="en-US" w:eastAsia="zh-CN"/>
        </w:rPr>
        <w:t>本项目已于</w:t>
      </w:r>
      <w:r>
        <w:rPr>
          <w:rFonts w:hint="eastAsia"/>
          <w:b w:val="0"/>
          <w:bCs w:val="0"/>
          <w:sz w:val="28"/>
          <w:szCs w:val="28"/>
          <w:highlight w:val="none"/>
          <w:lang w:val="en-US" w:eastAsia="zh-CN"/>
        </w:rPr>
        <w:t>2019年9月18日</w:t>
      </w:r>
      <w:r>
        <w:rPr>
          <w:rFonts w:hint="eastAsia"/>
          <w:b w:val="0"/>
          <w:bCs w:val="0"/>
          <w:sz w:val="28"/>
          <w:szCs w:val="28"/>
          <w:lang w:val="en-US" w:eastAsia="zh-CN"/>
        </w:rPr>
        <w:t>完成所有参建单位的招投标工作，并按照各参建单位的完成工作节点依据合同完成了支付，目前项目正有序进行中。</w:t>
      </w:r>
    </w:p>
    <w:p>
      <w:pPr>
        <w:numPr>
          <w:ilvl w:val="0"/>
          <w:numId w:val="2"/>
        </w:numPr>
        <w:jc w:val="left"/>
        <w:rPr>
          <w:rFonts w:hint="eastAsia"/>
          <w:b/>
          <w:bCs/>
          <w:sz w:val="28"/>
          <w:szCs w:val="28"/>
          <w:lang w:eastAsia="zh-CN"/>
        </w:rPr>
      </w:pPr>
      <w:r>
        <w:rPr>
          <w:rFonts w:hint="eastAsia"/>
          <w:b/>
          <w:bCs/>
          <w:sz w:val="28"/>
          <w:szCs w:val="28"/>
          <w:lang w:eastAsia="zh-CN"/>
        </w:rPr>
        <w:t>项目绩效目标</w:t>
      </w:r>
    </w:p>
    <w:p>
      <w:pPr>
        <w:numPr>
          <w:ilvl w:val="0"/>
          <w:numId w:val="0"/>
        </w:numPr>
        <w:ind w:left="0" w:leftChars="0" w:firstLine="700" w:firstLineChars="250"/>
        <w:jc w:val="left"/>
        <w:rPr>
          <w:rFonts w:hint="eastAsia"/>
          <w:b w:val="0"/>
          <w:bCs w:val="0"/>
          <w:sz w:val="28"/>
          <w:szCs w:val="28"/>
          <w:highlight w:val="none"/>
          <w:lang w:val="en-US" w:eastAsia="zh-CN"/>
        </w:rPr>
      </w:pPr>
      <w:r>
        <w:rPr>
          <w:rFonts w:hint="eastAsia"/>
          <w:b w:val="0"/>
          <w:bCs w:val="0"/>
          <w:sz w:val="28"/>
          <w:szCs w:val="28"/>
          <w:highlight w:val="none"/>
          <w:lang w:val="en-US" w:eastAsia="zh-CN"/>
        </w:rPr>
        <w:t>总体目标：达到预算申报的绩效目标，相应的数量指标、质量指标、进度指标、效益指标、服务对象满意度指标均达到预期，成本指标不超过指标值。</w:t>
      </w:r>
    </w:p>
    <w:p>
      <w:pPr>
        <w:numPr>
          <w:ilvl w:val="0"/>
          <w:numId w:val="0"/>
        </w:numPr>
        <w:ind w:left="0" w:leftChars="0" w:firstLine="700" w:firstLineChars="250"/>
        <w:jc w:val="left"/>
        <w:rPr>
          <w:rFonts w:hint="default"/>
          <w:b w:val="0"/>
          <w:bCs w:val="0"/>
          <w:sz w:val="28"/>
          <w:szCs w:val="28"/>
          <w:highlight w:val="none"/>
          <w:lang w:val="en-US" w:eastAsia="zh-CN"/>
        </w:rPr>
      </w:pPr>
      <w:r>
        <w:rPr>
          <w:rFonts w:hint="eastAsia"/>
          <w:b w:val="0"/>
          <w:bCs w:val="0"/>
          <w:sz w:val="28"/>
          <w:szCs w:val="28"/>
          <w:highlight w:val="none"/>
          <w:lang w:val="en-US" w:eastAsia="zh-CN"/>
        </w:rPr>
        <w:t>阶段性目标：加强老旧小区改造项目建设，提高居民的幸福感和获得感，为市民提供一个安全、舒适、优美的工作和生活环境。2020年年底前</w:t>
      </w:r>
      <w:r>
        <w:rPr>
          <w:rFonts w:hint="eastAsia"/>
          <w:b w:val="0"/>
          <w:bCs w:val="0"/>
          <w:sz w:val="28"/>
          <w:szCs w:val="28"/>
          <w:lang w:val="en-US" w:eastAsia="zh-CN"/>
        </w:rPr>
        <w:t>双龙小区楼本体节能综合改造及环境整治提升已完工。2021年8月紫南家园小区楼本体节能综合改造完成98%，环境整治提升完成75%，增设电梯121部完成75%。</w:t>
      </w:r>
    </w:p>
    <w:p>
      <w:pPr>
        <w:numPr>
          <w:ilvl w:val="0"/>
          <w:numId w:val="1"/>
        </w:numPr>
        <w:jc w:val="left"/>
        <w:rPr>
          <w:rFonts w:hint="eastAsia"/>
          <w:b/>
          <w:bCs/>
          <w:sz w:val="28"/>
          <w:szCs w:val="28"/>
          <w:lang w:eastAsia="zh-CN"/>
        </w:rPr>
      </w:pPr>
      <w:r>
        <w:rPr>
          <w:rFonts w:hint="eastAsia"/>
          <w:b/>
          <w:bCs/>
          <w:sz w:val="28"/>
          <w:szCs w:val="28"/>
          <w:lang w:eastAsia="zh-CN"/>
        </w:rPr>
        <w:t>绩效评价工作开展情况</w:t>
      </w:r>
    </w:p>
    <w:p>
      <w:pPr>
        <w:numPr>
          <w:ilvl w:val="0"/>
          <w:numId w:val="3"/>
        </w:numPr>
        <w:jc w:val="left"/>
        <w:rPr>
          <w:rFonts w:hint="eastAsia"/>
          <w:b/>
          <w:bCs/>
          <w:sz w:val="28"/>
          <w:szCs w:val="28"/>
          <w:lang w:eastAsia="zh-CN"/>
        </w:rPr>
      </w:pPr>
      <w:r>
        <w:rPr>
          <w:rFonts w:hint="eastAsia"/>
          <w:b/>
          <w:bCs/>
          <w:sz w:val="28"/>
          <w:szCs w:val="28"/>
          <w:lang w:eastAsia="zh-CN"/>
        </w:rPr>
        <w:t>绩效评价目的、对象和范围。</w:t>
      </w:r>
    </w:p>
    <w:p>
      <w:pPr>
        <w:numPr>
          <w:ilvl w:val="0"/>
          <w:numId w:val="4"/>
        </w:numPr>
        <w:ind w:left="0" w:leftChars="0" w:firstLine="420" w:firstLineChars="150"/>
        <w:jc w:val="left"/>
        <w:rPr>
          <w:rFonts w:hint="eastAsia"/>
          <w:b w:val="0"/>
          <w:bCs w:val="0"/>
          <w:sz w:val="28"/>
          <w:szCs w:val="28"/>
          <w:lang w:val="en-US" w:eastAsia="zh-CN"/>
        </w:rPr>
      </w:pPr>
      <w:r>
        <w:rPr>
          <w:rFonts w:hint="eastAsia"/>
          <w:b w:val="0"/>
          <w:bCs w:val="0"/>
          <w:sz w:val="28"/>
          <w:szCs w:val="28"/>
          <w:lang w:val="en-US" w:eastAsia="zh-CN"/>
        </w:rPr>
        <w:t>评价目的：本次绩效评价在梳理本项目背景、项目主要内容、实施流程及年度工作成果的基础上，通过设计有针对性的绩效评价指标体系，评价项目实施取得的成效。同时总结经验，查找问题，分析问题，分析原因，提出有针对性的意见和建议，为完善相关政策、加强项目管理、提高资金使用效益提供重要的决策依据。</w:t>
      </w:r>
    </w:p>
    <w:p>
      <w:pPr>
        <w:numPr>
          <w:ilvl w:val="0"/>
          <w:numId w:val="4"/>
        </w:numPr>
        <w:ind w:left="0" w:leftChars="0" w:firstLine="420" w:firstLineChars="150"/>
        <w:jc w:val="left"/>
        <w:rPr>
          <w:rFonts w:hint="default"/>
          <w:b w:val="0"/>
          <w:bCs w:val="0"/>
          <w:sz w:val="28"/>
          <w:szCs w:val="28"/>
          <w:lang w:val="en-US" w:eastAsia="zh-CN"/>
        </w:rPr>
      </w:pPr>
      <w:r>
        <w:rPr>
          <w:rFonts w:hint="eastAsia"/>
          <w:b w:val="0"/>
          <w:bCs w:val="0"/>
          <w:sz w:val="28"/>
          <w:szCs w:val="28"/>
          <w:lang w:val="en-US" w:eastAsia="zh-CN"/>
        </w:rPr>
        <w:t>评价对象：本项目实施主体-北京朝阳区南磨房乡人民政府</w:t>
      </w:r>
    </w:p>
    <w:p>
      <w:pPr>
        <w:numPr>
          <w:ilvl w:val="0"/>
          <w:numId w:val="4"/>
        </w:numPr>
        <w:ind w:left="0" w:leftChars="0" w:firstLine="420" w:firstLineChars="150"/>
        <w:jc w:val="left"/>
        <w:rPr>
          <w:rFonts w:hint="default"/>
          <w:b w:val="0"/>
          <w:bCs w:val="0"/>
          <w:sz w:val="28"/>
          <w:szCs w:val="28"/>
          <w:lang w:val="en-US" w:eastAsia="zh-CN"/>
        </w:rPr>
      </w:pPr>
      <w:r>
        <w:rPr>
          <w:rFonts w:hint="eastAsia"/>
          <w:b w:val="0"/>
          <w:bCs w:val="0"/>
          <w:sz w:val="28"/>
          <w:szCs w:val="28"/>
          <w:lang w:val="en-US" w:eastAsia="zh-CN"/>
        </w:rPr>
        <w:t>评价范围：2018年老旧小区综合整治项目（紫南家园小区、双龙南里小区）的各项工作。</w:t>
      </w:r>
    </w:p>
    <w:p>
      <w:pPr>
        <w:numPr>
          <w:ilvl w:val="0"/>
          <w:numId w:val="3"/>
        </w:numPr>
        <w:jc w:val="left"/>
        <w:rPr>
          <w:rFonts w:hint="eastAsia"/>
          <w:b/>
          <w:bCs/>
          <w:sz w:val="28"/>
          <w:szCs w:val="28"/>
          <w:lang w:eastAsia="zh-CN"/>
        </w:rPr>
      </w:pPr>
      <w:r>
        <w:rPr>
          <w:rFonts w:hint="eastAsia"/>
          <w:b/>
          <w:bCs/>
          <w:sz w:val="28"/>
          <w:szCs w:val="28"/>
          <w:lang w:eastAsia="zh-CN"/>
        </w:rPr>
        <w:t>绩效评价原则、评价指标体系、评价方法、评价标准等。</w:t>
      </w:r>
    </w:p>
    <w:p>
      <w:pPr>
        <w:numPr>
          <w:ilvl w:val="0"/>
          <w:numId w:val="5"/>
        </w:numPr>
        <w:ind w:left="0" w:leftChars="0" w:firstLine="560" w:firstLineChars="200"/>
        <w:jc w:val="left"/>
        <w:rPr>
          <w:rFonts w:hint="eastAsia"/>
          <w:b w:val="0"/>
          <w:bCs w:val="0"/>
          <w:sz w:val="28"/>
          <w:szCs w:val="28"/>
          <w:lang w:val="en-US" w:eastAsia="zh-CN"/>
        </w:rPr>
      </w:pPr>
      <w:r>
        <w:rPr>
          <w:rFonts w:hint="eastAsia"/>
          <w:b w:val="0"/>
          <w:bCs w:val="0"/>
          <w:sz w:val="28"/>
          <w:szCs w:val="28"/>
          <w:lang w:val="en-US" w:eastAsia="zh-CN"/>
        </w:rPr>
        <w:t>评价原则。绩效评价遵循科学公正原则、统筹兼顾原则、激励约束原则和公开透明原则。</w:t>
      </w:r>
    </w:p>
    <w:p>
      <w:pPr>
        <w:numPr>
          <w:ilvl w:val="0"/>
          <w:numId w:val="5"/>
        </w:numPr>
        <w:ind w:left="0" w:leftChars="0" w:firstLine="560" w:firstLineChars="200"/>
        <w:jc w:val="left"/>
        <w:rPr>
          <w:rFonts w:hint="default"/>
          <w:b w:val="0"/>
          <w:bCs w:val="0"/>
          <w:sz w:val="28"/>
          <w:szCs w:val="28"/>
          <w:lang w:val="en-US" w:eastAsia="zh-CN"/>
        </w:rPr>
      </w:pPr>
      <w:r>
        <w:rPr>
          <w:rFonts w:hint="eastAsia"/>
          <w:b w:val="0"/>
          <w:bCs w:val="0"/>
          <w:sz w:val="28"/>
          <w:szCs w:val="28"/>
          <w:lang w:val="en-US" w:eastAsia="zh-CN"/>
        </w:rPr>
        <w:t>评价指标体系。本次项目绩效评价的评价指标体系分为决策、过程、产出指标、效益指标4个一级指标，分设10个二级指标，17</w:t>
      </w:r>
    </w:p>
    <w:p>
      <w:pPr>
        <w:numPr>
          <w:ilvl w:val="0"/>
          <w:numId w:val="0"/>
        </w:numPr>
        <w:jc w:val="left"/>
        <w:rPr>
          <w:rFonts w:hint="default"/>
          <w:b w:val="0"/>
          <w:bCs w:val="0"/>
          <w:sz w:val="28"/>
          <w:szCs w:val="28"/>
          <w:lang w:val="en-US" w:eastAsia="zh-CN"/>
        </w:rPr>
      </w:pPr>
      <w:r>
        <w:rPr>
          <w:rFonts w:hint="eastAsia"/>
          <w:b w:val="0"/>
          <w:bCs w:val="0"/>
          <w:sz w:val="28"/>
          <w:szCs w:val="28"/>
          <w:lang w:val="en-US" w:eastAsia="zh-CN"/>
        </w:rPr>
        <w:t>个三级指标。</w:t>
      </w:r>
    </w:p>
    <w:p>
      <w:pPr>
        <w:numPr>
          <w:ilvl w:val="0"/>
          <w:numId w:val="5"/>
        </w:numPr>
        <w:ind w:left="0" w:leftChars="0" w:firstLine="560" w:firstLineChars="200"/>
        <w:jc w:val="left"/>
        <w:rPr>
          <w:rFonts w:hint="default"/>
          <w:b w:val="0"/>
          <w:bCs w:val="0"/>
          <w:sz w:val="28"/>
          <w:szCs w:val="28"/>
          <w:lang w:val="en-US" w:eastAsia="zh-CN"/>
        </w:rPr>
      </w:pPr>
      <w:r>
        <w:rPr>
          <w:rFonts w:hint="eastAsia"/>
          <w:b w:val="0"/>
          <w:bCs w:val="0"/>
          <w:sz w:val="28"/>
          <w:szCs w:val="28"/>
          <w:lang w:val="en-US" w:eastAsia="zh-CN"/>
        </w:rPr>
        <w:t>评价方法。本次绩效评价采取比较法，目标比较法是对建设项目的产出及效果与项目实施计划目标进行比较，分析预计目标的完成程度。</w:t>
      </w:r>
    </w:p>
    <w:p>
      <w:pPr>
        <w:numPr>
          <w:ilvl w:val="0"/>
          <w:numId w:val="5"/>
        </w:numPr>
        <w:ind w:left="0" w:leftChars="0" w:firstLine="560" w:firstLineChars="200"/>
        <w:jc w:val="left"/>
        <w:rPr>
          <w:rFonts w:hint="default"/>
          <w:b w:val="0"/>
          <w:bCs w:val="0"/>
          <w:sz w:val="28"/>
          <w:szCs w:val="28"/>
          <w:lang w:val="en-US" w:eastAsia="zh-CN"/>
        </w:rPr>
      </w:pPr>
      <w:r>
        <w:rPr>
          <w:rFonts w:hint="eastAsia"/>
          <w:b w:val="0"/>
          <w:bCs w:val="0"/>
          <w:sz w:val="28"/>
          <w:szCs w:val="28"/>
          <w:lang w:val="en-US" w:eastAsia="zh-CN"/>
        </w:rPr>
        <w:t>评价标准。绩效评价标准包括计划标准、行业标准、历史标准、财政部门和预算部门确认或认可的其他标准，用于对绩效指标完成情况进行比较。</w:t>
      </w:r>
    </w:p>
    <w:p>
      <w:pPr>
        <w:numPr>
          <w:ilvl w:val="0"/>
          <w:numId w:val="3"/>
        </w:numPr>
        <w:ind w:left="0" w:leftChars="0" w:firstLine="562" w:firstLineChars="200"/>
        <w:jc w:val="left"/>
        <w:rPr>
          <w:rFonts w:hint="eastAsia"/>
          <w:b/>
          <w:bCs/>
          <w:sz w:val="28"/>
          <w:szCs w:val="28"/>
          <w:lang w:eastAsia="zh-CN"/>
        </w:rPr>
      </w:pPr>
      <w:r>
        <w:rPr>
          <w:rFonts w:hint="eastAsia"/>
          <w:b/>
          <w:bCs/>
          <w:sz w:val="28"/>
          <w:szCs w:val="28"/>
          <w:lang w:eastAsia="zh-CN"/>
        </w:rPr>
        <w:t>绩效评价工作过程。</w:t>
      </w:r>
    </w:p>
    <w:p>
      <w:pPr>
        <w:numPr>
          <w:ilvl w:val="0"/>
          <w:numId w:val="6"/>
        </w:numPr>
        <w:ind w:left="0" w:leftChars="0" w:firstLine="560" w:firstLineChars="200"/>
        <w:jc w:val="left"/>
        <w:rPr>
          <w:rFonts w:hint="eastAsia"/>
          <w:b w:val="0"/>
          <w:bCs w:val="0"/>
          <w:sz w:val="28"/>
          <w:szCs w:val="28"/>
          <w:lang w:val="en-US" w:eastAsia="zh-CN"/>
        </w:rPr>
      </w:pPr>
      <w:r>
        <w:rPr>
          <w:rFonts w:hint="eastAsia"/>
          <w:b w:val="0"/>
          <w:bCs w:val="0"/>
          <w:sz w:val="28"/>
          <w:szCs w:val="28"/>
          <w:lang w:val="en-US" w:eastAsia="zh-CN"/>
        </w:rPr>
        <w:t>前期准备。确定绩效评价项目、指派绩效评价小组组长、确定评价任务的组织实施模式、组建合格的绩效评价小组等。评价小组要理解绩效评价任务大纲的具体内容，确定实施每项绩效评价工作的工作程序及底稿，安排任务分工，制定详细的工作计划，开展被评价对象研究。评价小组要确定项目参与方，制定实地调研计划，并准备同项目参与方会谈内容等准备工作。</w:t>
      </w:r>
    </w:p>
    <w:p>
      <w:pPr>
        <w:numPr>
          <w:ilvl w:val="0"/>
          <w:numId w:val="6"/>
        </w:numPr>
        <w:ind w:left="0" w:leftChars="0" w:firstLine="560" w:firstLineChars="200"/>
        <w:jc w:val="left"/>
        <w:rPr>
          <w:rFonts w:hint="default"/>
          <w:b w:val="0"/>
          <w:bCs w:val="0"/>
          <w:sz w:val="28"/>
          <w:szCs w:val="28"/>
          <w:lang w:val="en-US" w:eastAsia="zh-CN"/>
        </w:rPr>
      </w:pPr>
      <w:r>
        <w:rPr>
          <w:rFonts w:hint="default"/>
          <w:b w:val="0"/>
          <w:bCs w:val="0"/>
          <w:sz w:val="28"/>
          <w:szCs w:val="28"/>
          <w:lang w:val="en-US" w:eastAsia="zh-CN"/>
        </w:rPr>
        <w:t>评价设计</w:t>
      </w:r>
      <w:r>
        <w:rPr>
          <w:rFonts w:hint="eastAsia"/>
          <w:b w:val="0"/>
          <w:bCs w:val="0"/>
          <w:sz w:val="28"/>
          <w:szCs w:val="28"/>
          <w:lang w:val="en-US" w:eastAsia="zh-CN"/>
        </w:rPr>
        <w:t>。</w:t>
      </w:r>
      <w:r>
        <w:rPr>
          <w:rFonts w:hint="default"/>
          <w:b w:val="0"/>
          <w:bCs w:val="0"/>
          <w:sz w:val="28"/>
          <w:szCs w:val="28"/>
          <w:lang w:val="en-US" w:eastAsia="zh-CN"/>
        </w:rPr>
        <w:t>评价设计指根据绩效评价目标设计详细的评价实施方案，包括完成项目基础信息表、设计绩效评价框架、选择证据收集方法、设计面访、座谈会和实地调研等的问题清单，进行人员、时间和经费安排等。绩效评价框架是开展绩效评价的核心。绩效评价框架包括评价内容、关键评价问题、评价指标、证据、证据来源</w:t>
      </w:r>
      <w:r>
        <w:rPr>
          <w:rFonts w:hint="eastAsia"/>
          <w:b w:val="0"/>
          <w:bCs w:val="0"/>
          <w:sz w:val="28"/>
          <w:szCs w:val="28"/>
          <w:lang w:val="en-US" w:eastAsia="zh-CN"/>
        </w:rPr>
        <w:t>、证据收集方法、指标初评值等。</w:t>
      </w:r>
    </w:p>
    <w:p>
      <w:pPr>
        <w:numPr>
          <w:ilvl w:val="0"/>
          <w:numId w:val="6"/>
        </w:numPr>
        <w:ind w:left="0" w:leftChars="0" w:firstLine="560" w:firstLineChars="200"/>
        <w:jc w:val="left"/>
        <w:rPr>
          <w:rFonts w:hint="eastAsia"/>
          <w:b w:val="0"/>
          <w:bCs w:val="0"/>
          <w:sz w:val="28"/>
          <w:szCs w:val="28"/>
          <w:lang w:val="en-US" w:eastAsia="zh-CN"/>
        </w:rPr>
      </w:pPr>
      <w:r>
        <w:rPr>
          <w:rFonts w:hint="eastAsia"/>
          <w:b w:val="0"/>
          <w:bCs w:val="0"/>
          <w:sz w:val="28"/>
          <w:szCs w:val="28"/>
          <w:lang w:val="en-US" w:eastAsia="zh-CN"/>
        </w:rPr>
        <w:t>组织实施。 评价小组对项目绩效目标有关情况和基础材料进行收集证据及核查。通过对被评价部门报送的基础资料进行分类整理、核实分析，要求被评价部门对缺失的资料及时补充，对存在疑问的重要基础数据资料进行解释说明。根据现场所收集和审核的证据资料，通过资料的审核，了解被评价部门的基本情况，分析绩效目标完成中存在的问题，根据需要确定要进行实地勘察的内容，并为必要的现场勘查做好准备。</w:t>
      </w:r>
    </w:p>
    <w:p>
      <w:pPr>
        <w:numPr>
          <w:ilvl w:val="0"/>
          <w:numId w:val="0"/>
        </w:numPr>
        <w:ind w:left="0" w:leftChars="0" w:firstLine="560" w:firstLineChars="200"/>
        <w:jc w:val="left"/>
        <w:rPr>
          <w:rFonts w:hint="eastAsia"/>
          <w:b w:val="0"/>
          <w:bCs w:val="0"/>
          <w:sz w:val="28"/>
          <w:szCs w:val="28"/>
          <w:lang w:val="en-US" w:eastAsia="zh-CN"/>
        </w:rPr>
      </w:pPr>
      <w:r>
        <w:rPr>
          <w:rFonts w:hint="eastAsia"/>
          <w:b w:val="0"/>
          <w:bCs w:val="0"/>
          <w:sz w:val="28"/>
          <w:szCs w:val="28"/>
          <w:lang w:val="en-US" w:eastAsia="zh-CN"/>
        </w:rPr>
        <w:t>结合通过座谈会、面访、现场勘查、实地调研中进行核查的情况，整理出绩效评价所需要的基本资料和数据。</w:t>
      </w:r>
    </w:p>
    <w:p>
      <w:pPr>
        <w:numPr>
          <w:ilvl w:val="0"/>
          <w:numId w:val="0"/>
        </w:numPr>
        <w:ind w:left="0" w:leftChars="0" w:firstLine="560" w:firstLineChars="200"/>
        <w:jc w:val="left"/>
        <w:rPr>
          <w:rFonts w:hint="eastAsia"/>
          <w:b w:val="0"/>
          <w:bCs w:val="0"/>
          <w:sz w:val="28"/>
          <w:szCs w:val="28"/>
          <w:lang w:val="en-US" w:eastAsia="zh-CN"/>
        </w:rPr>
      </w:pPr>
      <w:r>
        <w:rPr>
          <w:rFonts w:hint="eastAsia"/>
          <w:b w:val="0"/>
          <w:bCs w:val="0"/>
          <w:sz w:val="28"/>
          <w:szCs w:val="28"/>
          <w:lang w:val="en-US" w:eastAsia="zh-CN"/>
        </w:rPr>
        <w:t>评价小组按照绩效评价等级规则中的要求，根据绩效评价框架中各“评价指标”的实际情况给出原始分值。再根据绩效评价取值表中的评价内容进行评价，参加评价规则、项目评级值和权重，得出初步项目绩效评价结果，并将初步评价结果和有关说明道达被评价部门进行意见征求。</w:t>
      </w:r>
    </w:p>
    <w:p>
      <w:pPr>
        <w:numPr>
          <w:ilvl w:val="0"/>
          <w:numId w:val="6"/>
        </w:numPr>
        <w:ind w:left="0" w:leftChars="0" w:firstLine="560" w:firstLineChars="200"/>
        <w:jc w:val="left"/>
        <w:rPr>
          <w:rFonts w:hint="eastAsia"/>
          <w:b w:val="0"/>
          <w:bCs w:val="0"/>
          <w:sz w:val="28"/>
          <w:szCs w:val="28"/>
          <w:lang w:val="en-US" w:eastAsia="zh-CN"/>
        </w:rPr>
      </w:pPr>
      <w:r>
        <w:rPr>
          <w:rFonts w:hint="eastAsia"/>
          <w:b w:val="0"/>
          <w:bCs w:val="0"/>
          <w:sz w:val="28"/>
          <w:szCs w:val="28"/>
          <w:lang w:val="en-US" w:eastAsia="zh-CN"/>
        </w:rPr>
        <w:t>分析评价。</w:t>
      </w:r>
    </w:p>
    <w:p>
      <w:pPr>
        <w:numPr>
          <w:ilvl w:val="0"/>
          <w:numId w:val="0"/>
        </w:numPr>
        <w:ind w:leftChars="200"/>
        <w:jc w:val="left"/>
        <w:rPr>
          <w:rFonts w:hint="eastAsia"/>
          <w:b w:val="0"/>
          <w:bCs w:val="0"/>
          <w:sz w:val="28"/>
          <w:szCs w:val="28"/>
          <w:lang w:val="en-US" w:eastAsia="zh-CN"/>
        </w:rPr>
      </w:pPr>
      <w:r>
        <w:rPr>
          <w:rFonts w:hint="eastAsia"/>
          <w:b w:val="0"/>
          <w:bCs w:val="0"/>
          <w:sz w:val="28"/>
          <w:szCs w:val="28"/>
          <w:lang w:val="en-US" w:eastAsia="zh-CN"/>
        </w:rPr>
        <w:t>(1)通过采取听取情况介绍、实地考察、发放调查问卷、座谈咨询、对照查证复核等方式，对项目绩效目标有关情况和基础材料进行核实。</w:t>
      </w:r>
    </w:p>
    <w:p>
      <w:pPr>
        <w:numPr>
          <w:ilvl w:val="0"/>
          <w:numId w:val="0"/>
        </w:numPr>
        <w:ind w:left="0" w:leftChars="0" w:firstLine="560" w:firstLineChars="200"/>
        <w:jc w:val="left"/>
        <w:rPr>
          <w:rFonts w:hint="eastAsia"/>
          <w:b w:val="0"/>
          <w:bCs w:val="0"/>
          <w:sz w:val="28"/>
          <w:szCs w:val="28"/>
          <w:lang w:val="en-US" w:eastAsia="zh-CN"/>
        </w:rPr>
      </w:pPr>
      <w:r>
        <w:rPr>
          <w:rFonts w:hint="eastAsia"/>
          <w:b w:val="0"/>
          <w:bCs w:val="0"/>
          <w:sz w:val="28"/>
          <w:szCs w:val="28"/>
          <w:lang w:val="en-US" w:eastAsia="zh-CN"/>
        </w:rPr>
        <w:t>(2)评价小组根据所收集和审核的基础资料，结合现场勘查、调查的有关情况，整理出绩效评价所需要的基本资料和数据。</w:t>
      </w:r>
    </w:p>
    <w:p>
      <w:pPr>
        <w:numPr>
          <w:ilvl w:val="0"/>
          <w:numId w:val="0"/>
        </w:numPr>
        <w:ind w:left="0" w:leftChars="0" w:firstLine="560" w:firstLineChars="200"/>
        <w:jc w:val="left"/>
        <w:rPr>
          <w:rFonts w:hint="default"/>
          <w:b w:val="0"/>
          <w:bCs w:val="0"/>
          <w:sz w:val="28"/>
          <w:szCs w:val="28"/>
          <w:lang w:val="en-US" w:eastAsia="zh-CN"/>
        </w:rPr>
      </w:pPr>
      <w:r>
        <w:rPr>
          <w:rFonts w:hint="eastAsia"/>
          <w:b w:val="0"/>
          <w:bCs w:val="0"/>
          <w:sz w:val="28"/>
          <w:szCs w:val="28"/>
          <w:lang w:val="en-US" w:eastAsia="zh-CN"/>
        </w:rPr>
        <w:t>(3)评价小组按照评价工作方案确定的评价指标、评价标准和评价方法，对评价对象的绩效情况进行全面的定量、定性分析和综合评价，量化打分，形成评价结论。</w:t>
      </w:r>
    </w:p>
    <w:p>
      <w:pPr>
        <w:numPr>
          <w:ilvl w:val="0"/>
          <w:numId w:val="1"/>
        </w:numPr>
        <w:jc w:val="left"/>
        <w:rPr>
          <w:rFonts w:hint="eastAsia"/>
          <w:b/>
          <w:bCs/>
          <w:sz w:val="28"/>
          <w:szCs w:val="28"/>
          <w:lang w:eastAsia="zh-CN"/>
        </w:rPr>
      </w:pPr>
      <w:r>
        <w:rPr>
          <w:rFonts w:hint="eastAsia"/>
          <w:b/>
          <w:bCs/>
          <w:sz w:val="28"/>
          <w:szCs w:val="28"/>
          <w:lang w:eastAsia="zh-CN"/>
        </w:rPr>
        <w:t>综合评价情况及评价结论</w:t>
      </w:r>
    </w:p>
    <w:p>
      <w:pPr>
        <w:numPr>
          <w:ilvl w:val="0"/>
          <w:numId w:val="7"/>
        </w:numPr>
        <w:jc w:val="left"/>
        <w:rPr>
          <w:rFonts w:hint="eastAsia"/>
          <w:b/>
          <w:bCs/>
          <w:sz w:val="28"/>
          <w:szCs w:val="28"/>
          <w:lang w:eastAsia="zh-CN"/>
        </w:rPr>
      </w:pPr>
      <w:r>
        <w:rPr>
          <w:rFonts w:hint="eastAsia"/>
          <w:b/>
          <w:bCs/>
          <w:sz w:val="28"/>
          <w:szCs w:val="28"/>
          <w:lang w:eastAsia="zh-CN"/>
        </w:rPr>
        <w:t>综合评价情况</w:t>
      </w:r>
    </w:p>
    <w:p>
      <w:pPr>
        <w:numPr>
          <w:ilvl w:val="0"/>
          <w:numId w:val="0"/>
        </w:numPr>
        <w:jc w:val="left"/>
        <w:rPr>
          <w:rFonts w:hint="default"/>
          <w:b w:val="0"/>
          <w:bCs w:val="0"/>
          <w:sz w:val="28"/>
          <w:szCs w:val="28"/>
          <w:lang w:val="en-US" w:eastAsia="zh-CN"/>
        </w:rPr>
      </w:pPr>
      <w:r>
        <w:rPr>
          <w:rFonts w:hint="eastAsia"/>
          <w:b/>
          <w:bCs/>
          <w:sz w:val="28"/>
          <w:szCs w:val="28"/>
          <w:lang w:val="en-US" w:eastAsia="zh-CN"/>
        </w:rPr>
        <w:t xml:space="preserve">   </w:t>
      </w:r>
      <w:r>
        <w:rPr>
          <w:rFonts w:hint="eastAsia"/>
          <w:b w:val="0"/>
          <w:bCs w:val="0"/>
          <w:sz w:val="28"/>
          <w:szCs w:val="28"/>
          <w:lang w:val="en-US" w:eastAsia="zh-CN"/>
        </w:rPr>
        <w:t>从项目的实施情况看，南磨房乡政府各部门领导、组织、协调有力，组织机构完备，人员分工明确，能够对各项工作进展情况进行及时调度，加强督导，定期通报，确保各项部署落实到位，针对调度中发现的问题，及时化解难题，加快改造进度。在整治改造过程中，多数项目点都能按照规定的程序进行整改，施工方通过政府采购公开招投标方式确定，与中标单位签订合同，资料较为完善。</w:t>
      </w:r>
    </w:p>
    <w:p>
      <w:pPr>
        <w:numPr>
          <w:ilvl w:val="0"/>
          <w:numId w:val="7"/>
        </w:numPr>
        <w:jc w:val="left"/>
        <w:rPr>
          <w:rFonts w:hint="eastAsia"/>
          <w:b/>
          <w:bCs/>
          <w:sz w:val="28"/>
          <w:szCs w:val="28"/>
          <w:lang w:eastAsia="zh-CN"/>
        </w:rPr>
      </w:pPr>
      <w:r>
        <w:rPr>
          <w:rFonts w:hint="eastAsia"/>
          <w:b/>
          <w:bCs/>
          <w:sz w:val="28"/>
          <w:szCs w:val="28"/>
          <w:lang w:eastAsia="zh-CN"/>
        </w:rPr>
        <w:t>绩效评价结论</w:t>
      </w:r>
    </w:p>
    <w:p>
      <w:pPr>
        <w:numPr>
          <w:ilvl w:val="0"/>
          <w:numId w:val="0"/>
        </w:numPr>
        <w:jc w:val="left"/>
        <w:rPr>
          <w:rFonts w:hint="default"/>
          <w:b/>
          <w:bCs/>
          <w:sz w:val="28"/>
          <w:szCs w:val="28"/>
          <w:lang w:val="en-US" w:eastAsia="zh-CN"/>
        </w:rPr>
      </w:pPr>
      <w:r>
        <w:rPr>
          <w:rFonts w:hint="eastAsia"/>
          <w:b/>
          <w:bCs/>
          <w:sz w:val="28"/>
          <w:szCs w:val="28"/>
          <w:lang w:val="en-US" w:eastAsia="zh-CN"/>
        </w:rPr>
        <w:t xml:space="preserve">     </w:t>
      </w:r>
      <w:r>
        <w:rPr>
          <w:rFonts w:hint="eastAsia"/>
          <w:b w:val="0"/>
          <w:bCs w:val="0"/>
          <w:sz w:val="28"/>
          <w:szCs w:val="28"/>
          <w:lang w:val="en-US" w:eastAsia="zh-CN"/>
        </w:rPr>
        <w:t>项目整体支出绩效工作基本完成，达到预期效果。</w:t>
      </w:r>
    </w:p>
    <w:p>
      <w:pPr>
        <w:numPr>
          <w:ilvl w:val="0"/>
          <w:numId w:val="1"/>
        </w:numPr>
        <w:jc w:val="left"/>
        <w:rPr>
          <w:rFonts w:hint="eastAsia"/>
          <w:b/>
          <w:bCs/>
          <w:sz w:val="28"/>
          <w:szCs w:val="28"/>
          <w:lang w:eastAsia="zh-CN"/>
        </w:rPr>
      </w:pPr>
      <w:r>
        <w:rPr>
          <w:rFonts w:hint="eastAsia"/>
          <w:b/>
          <w:bCs/>
          <w:sz w:val="28"/>
          <w:szCs w:val="28"/>
          <w:lang w:eastAsia="zh-CN"/>
        </w:rPr>
        <w:t>绩效评价指标分析</w:t>
      </w:r>
    </w:p>
    <w:p>
      <w:pPr>
        <w:numPr>
          <w:ilvl w:val="0"/>
          <w:numId w:val="8"/>
        </w:numPr>
        <w:jc w:val="left"/>
        <w:rPr>
          <w:rFonts w:hint="eastAsia"/>
          <w:b/>
          <w:bCs/>
          <w:sz w:val="28"/>
          <w:szCs w:val="28"/>
          <w:lang w:eastAsia="zh-CN"/>
        </w:rPr>
      </w:pPr>
      <w:r>
        <w:rPr>
          <w:rFonts w:hint="eastAsia"/>
          <w:b/>
          <w:bCs/>
          <w:sz w:val="28"/>
          <w:szCs w:val="28"/>
          <w:lang w:eastAsia="zh-CN"/>
        </w:rPr>
        <w:t>项目决策情况</w:t>
      </w:r>
    </w:p>
    <w:p>
      <w:pPr>
        <w:numPr>
          <w:ilvl w:val="0"/>
          <w:numId w:val="9"/>
        </w:numPr>
        <w:ind w:left="560" w:leftChars="0" w:firstLine="0" w:firstLineChars="0"/>
        <w:jc w:val="left"/>
        <w:rPr>
          <w:rFonts w:hint="eastAsia"/>
          <w:b w:val="0"/>
          <w:bCs w:val="0"/>
          <w:sz w:val="28"/>
          <w:szCs w:val="28"/>
          <w:lang w:eastAsia="zh-CN"/>
        </w:rPr>
      </w:pPr>
      <w:r>
        <w:rPr>
          <w:rFonts w:hint="eastAsia"/>
          <w:b w:val="0"/>
          <w:bCs w:val="0"/>
          <w:sz w:val="28"/>
          <w:szCs w:val="28"/>
          <w:lang w:eastAsia="zh-CN"/>
        </w:rPr>
        <w:t>项目目标分析。项目资金使用的预定目标明确。</w:t>
      </w:r>
    </w:p>
    <w:p>
      <w:pPr>
        <w:numPr>
          <w:ilvl w:val="0"/>
          <w:numId w:val="9"/>
        </w:numPr>
        <w:ind w:left="0" w:leftChars="0" w:firstLine="560" w:firstLineChars="200"/>
        <w:jc w:val="left"/>
        <w:rPr>
          <w:rFonts w:hint="eastAsia"/>
          <w:b w:val="0"/>
          <w:bCs w:val="0"/>
          <w:sz w:val="28"/>
          <w:szCs w:val="28"/>
          <w:lang w:eastAsia="zh-CN"/>
        </w:rPr>
      </w:pPr>
      <w:r>
        <w:rPr>
          <w:rFonts w:hint="eastAsia"/>
          <w:b w:val="0"/>
          <w:bCs w:val="0"/>
          <w:sz w:val="28"/>
          <w:szCs w:val="28"/>
          <w:lang w:eastAsia="zh-CN"/>
        </w:rPr>
        <w:t>决策过程分析。项目的申报文件、报送的项目申报材料程序规范，充分争求小区居民意见建议，提出整治改造初步方案，且整治改造方案整治目标明确、量化并进行公示。</w:t>
      </w:r>
    </w:p>
    <w:p>
      <w:pPr>
        <w:numPr>
          <w:ilvl w:val="0"/>
          <w:numId w:val="8"/>
        </w:numPr>
        <w:jc w:val="left"/>
        <w:rPr>
          <w:rFonts w:hint="eastAsia"/>
          <w:b/>
          <w:bCs/>
          <w:sz w:val="28"/>
          <w:szCs w:val="28"/>
          <w:lang w:eastAsia="zh-CN"/>
        </w:rPr>
      </w:pPr>
      <w:r>
        <w:rPr>
          <w:rFonts w:hint="eastAsia"/>
          <w:b/>
          <w:bCs/>
          <w:sz w:val="28"/>
          <w:szCs w:val="28"/>
          <w:lang w:eastAsia="zh-CN"/>
        </w:rPr>
        <w:t>项目过程情况</w:t>
      </w:r>
    </w:p>
    <w:p>
      <w:pPr>
        <w:numPr>
          <w:ilvl w:val="0"/>
          <w:numId w:val="10"/>
        </w:numPr>
        <w:ind w:left="0" w:leftChars="0" w:firstLine="560" w:firstLineChars="200"/>
        <w:jc w:val="left"/>
        <w:rPr>
          <w:rFonts w:hint="eastAsia"/>
          <w:b w:val="0"/>
          <w:bCs w:val="0"/>
          <w:sz w:val="28"/>
          <w:szCs w:val="28"/>
          <w:lang w:eastAsia="zh-CN"/>
        </w:rPr>
      </w:pPr>
      <w:r>
        <w:rPr>
          <w:rFonts w:hint="eastAsia"/>
          <w:b w:val="0"/>
          <w:bCs w:val="0"/>
          <w:sz w:val="28"/>
          <w:szCs w:val="28"/>
          <w:lang w:eastAsia="zh-CN"/>
        </w:rPr>
        <w:t>资金使用情况分析。不存在支出依据不合规、虚列项目支出的情况；不存在截留、挤占、挪用项目资金情况；不存在超标准开支情况。</w:t>
      </w:r>
    </w:p>
    <w:p>
      <w:pPr>
        <w:numPr>
          <w:ilvl w:val="0"/>
          <w:numId w:val="10"/>
        </w:numPr>
        <w:ind w:left="0" w:leftChars="0" w:firstLine="560" w:firstLineChars="200"/>
        <w:jc w:val="left"/>
        <w:rPr>
          <w:rFonts w:hint="eastAsia"/>
          <w:b w:val="0"/>
          <w:bCs w:val="0"/>
          <w:sz w:val="28"/>
          <w:szCs w:val="28"/>
          <w:lang w:eastAsia="zh-CN"/>
        </w:rPr>
      </w:pPr>
      <w:r>
        <w:rPr>
          <w:rFonts w:hint="eastAsia"/>
          <w:b w:val="0"/>
          <w:bCs w:val="0"/>
          <w:sz w:val="28"/>
          <w:szCs w:val="28"/>
          <w:lang w:eastAsia="zh-CN"/>
        </w:rPr>
        <w:t>财务管理情况分析。财务制度健全，严格执行资金管理、费用支出等制度，会计核算规范。</w:t>
      </w:r>
    </w:p>
    <w:p>
      <w:pPr>
        <w:numPr>
          <w:ilvl w:val="0"/>
          <w:numId w:val="10"/>
        </w:numPr>
        <w:ind w:left="0" w:leftChars="0" w:firstLine="560" w:firstLineChars="200"/>
        <w:jc w:val="left"/>
        <w:rPr>
          <w:rFonts w:hint="eastAsia"/>
          <w:b w:val="0"/>
          <w:bCs w:val="0"/>
          <w:sz w:val="28"/>
          <w:szCs w:val="28"/>
          <w:lang w:eastAsia="zh-CN"/>
        </w:rPr>
      </w:pPr>
      <w:r>
        <w:rPr>
          <w:rFonts w:hint="eastAsia"/>
          <w:b w:val="0"/>
          <w:bCs w:val="0"/>
          <w:sz w:val="28"/>
          <w:szCs w:val="28"/>
          <w:lang w:eastAsia="zh-CN"/>
        </w:rPr>
        <w:t>组织机构建立健全。</w:t>
      </w:r>
    </w:p>
    <w:p>
      <w:pPr>
        <w:numPr>
          <w:ilvl w:val="0"/>
          <w:numId w:val="10"/>
        </w:numPr>
        <w:ind w:left="0" w:leftChars="0" w:firstLine="560" w:firstLineChars="200"/>
        <w:jc w:val="left"/>
        <w:rPr>
          <w:rFonts w:hint="eastAsia"/>
          <w:b w:val="0"/>
          <w:bCs w:val="0"/>
          <w:sz w:val="28"/>
          <w:szCs w:val="28"/>
          <w:lang w:eastAsia="zh-CN"/>
        </w:rPr>
      </w:pPr>
      <w:r>
        <w:rPr>
          <w:rFonts w:hint="eastAsia"/>
          <w:b w:val="0"/>
          <w:bCs w:val="0"/>
          <w:sz w:val="28"/>
          <w:szCs w:val="28"/>
          <w:lang w:eastAsia="zh-CN"/>
        </w:rPr>
        <w:t>依据京政办发【</w:t>
      </w:r>
      <w:r>
        <w:rPr>
          <w:rFonts w:hint="eastAsia"/>
          <w:b w:val="0"/>
          <w:bCs w:val="0"/>
          <w:sz w:val="28"/>
          <w:szCs w:val="28"/>
          <w:lang w:val="en-US" w:eastAsia="zh-CN"/>
        </w:rPr>
        <w:t>2018】6号文件编制了老旧小区综合整治改造规划设计方案。</w:t>
      </w:r>
    </w:p>
    <w:p>
      <w:pPr>
        <w:numPr>
          <w:ilvl w:val="0"/>
          <w:numId w:val="10"/>
        </w:numPr>
        <w:ind w:left="0" w:leftChars="0" w:firstLine="560" w:firstLineChars="200"/>
        <w:jc w:val="left"/>
        <w:rPr>
          <w:rFonts w:hint="eastAsia"/>
          <w:b w:val="0"/>
          <w:bCs w:val="0"/>
          <w:sz w:val="28"/>
          <w:szCs w:val="28"/>
          <w:lang w:eastAsia="zh-CN"/>
        </w:rPr>
      </w:pPr>
      <w:r>
        <w:rPr>
          <w:rFonts w:hint="eastAsia"/>
          <w:b w:val="0"/>
          <w:bCs w:val="0"/>
          <w:sz w:val="28"/>
          <w:szCs w:val="28"/>
          <w:lang w:val="en-US" w:eastAsia="zh-CN"/>
        </w:rPr>
        <w:t>项目招投标及合同管理制度及执行情况分析。在施工过程中严格执行各项管控制度，通过政府采购公开招投标，并统一签订了合同。</w:t>
      </w:r>
    </w:p>
    <w:p>
      <w:pPr>
        <w:numPr>
          <w:ilvl w:val="0"/>
          <w:numId w:val="10"/>
        </w:numPr>
        <w:ind w:left="0" w:leftChars="0" w:firstLine="560" w:firstLineChars="200"/>
        <w:jc w:val="left"/>
        <w:rPr>
          <w:rFonts w:hint="eastAsia"/>
          <w:b w:val="0"/>
          <w:bCs w:val="0"/>
          <w:sz w:val="28"/>
          <w:szCs w:val="28"/>
          <w:lang w:eastAsia="zh-CN"/>
        </w:rPr>
      </w:pPr>
      <w:r>
        <w:rPr>
          <w:rFonts w:hint="eastAsia"/>
          <w:b w:val="0"/>
          <w:bCs w:val="0"/>
          <w:sz w:val="28"/>
          <w:szCs w:val="28"/>
          <w:lang w:val="en-US" w:eastAsia="zh-CN"/>
        </w:rPr>
        <w:t>工程监理制度及执行情况分析。严格执行了工程监理制度，监理方案科学、手续完整，监理小结、日志、总结报告等齐全。</w:t>
      </w:r>
    </w:p>
    <w:p>
      <w:pPr>
        <w:numPr>
          <w:ilvl w:val="0"/>
          <w:numId w:val="8"/>
        </w:numPr>
        <w:jc w:val="left"/>
        <w:rPr>
          <w:rFonts w:hint="eastAsia"/>
          <w:b/>
          <w:bCs/>
          <w:sz w:val="28"/>
          <w:szCs w:val="28"/>
          <w:lang w:eastAsia="zh-CN"/>
        </w:rPr>
      </w:pPr>
      <w:r>
        <w:rPr>
          <w:rFonts w:hint="eastAsia"/>
          <w:b/>
          <w:bCs/>
          <w:sz w:val="28"/>
          <w:szCs w:val="28"/>
          <w:lang w:eastAsia="zh-CN"/>
        </w:rPr>
        <w:t>项目产出情况</w:t>
      </w:r>
    </w:p>
    <w:p>
      <w:pPr>
        <w:numPr>
          <w:ilvl w:val="0"/>
          <w:numId w:val="0"/>
        </w:numPr>
        <w:jc w:val="left"/>
        <w:rPr>
          <w:rFonts w:hint="default"/>
          <w:b w:val="0"/>
          <w:bCs w:val="0"/>
          <w:sz w:val="28"/>
          <w:szCs w:val="28"/>
          <w:lang w:val="en-US" w:eastAsia="zh-CN"/>
        </w:rPr>
      </w:pPr>
      <w:r>
        <w:rPr>
          <w:rFonts w:hint="eastAsia"/>
          <w:b w:val="0"/>
          <w:bCs w:val="0"/>
          <w:sz w:val="28"/>
          <w:szCs w:val="28"/>
          <w:lang w:val="en-US" w:eastAsia="zh-CN"/>
        </w:rPr>
        <w:t xml:space="preserve">     2021年，本单位老旧小区综合整治改造工程项目实施以来，严格按照时间节点及年度目标任务，精心组织实施，我乡两个老旧小区全面实施，双龙小区楼本体节能综合改造及环境整治提升已完工，紫南家园小区楼本体节能综合改造完成98%，环境整治提升完成75%，增设电梯121部已完成75%。</w:t>
      </w:r>
    </w:p>
    <w:p>
      <w:pPr>
        <w:numPr>
          <w:ilvl w:val="0"/>
          <w:numId w:val="8"/>
        </w:numPr>
        <w:jc w:val="left"/>
        <w:rPr>
          <w:rFonts w:hint="eastAsia"/>
          <w:b/>
          <w:bCs/>
          <w:sz w:val="28"/>
          <w:szCs w:val="28"/>
          <w:lang w:eastAsia="zh-CN"/>
        </w:rPr>
      </w:pPr>
      <w:r>
        <w:rPr>
          <w:rFonts w:hint="eastAsia"/>
          <w:b/>
          <w:bCs/>
          <w:sz w:val="28"/>
          <w:szCs w:val="28"/>
          <w:lang w:eastAsia="zh-CN"/>
        </w:rPr>
        <w:t>项目效益情况</w:t>
      </w:r>
    </w:p>
    <w:p>
      <w:pPr>
        <w:numPr>
          <w:ilvl w:val="0"/>
          <w:numId w:val="11"/>
        </w:numPr>
        <w:ind w:left="560" w:leftChars="0" w:firstLine="0" w:firstLineChars="0"/>
        <w:jc w:val="left"/>
        <w:rPr>
          <w:rFonts w:hint="eastAsia"/>
          <w:b w:val="0"/>
          <w:bCs w:val="0"/>
          <w:sz w:val="28"/>
          <w:szCs w:val="28"/>
          <w:lang w:val="en-US" w:eastAsia="zh-CN"/>
        </w:rPr>
      </w:pPr>
      <w:r>
        <w:rPr>
          <w:rFonts w:hint="eastAsia"/>
          <w:b w:val="0"/>
          <w:bCs w:val="0"/>
          <w:sz w:val="28"/>
          <w:szCs w:val="28"/>
          <w:lang w:val="en-US" w:eastAsia="zh-CN"/>
        </w:rPr>
        <w:t>经济和社会效益分析</w:t>
      </w:r>
    </w:p>
    <w:p>
      <w:pPr>
        <w:numPr>
          <w:ilvl w:val="0"/>
          <w:numId w:val="0"/>
        </w:numPr>
        <w:ind w:left="0" w:leftChars="0" w:firstLine="560" w:firstLineChars="200"/>
        <w:jc w:val="left"/>
        <w:rPr>
          <w:rFonts w:hint="eastAsia"/>
          <w:b w:val="0"/>
          <w:bCs w:val="0"/>
          <w:sz w:val="28"/>
          <w:szCs w:val="28"/>
          <w:lang w:val="en-US" w:eastAsia="zh-CN"/>
        </w:rPr>
      </w:pPr>
      <w:r>
        <w:rPr>
          <w:rFonts w:hint="eastAsia"/>
          <w:b w:val="0"/>
          <w:bCs w:val="0"/>
          <w:sz w:val="28"/>
          <w:szCs w:val="28"/>
          <w:lang w:val="en-US" w:eastAsia="zh-CN"/>
        </w:rPr>
        <w:t>此次老旧住宅小区综合整治改造得到了当地群众的大力支持与拥护，与改造后小区的干净、整洁相比，旧小区的破败不堪历历在目，鲜明的对比让群众真正理解了民生工程意义和作用，群众得到到了实实在在的利益。可见，老旧小区改造的政策带来了温暖，良好的口碑在人民群众中树立，政府的惠民工作取得了良好的经济效益和社会效益。</w:t>
      </w:r>
    </w:p>
    <w:p>
      <w:pPr>
        <w:numPr>
          <w:ilvl w:val="0"/>
          <w:numId w:val="11"/>
        </w:numPr>
        <w:ind w:left="560" w:leftChars="0" w:firstLine="0" w:firstLineChars="0"/>
        <w:jc w:val="left"/>
        <w:rPr>
          <w:rFonts w:hint="eastAsia"/>
          <w:b w:val="0"/>
          <w:bCs w:val="0"/>
          <w:sz w:val="28"/>
          <w:szCs w:val="28"/>
          <w:lang w:val="en-US" w:eastAsia="zh-CN"/>
        </w:rPr>
      </w:pPr>
      <w:r>
        <w:rPr>
          <w:rFonts w:hint="eastAsia"/>
          <w:b w:val="0"/>
          <w:bCs w:val="0"/>
          <w:sz w:val="28"/>
          <w:szCs w:val="28"/>
          <w:lang w:val="en-US" w:eastAsia="zh-CN"/>
        </w:rPr>
        <w:t>环境效益分析</w:t>
      </w:r>
    </w:p>
    <w:p>
      <w:pPr>
        <w:numPr>
          <w:ilvl w:val="0"/>
          <w:numId w:val="0"/>
        </w:numPr>
        <w:ind w:left="0" w:leftChars="0" w:firstLine="560" w:firstLineChars="200"/>
        <w:jc w:val="left"/>
        <w:rPr>
          <w:rFonts w:hint="eastAsia"/>
          <w:b w:val="0"/>
          <w:bCs w:val="0"/>
          <w:sz w:val="28"/>
          <w:szCs w:val="28"/>
          <w:lang w:val="en-US" w:eastAsia="zh-CN"/>
        </w:rPr>
      </w:pPr>
      <w:r>
        <w:rPr>
          <w:rFonts w:hint="eastAsia"/>
          <w:b w:val="0"/>
          <w:bCs w:val="0"/>
          <w:sz w:val="28"/>
          <w:szCs w:val="28"/>
          <w:lang w:val="en-US" w:eastAsia="zh-CN"/>
        </w:rPr>
        <w:t>对老旧小区进行整治，一直以来都是政府着力推进的民生工程。目前，列入整治的老旧小区推进工作顺利，现在，小区环境变好了，道路畅通了，房屋保温性能提高了，上下楼有电梯了，为居民营造了良好的生活环境。随着老旧小区改造提升工作的推进，将会进一步改善周边环境并提升居住品质，切实增强辖区居民的获得感和幸福感。</w:t>
      </w:r>
    </w:p>
    <w:p>
      <w:pPr>
        <w:numPr>
          <w:ilvl w:val="0"/>
          <w:numId w:val="11"/>
        </w:numPr>
        <w:ind w:left="560" w:leftChars="0" w:firstLine="0" w:firstLineChars="0"/>
        <w:jc w:val="left"/>
        <w:rPr>
          <w:rFonts w:hint="eastAsia"/>
          <w:b w:val="0"/>
          <w:bCs w:val="0"/>
          <w:sz w:val="28"/>
          <w:szCs w:val="28"/>
          <w:lang w:val="en-US" w:eastAsia="zh-CN"/>
        </w:rPr>
      </w:pPr>
      <w:r>
        <w:rPr>
          <w:rFonts w:hint="eastAsia"/>
          <w:b w:val="0"/>
          <w:bCs w:val="0"/>
          <w:sz w:val="28"/>
          <w:szCs w:val="28"/>
          <w:lang w:val="en-US" w:eastAsia="zh-CN"/>
        </w:rPr>
        <w:t>可持续影响分析</w:t>
      </w:r>
    </w:p>
    <w:p>
      <w:pPr>
        <w:numPr>
          <w:ilvl w:val="0"/>
          <w:numId w:val="0"/>
        </w:numPr>
        <w:ind w:left="0" w:leftChars="0" w:firstLine="638" w:firstLineChars="228"/>
        <w:jc w:val="left"/>
        <w:rPr>
          <w:rFonts w:hint="eastAsia"/>
          <w:b w:val="0"/>
          <w:bCs w:val="0"/>
          <w:sz w:val="28"/>
          <w:szCs w:val="28"/>
          <w:lang w:val="en-US" w:eastAsia="zh-CN"/>
        </w:rPr>
      </w:pPr>
      <w:r>
        <w:rPr>
          <w:rFonts w:hint="eastAsia"/>
          <w:b w:val="0"/>
          <w:bCs w:val="0"/>
          <w:sz w:val="28"/>
          <w:szCs w:val="28"/>
          <w:lang w:val="en-US" w:eastAsia="zh-CN"/>
        </w:rPr>
        <w:t>老旧小区改造不仅要为经济发展服务，更要坚持以人为本，进行以人均享有舒适度标准更新生活环境，保持城市的可持续发展。</w:t>
      </w:r>
    </w:p>
    <w:p>
      <w:pPr>
        <w:numPr>
          <w:ilvl w:val="0"/>
          <w:numId w:val="1"/>
        </w:numPr>
        <w:jc w:val="left"/>
        <w:rPr>
          <w:rFonts w:hint="eastAsia"/>
          <w:b/>
          <w:bCs/>
          <w:sz w:val="28"/>
          <w:szCs w:val="28"/>
          <w:lang w:eastAsia="zh-CN"/>
        </w:rPr>
      </w:pPr>
      <w:r>
        <w:rPr>
          <w:rFonts w:hint="eastAsia"/>
          <w:b/>
          <w:bCs/>
          <w:sz w:val="28"/>
          <w:szCs w:val="28"/>
          <w:lang w:eastAsia="zh-CN"/>
        </w:rPr>
        <w:t>主要经验及做法、存在的问题及原因分析</w:t>
      </w:r>
    </w:p>
    <w:p>
      <w:pPr>
        <w:numPr>
          <w:ilvl w:val="0"/>
          <w:numId w:val="12"/>
        </w:numPr>
        <w:jc w:val="left"/>
        <w:rPr>
          <w:rFonts w:hint="eastAsia"/>
          <w:b/>
          <w:bCs/>
          <w:sz w:val="28"/>
          <w:szCs w:val="28"/>
          <w:lang w:val="en-US" w:eastAsia="zh-CN"/>
        </w:rPr>
      </w:pPr>
      <w:r>
        <w:rPr>
          <w:rFonts w:hint="eastAsia"/>
          <w:b/>
          <w:bCs/>
          <w:sz w:val="28"/>
          <w:szCs w:val="28"/>
          <w:lang w:val="en-US" w:eastAsia="zh-CN"/>
        </w:rPr>
        <w:t>主要经验及做法</w:t>
      </w:r>
    </w:p>
    <w:p>
      <w:pPr>
        <w:pStyle w:val="3"/>
        <w:spacing w:before="149" w:line="328" w:lineRule="auto"/>
        <w:ind w:left="131" w:right="-94" w:rightChars="0" w:firstLine="640"/>
        <w:jc w:val="both"/>
        <w:rPr>
          <w:rFonts w:hint="eastAsia" w:asciiTheme="minorHAnsi" w:hAnsiTheme="minorHAnsi" w:eastAsiaTheme="minorEastAsia" w:cstheme="minorBidi"/>
          <w:b w:val="0"/>
          <w:bCs w:val="0"/>
          <w:kern w:val="2"/>
          <w:sz w:val="28"/>
          <w:szCs w:val="28"/>
          <w:lang w:val="en-US" w:eastAsia="zh-CN" w:bidi="ar-SA"/>
        </w:rPr>
      </w:pPr>
      <w:r>
        <w:rPr>
          <w:rFonts w:hint="eastAsia" w:asciiTheme="minorHAnsi" w:hAnsiTheme="minorHAnsi" w:eastAsiaTheme="minorEastAsia" w:cstheme="minorBidi"/>
          <w:b w:val="0"/>
          <w:bCs w:val="0"/>
          <w:kern w:val="2"/>
          <w:sz w:val="28"/>
          <w:szCs w:val="28"/>
          <w:lang w:val="en-US" w:eastAsia="zh-CN" w:bidi="ar-SA"/>
        </w:rPr>
        <w:t>通过实施 2018 年老旧住宅小区综合整治改造项目，极大的改善了群众居住生活环境。主管科室根据老旧小区的实际情况，本着因地制宜原则，实事求是、科学调查了小区自然条件，广泛征求居民意见和需求，解决居民关注的热点难点问题，使居民生活环境质量得到了切实的改善，主要经验与做法体现在以下方面：</w:t>
      </w:r>
    </w:p>
    <w:p>
      <w:pPr>
        <w:pStyle w:val="3"/>
        <w:spacing w:line="328" w:lineRule="auto"/>
        <w:ind w:left="131" w:right="-92" w:rightChars="-44" w:firstLine="640"/>
        <w:rPr>
          <w:rFonts w:hint="default" w:asciiTheme="minorHAnsi" w:hAnsiTheme="minorHAnsi" w:eastAsiaTheme="minorEastAsia" w:cstheme="minorBidi"/>
          <w:b w:val="0"/>
          <w:bCs w:val="0"/>
          <w:kern w:val="2"/>
          <w:sz w:val="28"/>
          <w:szCs w:val="28"/>
          <w:lang w:val="en-US" w:eastAsia="zh-CN" w:bidi="ar-SA"/>
        </w:rPr>
      </w:pPr>
      <w:r>
        <w:rPr>
          <w:rFonts w:hint="eastAsia" w:asciiTheme="minorHAnsi" w:hAnsiTheme="minorHAnsi" w:eastAsiaTheme="minorEastAsia" w:cstheme="minorBidi"/>
          <w:b w:val="0"/>
          <w:bCs w:val="0"/>
          <w:kern w:val="2"/>
          <w:sz w:val="28"/>
          <w:szCs w:val="28"/>
          <w:lang w:val="en-US" w:eastAsia="zh-CN" w:bidi="ar-SA"/>
        </w:rPr>
        <w:t>1、政府主导、业主参与。南磨房乡</w:t>
      </w:r>
      <w:bookmarkStart w:id="0" w:name="_GoBack"/>
      <w:bookmarkEnd w:id="0"/>
      <w:r>
        <w:rPr>
          <w:rFonts w:hint="eastAsia" w:asciiTheme="minorHAnsi" w:hAnsiTheme="minorHAnsi" w:eastAsiaTheme="minorEastAsia" w:cstheme="minorBidi"/>
          <w:b w:val="0"/>
          <w:bCs w:val="0"/>
          <w:kern w:val="2"/>
          <w:sz w:val="28"/>
          <w:szCs w:val="28"/>
          <w:lang w:val="en-US" w:eastAsia="zh-CN" w:bidi="ar-SA"/>
        </w:rPr>
        <w:t>高度重视，把老旧小区综合整治项目建设纳入重要议事日程和全街道重点建设项目，成立领导小组，建立组织机构，明确和落实各部门职责。广泛征求居民意见和需求。按照上级财政补贴资金的原则，扎实推进老旧小区综合整治工作。</w:t>
      </w:r>
    </w:p>
    <w:p>
      <w:pPr>
        <w:pStyle w:val="3"/>
        <w:spacing w:line="328" w:lineRule="auto"/>
        <w:ind w:left="131" w:right="-92" w:rightChars="-44" w:firstLine="640"/>
        <w:jc w:val="both"/>
        <w:rPr>
          <w:rFonts w:hint="eastAsia" w:asciiTheme="minorHAnsi" w:hAnsiTheme="minorHAnsi" w:eastAsiaTheme="minorEastAsia" w:cstheme="minorBidi"/>
          <w:b w:val="0"/>
          <w:bCs w:val="0"/>
          <w:kern w:val="2"/>
          <w:sz w:val="28"/>
          <w:szCs w:val="28"/>
          <w:lang w:val="en-US" w:eastAsia="zh-CN" w:bidi="ar-SA"/>
        </w:rPr>
      </w:pPr>
      <w:r>
        <w:rPr>
          <w:rFonts w:hint="eastAsia" w:asciiTheme="minorHAnsi" w:hAnsiTheme="minorHAnsi" w:eastAsiaTheme="minorEastAsia" w:cstheme="minorBidi"/>
          <w:b w:val="0"/>
          <w:bCs w:val="0"/>
          <w:kern w:val="2"/>
          <w:sz w:val="28"/>
          <w:szCs w:val="28"/>
          <w:lang w:val="en-US" w:eastAsia="zh-CN" w:bidi="ar-SA"/>
        </w:rPr>
        <w:t>2、先实用后美观。坚持改善民生原则，改造内容以楼本体节能综合改造、小区公共区域环境整治提升、加装电梯为主为主，进一步提高房屋宜居性。</w:t>
      </w:r>
    </w:p>
    <w:p>
      <w:pPr>
        <w:numPr>
          <w:ilvl w:val="0"/>
          <w:numId w:val="0"/>
        </w:numPr>
        <w:ind w:right="-92" w:rightChars="-44" w:firstLine="840" w:firstLineChars="300"/>
        <w:jc w:val="left"/>
        <w:rPr>
          <w:rFonts w:hint="eastAsia" w:cstheme="minorBidi"/>
          <w:b w:val="0"/>
          <w:bCs w:val="0"/>
          <w:kern w:val="2"/>
          <w:sz w:val="28"/>
          <w:szCs w:val="28"/>
          <w:lang w:val="en-US" w:eastAsia="zh-CN" w:bidi="ar-SA"/>
        </w:rPr>
      </w:pPr>
      <w:r>
        <w:rPr>
          <w:rFonts w:hint="eastAsia" w:asciiTheme="minorHAnsi" w:hAnsiTheme="minorHAnsi" w:eastAsiaTheme="minorEastAsia" w:cstheme="minorBidi"/>
          <w:b w:val="0"/>
          <w:bCs w:val="0"/>
          <w:kern w:val="2"/>
          <w:sz w:val="28"/>
          <w:szCs w:val="28"/>
          <w:lang w:val="en-US" w:eastAsia="zh-CN" w:bidi="ar-SA"/>
        </w:rPr>
        <w:t>3、因地制宜、阳光透明、完善机制、督导考核。老旧住宅小区整治改造实事求是、科学评估，尊重小区自然条件，突出自身特点。改造内容、规划设计、施工组织等内容都要公开公示，</w:t>
      </w:r>
      <w:r>
        <w:rPr>
          <w:rFonts w:hint="eastAsia" w:cstheme="minorBidi"/>
          <w:b w:val="0"/>
          <w:bCs w:val="0"/>
          <w:kern w:val="2"/>
          <w:sz w:val="28"/>
          <w:szCs w:val="28"/>
          <w:lang w:val="en-US" w:eastAsia="zh-CN" w:bidi="ar-SA"/>
        </w:rPr>
        <w:t>由独立第三方机构</w:t>
      </w:r>
      <w:r>
        <w:rPr>
          <w:rFonts w:hint="eastAsia" w:asciiTheme="minorHAnsi" w:hAnsiTheme="minorHAnsi" w:eastAsiaTheme="minorEastAsia" w:cstheme="minorBidi"/>
          <w:b w:val="0"/>
          <w:bCs w:val="0"/>
          <w:kern w:val="2"/>
          <w:sz w:val="28"/>
          <w:szCs w:val="28"/>
          <w:lang w:val="en-US" w:eastAsia="zh-CN" w:bidi="ar-SA"/>
        </w:rPr>
        <w:t>审计，实现阳光透明。</w:t>
      </w:r>
      <w:r>
        <w:rPr>
          <w:rFonts w:hint="eastAsia" w:cstheme="minorBidi"/>
          <w:b w:val="0"/>
          <w:bCs w:val="0"/>
          <w:kern w:val="2"/>
          <w:sz w:val="28"/>
          <w:szCs w:val="28"/>
          <w:lang w:val="en-US" w:eastAsia="zh-CN" w:bidi="ar-SA"/>
        </w:rPr>
        <w:t>着眼长远，建立长效机制，落实物业管理，基因整治成果。</w:t>
      </w:r>
      <w:r>
        <w:rPr>
          <w:rFonts w:hint="eastAsia" w:asciiTheme="minorHAnsi" w:hAnsiTheme="minorHAnsi" w:eastAsiaTheme="minorEastAsia" w:cstheme="minorBidi"/>
          <w:b w:val="0"/>
          <w:bCs w:val="0"/>
          <w:kern w:val="2"/>
          <w:sz w:val="28"/>
          <w:szCs w:val="28"/>
          <w:lang w:val="en-US" w:eastAsia="zh-CN" w:bidi="ar-SA"/>
        </w:rPr>
        <w:t>建立督导、检查、考核机制，发挥典型示范带动作用，对整治工作组织实施不力的及时问责</w:t>
      </w:r>
      <w:r>
        <w:rPr>
          <w:rFonts w:hint="eastAsia" w:cstheme="minorBidi"/>
          <w:b w:val="0"/>
          <w:bCs w:val="0"/>
          <w:kern w:val="2"/>
          <w:sz w:val="28"/>
          <w:szCs w:val="28"/>
          <w:lang w:val="en-US" w:eastAsia="zh-CN" w:bidi="ar-SA"/>
        </w:rPr>
        <w:t>。</w:t>
      </w:r>
    </w:p>
    <w:p>
      <w:pPr>
        <w:numPr>
          <w:ilvl w:val="0"/>
          <w:numId w:val="12"/>
        </w:numPr>
        <w:jc w:val="left"/>
        <w:rPr>
          <w:rFonts w:hint="eastAsia" w:cstheme="minorBidi"/>
          <w:b/>
          <w:bCs/>
          <w:kern w:val="2"/>
          <w:sz w:val="28"/>
          <w:szCs w:val="28"/>
          <w:lang w:val="en-US" w:eastAsia="zh-CN" w:bidi="ar-SA"/>
        </w:rPr>
      </w:pPr>
      <w:r>
        <w:rPr>
          <w:rFonts w:hint="eastAsia" w:cstheme="minorBidi"/>
          <w:b/>
          <w:bCs/>
          <w:kern w:val="2"/>
          <w:sz w:val="28"/>
          <w:szCs w:val="28"/>
          <w:lang w:val="en-US" w:eastAsia="zh-CN" w:bidi="ar-SA"/>
        </w:rPr>
        <w:t>存在的问题及原因分析</w:t>
      </w:r>
    </w:p>
    <w:p>
      <w:pPr>
        <w:numPr>
          <w:ilvl w:val="0"/>
          <w:numId w:val="0"/>
        </w:numPr>
        <w:jc w:val="left"/>
        <w:rPr>
          <w:rFonts w:hint="default" w:cstheme="minorBidi"/>
          <w:b w:val="0"/>
          <w:bCs w:val="0"/>
          <w:kern w:val="2"/>
          <w:sz w:val="28"/>
          <w:szCs w:val="28"/>
          <w:lang w:val="en-US" w:eastAsia="zh-CN" w:bidi="ar-SA"/>
        </w:rPr>
      </w:pPr>
      <w:r>
        <w:rPr>
          <w:rFonts w:hint="eastAsia" w:cstheme="minorBidi"/>
          <w:b w:val="0"/>
          <w:bCs w:val="0"/>
          <w:kern w:val="2"/>
          <w:sz w:val="28"/>
          <w:szCs w:val="28"/>
          <w:lang w:val="en-US" w:eastAsia="zh-CN" w:bidi="ar-SA"/>
        </w:rPr>
        <w:t xml:space="preserve">     目前未发现存在的问题。</w:t>
      </w:r>
    </w:p>
    <w:p>
      <w:pPr>
        <w:numPr>
          <w:ilvl w:val="0"/>
          <w:numId w:val="1"/>
        </w:numPr>
        <w:jc w:val="left"/>
        <w:rPr>
          <w:rFonts w:hint="eastAsia"/>
          <w:b/>
          <w:bCs/>
          <w:sz w:val="28"/>
          <w:szCs w:val="28"/>
          <w:lang w:eastAsia="zh-CN"/>
        </w:rPr>
      </w:pPr>
      <w:r>
        <w:rPr>
          <w:rFonts w:hint="eastAsia"/>
          <w:b/>
          <w:bCs/>
          <w:sz w:val="28"/>
          <w:szCs w:val="28"/>
          <w:lang w:eastAsia="zh-CN"/>
        </w:rPr>
        <w:t>有关建议</w:t>
      </w:r>
    </w:p>
    <w:p>
      <w:pPr>
        <w:pStyle w:val="3"/>
        <w:tabs>
          <w:tab w:val="left" w:pos="8400"/>
        </w:tabs>
        <w:spacing w:before="240" w:line="381" w:lineRule="auto"/>
        <w:ind w:left="131" w:right="-92" w:rightChars="-44" w:firstLine="640"/>
        <w:rPr>
          <w:rFonts w:hint="eastAsia" w:asciiTheme="minorHAnsi" w:hAnsiTheme="minorHAnsi" w:eastAsiaTheme="minorEastAsia" w:cstheme="minorBidi"/>
          <w:b w:val="0"/>
          <w:bCs w:val="0"/>
          <w:kern w:val="2"/>
          <w:sz w:val="28"/>
          <w:szCs w:val="28"/>
          <w:lang w:val="en-US" w:eastAsia="zh-CN" w:bidi="ar-SA"/>
        </w:rPr>
      </w:pPr>
      <w:r>
        <w:rPr>
          <w:rFonts w:hint="eastAsia" w:asciiTheme="minorHAnsi" w:hAnsiTheme="minorHAnsi" w:eastAsiaTheme="minorEastAsia" w:cstheme="minorBidi"/>
          <w:b w:val="0"/>
          <w:bCs w:val="0"/>
          <w:kern w:val="2"/>
          <w:sz w:val="28"/>
          <w:szCs w:val="28"/>
          <w:lang w:val="en-US" w:eastAsia="zh-CN" w:bidi="ar-SA"/>
        </w:rPr>
        <w:t>1、加强项目决策，强化项目管理。明确项目目标，细化、量化；规范项目申报程序，做好项目宣传，按照规定开展前期调查，结合民意，提出整治改造方案；项目实施调整时应履行相应手续，涉及变更的，按照变更作调整手续。</w:t>
      </w:r>
    </w:p>
    <w:p>
      <w:pPr>
        <w:numPr>
          <w:ilvl w:val="0"/>
          <w:numId w:val="0"/>
        </w:numPr>
        <w:tabs>
          <w:tab w:val="left" w:pos="8400"/>
        </w:tabs>
        <w:ind w:right="-92" w:rightChars="-44" w:firstLine="560" w:firstLineChars="200"/>
        <w:jc w:val="left"/>
        <w:rPr>
          <w:rFonts w:hint="eastAsia" w:cstheme="minorBidi"/>
          <w:b w:val="0"/>
          <w:bCs w:val="0"/>
          <w:kern w:val="2"/>
          <w:sz w:val="28"/>
          <w:szCs w:val="28"/>
          <w:lang w:val="en-US" w:eastAsia="zh-CN" w:bidi="ar-SA"/>
        </w:rPr>
      </w:pPr>
      <w:r>
        <w:rPr>
          <w:rFonts w:hint="eastAsia" w:asciiTheme="minorHAnsi" w:hAnsiTheme="minorHAnsi" w:eastAsiaTheme="minorEastAsia" w:cstheme="minorBidi"/>
          <w:b w:val="0"/>
          <w:bCs w:val="0"/>
          <w:kern w:val="2"/>
          <w:sz w:val="28"/>
          <w:szCs w:val="28"/>
          <w:lang w:val="en-US" w:eastAsia="zh-CN" w:bidi="ar-SA"/>
        </w:rPr>
        <w:t>2、</w:t>
      </w:r>
      <w:r>
        <w:rPr>
          <w:rFonts w:hint="eastAsia" w:cstheme="minorBidi"/>
          <w:b w:val="0"/>
          <w:bCs w:val="0"/>
          <w:kern w:val="2"/>
          <w:sz w:val="28"/>
          <w:szCs w:val="28"/>
          <w:lang w:val="en-US" w:eastAsia="zh-CN" w:bidi="ar-SA"/>
        </w:rPr>
        <w:t>严格执行评审，狠抓工程质量。</w:t>
      </w:r>
    </w:p>
    <w:p>
      <w:pPr>
        <w:numPr>
          <w:ilvl w:val="0"/>
          <w:numId w:val="1"/>
        </w:numPr>
        <w:jc w:val="left"/>
        <w:rPr>
          <w:rFonts w:hint="eastAsia"/>
          <w:b/>
          <w:bCs/>
          <w:sz w:val="28"/>
          <w:szCs w:val="28"/>
          <w:lang w:val="en-US" w:eastAsia="zh-CN"/>
        </w:rPr>
      </w:pPr>
      <w:r>
        <w:rPr>
          <w:rFonts w:hint="eastAsia"/>
          <w:b/>
          <w:bCs/>
          <w:sz w:val="28"/>
          <w:szCs w:val="28"/>
          <w:lang w:val="en-US" w:eastAsia="zh-CN"/>
        </w:rPr>
        <w:t>其他需要说明的问题</w:t>
      </w:r>
    </w:p>
    <w:p>
      <w:pPr>
        <w:numPr>
          <w:ilvl w:val="0"/>
          <w:numId w:val="0"/>
        </w:numPr>
        <w:jc w:val="left"/>
        <w:rPr>
          <w:rFonts w:hint="default"/>
          <w:b w:val="0"/>
          <w:bCs w:val="0"/>
          <w:sz w:val="28"/>
          <w:szCs w:val="28"/>
          <w:lang w:val="en-US" w:eastAsia="zh-CN"/>
        </w:rPr>
      </w:pPr>
      <w:r>
        <w:rPr>
          <w:rFonts w:hint="eastAsia"/>
          <w:b w:val="0"/>
          <w:bCs w:val="0"/>
          <w:sz w:val="28"/>
          <w:szCs w:val="28"/>
          <w:lang w:val="en-US" w:eastAsia="zh-CN"/>
        </w:rPr>
        <w:t xml:space="preserve">    无。</w:t>
      </w:r>
    </w:p>
    <w:p>
      <w:pPr>
        <w:numPr>
          <w:ilvl w:val="0"/>
          <w:numId w:val="1"/>
        </w:numPr>
        <w:jc w:val="left"/>
        <w:rPr>
          <w:rFonts w:hint="eastAsia"/>
          <w:b/>
          <w:bCs/>
          <w:sz w:val="28"/>
          <w:szCs w:val="28"/>
          <w:lang w:val="en-US" w:eastAsia="zh-CN"/>
        </w:rPr>
        <w:sectPr>
          <w:pgSz w:w="11906" w:h="16838"/>
          <w:pgMar w:top="1440" w:right="1800" w:bottom="1440" w:left="1800" w:header="851" w:footer="992" w:gutter="0"/>
          <w:cols w:space="425" w:num="1"/>
          <w:docGrid w:type="lines" w:linePitch="312" w:charSpace="0"/>
        </w:sectPr>
      </w:pPr>
      <w:r>
        <w:rPr>
          <w:rFonts w:hint="eastAsia"/>
          <w:b/>
          <w:bCs/>
          <w:sz w:val="28"/>
          <w:szCs w:val="28"/>
          <w:lang w:val="en-US" w:eastAsia="zh-CN"/>
        </w:rPr>
        <w:t>项目支出绩效评价评分表（下页）</w:t>
      </w:r>
    </w:p>
    <w:p>
      <w:pPr>
        <w:widowControl/>
        <w:jc w:val="center"/>
        <w:rPr>
          <w:b/>
          <w:bCs/>
          <w:color w:val="FF0000"/>
          <w:szCs w:val="24"/>
        </w:rPr>
      </w:pPr>
      <w:r>
        <w:rPr>
          <w:rFonts w:hint="eastAsia" w:ascii="宋体" w:hAnsi="宋体" w:cs="宋体"/>
          <w:b/>
          <w:bCs/>
          <w:color w:val="000000"/>
          <w:kern w:val="0"/>
          <w:sz w:val="36"/>
          <w:szCs w:val="36"/>
        </w:rPr>
        <w:t>项目支出绩效评价评分表</w:t>
      </w:r>
    </w:p>
    <w:tbl>
      <w:tblPr>
        <w:tblStyle w:val="4"/>
        <w:tblW w:w="9259" w:type="dxa"/>
        <w:tblInd w:w="118" w:type="dxa"/>
        <w:tblLayout w:type="fixed"/>
        <w:tblCellMar>
          <w:top w:w="0" w:type="dxa"/>
          <w:left w:w="108" w:type="dxa"/>
          <w:bottom w:w="0" w:type="dxa"/>
          <w:right w:w="108" w:type="dxa"/>
        </w:tblCellMar>
      </w:tblPr>
      <w:tblGrid>
        <w:gridCol w:w="719"/>
        <w:gridCol w:w="700"/>
        <w:gridCol w:w="720"/>
        <w:gridCol w:w="720"/>
        <w:gridCol w:w="700"/>
        <w:gridCol w:w="3200"/>
        <w:gridCol w:w="900"/>
        <w:gridCol w:w="1600"/>
      </w:tblGrid>
      <w:tr>
        <w:tblPrEx>
          <w:tblCellMar>
            <w:top w:w="0" w:type="dxa"/>
            <w:left w:w="108" w:type="dxa"/>
            <w:bottom w:w="0" w:type="dxa"/>
            <w:right w:w="108" w:type="dxa"/>
          </w:tblCellMar>
        </w:tblPrEx>
        <w:trPr>
          <w:trHeight w:val="612" w:hRule="atLeast"/>
        </w:trPr>
        <w:tc>
          <w:tcPr>
            <w:tcW w:w="71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color w:val="000000"/>
                <w:kern w:val="0"/>
                <w:sz w:val="22"/>
                <w:szCs w:val="24"/>
              </w:rPr>
            </w:pPr>
            <w:r>
              <w:rPr>
                <w:rFonts w:hint="eastAsia" w:ascii="宋体" w:hAnsi="宋体" w:cs="宋体"/>
                <w:b/>
                <w:bCs/>
                <w:color w:val="000000"/>
                <w:kern w:val="0"/>
                <w:sz w:val="22"/>
                <w:szCs w:val="24"/>
              </w:rPr>
              <w:t>一级指标</w:t>
            </w:r>
          </w:p>
        </w:tc>
        <w:tc>
          <w:tcPr>
            <w:tcW w:w="70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bCs/>
                <w:color w:val="000000"/>
                <w:kern w:val="0"/>
                <w:sz w:val="22"/>
                <w:szCs w:val="24"/>
              </w:rPr>
            </w:pPr>
            <w:r>
              <w:rPr>
                <w:rFonts w:hint="eastAsia" w:ascii="宋体" w:hAnsi="宋体" w:cs="宋体"/>
                <w:b/>
                <w:bCs/>
                <w:color w:val="000000"/>
                <w:kern w:val="0"/>
                <w:sz w:val="22"/>
                <w:szCs w:val="24"/>
              </w:rPr>
              <w:t>二级指标</w:t>
            </w:r>
          </w:p>
        </w:tc>
        <w:tc>
          <w:tcPr>
            <w:tcW w:w="72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bCs/>
                <w:color w:val="000000"/>
                <w:kern w:val="0"/>
                <w:sz w:val="22"/>
                <w:szCs w:val="24"/>
              </w:rPr>
            </w:pPr>
            <w:r>
              <w:rPr>
                <w:rFonts w:hint="eastAsia" w:ascii="宋体" w:hAnsi="宋体" w:cs="宋体"/>
                <w:b/>
                <w:bCs/>
                <w:color w:val="000000"/>
                <w:kern w:val="0"/>
                <w:sz w:val="22"/>
                <w:szCs w:val="24"/>
              </w:rPr>
              <w:t>分值</w:t>
            </w:r>
          </w:p>
        </w:tc>
        <w:tc>
          <w:tcPr>
            <w:tcW w:w="72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bCs/>
                <w:color w:val="000000"/>
                <w:kern w:val="0"/>
                <w:sz w:val="22"/>
                <w:szCs w:val="24"/>
              </w:rPr>
            </w:pPr>
            <w:r>
              <w:rPr>
                <w:rFonts w:hint="eastAsia" w:ascii="宋体" w:hAnsi="宋体" w:cs="宋体"/>
                <w:b/>
                <w:bCs/>
                <w:color w:val="000000"/>
                <w:kern w:val="0"/>
                <w:sz w:val="22"/>
                <w:szCs w:val="24"/>
              </w:rPr>
              <w:t>三级指标</w:t>
            </w:r>
          </w:p>
        </w:tc>
        <w:tc>
          <w:tcPr>
            <w:tcW w:w="70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bCs/>
                <w:color w:val="000000"/>
                <w:kern w:val="0"/>
                <w:sz w:val="22"/>
                <w:szCs w:val="24"/>
              </w:rPr>
            </w:pPr>
            <w:r>
              <w:rPr>
                <w:rFonts w:hint="eastAsia" w:ascii="宋体" w:hAnsi="宋体" w:cs="宋体"/>
                <w:b/>
                <w:bCs/>
                <w:color w:val="000000"/>
                <w:kern w:val="0"/>
                <w:sz w:val="22"/>
                <w:szCs w:val="24"/>
              </w:rPr>
              <w:t>分值</w:t>
            </w:r>
          </w:p>
        </w:tc>
        <w:tc>
          <w:tcPr>
            <w:tcW w:w="320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bCs/>
                <w:color w:val="000000"/>
                <w:kern w:val="0"/>
                <w:sz w:val="22"/>
                <w:szCs w:val="24"/>
              </w:rPr>
            </w:pPr>
            <w:r>
              <w:rPr>
                <w:rFonts w:hint="eastAsia" w:ascii="宋体" w:hAnsi="宋体" w:cs="宋体"/>
                <w:b/>
                <w:bCs/>
                <w:color w:val="000000"/>
                <w:kern w:val="0"/>
                <w:sz w:val="22"/>
                <w:szCs w:val="24"/>
              </w:rPr>
              <w:t>指标解释</w:t>
            </w:r>
          </w:p>
        </w:tc>
        <w:tc>
          <w:tcPr>
            <w:tcW w:w="90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bCs/>
                <w:color w:val="000000"/>
                <w:kern w:val="0"/>
                <w:sz w:val="22"/>
                <w:szCs w:val="24"/>
              </w:rPr>
            </w:pPr>
            <w:r>
              <w:rPr>
                <w:rFonts w:hint="eastAsia" w:ascii="宋体" w:hAnsi="宋体" w:cs="宋体"/>
                <w:b/>
                <w:bCs/>
                <w:color w:val="000000"/>
                <w:kern w:val="0"/>
                <w:sz w:val="22"/>
                <w:szCs w:val="24"/>
              </w:rPr>
              <w:t>得分</w:t>
            </w:r>
          </w:p>
        </w:tc>
        <w:tc>
          <w:tcPr>
            <w:tcW w:w="160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bCs/>
                <w:color w:val="000000"/>
                <w:kern w:val="0"/>
                <w:sz w:val="22"/>
                <w:szCs w:val="24"/>
              </w:rPr>
            </w:pPr>
            <w:r>
              <w:rPr>
                <w:rFonts w:hint="eastAsia" w:ascii="宋体" w:hAnsi="宋体" w:cs="宋体"/>
                <w:b/>
                <w:bCs/>
                <w:color w:val="000000"/>
                <w:kern w:val="0"/>
                <w:sz w:val="22"/>
                <w:szCs w:val="24"/>
              </w:rPr>
              <w:t>扣分理由</w:t>
            </w:r>
          </w:p>
        </w:tc>
      </w:tr>
      <w:tr>
        <w:tblPrEx>
          <w:tblCellMar>
            <w:top w:w="0" w:type="dxa"/>
            <w:left w:w="108" w:type="dxa"/>
            <w:bottom w:w="0" w:type="dxa"/>
            <w:right w:w="108" w:type="dxa"/>
          </w:tblCellMar>
        </w:tblPrEx>
        <w:trPr>
          <w:trHeight w:val="540" w:hRule="atLeast"/>
        </w:trPr>
        <w:tc>
          <w:tcPr>
            <w:tcW w:w="71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决策</w:t>
            </w:r>
          </w:p>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(15分)　</w:t>
            </w:r>
          </w:p>
        </w:tc>
        <w:tc>
          <w:tcPr>
            <w:tcW w:w="70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项目立项　</w:t>
            </w:r>
          </w:p>
        </w:tc>
        <w:tc>
          <w:tcPr>
            <w:tcW w:w="72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5</w:t>
            </w:r>
          </w:p>
        </w:tc>
        <w:tc>
          <w:tcPr>
            <w:tcW w:w="7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立项依据充分性</w:t>
            </w:r>
          </w:p>
        </w:tc>
        <w:tc>
          <w:tcPr>
            <w:tcW w:w="70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3</w:t>
            </w:r>
          </w:p>
        </w:tc>
        <w:tc>
          <w:tcPr>
            <w:tcW w:w="320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项目立项是否符合法律法规、相关政策、发展规划以及部门职责，用以反映和考核项目立项依据情况。</w:t>
            </w:r>
          </w:p>
        </w:tc>
        <w:tc>
          <w:tcPr>
            <w:tcW w:w="90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hint="eastAsia" w:ascii="宋体" w:hAnsi="宋体" w:cs="宋体" w:eastAsiaTheme="minorEastAsia"/>
                <w:b w:val="0"/>
                <w:bCs w:val="0"/>
                <w:color w:val="000000"/>
                <w:kern w:val="0"/>
                <w:sz w:val="18"/>
                <w:szCs w:val="18"/>
                <w:lang w:val="en-US" w:eastAsia="zh-CN"/>
              </w:rPr>
            </w:pPr>
            <w:r>
              <w:rPr>
                <w:rFonts w:hint="eastAsia" w:ascii="宋体" w:hAnsi="宋体" w:cs="宋体"/>
                <w:b w:val="0"/>
                <w:bCs w:val="0"/>
                <w:color w:val="000000"/>
                <w:kern w:val="0"/>
                <w:sz w:val="18"/>
                <w:szCs w:val="18"/>
              </w:rPr>
              <w:t>　</w:t>
            </w:r>
            <w:r>
              <w:rPr>
                <w:rFonts w:hint="eastAsia" w:ascii="宋体" w:hAnsi="宋体" w:cs="宋体"/>
                <w:b w:val="0"/>
                <w:bCs w:val="0"/>
                <w:color w:val="000000"/>
                <w:kern w:val="0"/>
                <w:sz w:val="18"/>
                <w:szCs w:val="18"/>
                <w:lang w:val="en-US" w:eastAsia="zh-CN"/>
              </w:rPr>
              <w:t>3</w:t>
            </w:r>
          </w:p>
        </w:tc>
        <w:tc>
          <w:tcPr>
            <w:tcW w:w="160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tc>
      </w:tr>
      <w:tr>
        <w:tblPrEx>
          <w:tblCellMar>
            <w:top w:w="0" w:type="dxa"/>
            <w:left w:w="108" w:type="dxa"/>
            <w:bottom w:w="0" w:type="dxa"/>
            <w:right w:w="108" w:type="dxa"/>
          </w:tblCellMar>
        </w:tblPrEx>
        <w:trPr>
          <w:trHeight w:val="323"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32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312"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32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612"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32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323"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32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372"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立项程序规范性</w:t>
            </w:r>
          </w:p>
        </w:tc>
        <w:tc>
          <w:tcPr>
            <w:tcW w:w="70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2</w:t>
            </w:r>
          </w:p>
        </w:tc>
        <w:tc>
          <w:tcPr>
            <w:tcW w:w="320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项目申请、设立过程是否符合相关要求，用以反映和考核项目立项的规范情况。</w:t>
            </w:r>
          </w:p>
        </w:tc>
        <w:tc>
          <w:tcPr>
            <w:tcW w:w="90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lang w:val="en-US" w:eastAsia="zh-CN"/>
              </w:rPr>
              <w:t>2</w:t>
            </w:r>
            <w:r>
              <w:rPr>
                <w:rFonts w:hint="eastAsia" w:ascii="宋体" w:hAnsi="宋体" w:cs="宋体"/>
                <w:b w:val="0"/>
                <w:bCs w:val="0"/>
                <w:color w:val="000000"/>
                <w:kern w:val="0"/>
                <w:sz w:val="18"/>
                <w:szCs w:val="18"/>
              </w:rPr>
              <w:t>　</w:t>
            </w:r>
          </w:p>
        </w:tc>
        <w:tc>
          <w:tcPr>
            <w:tcW w:w="160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tc>
      </w:tr>
      <w:tr>
        <w:tblPrEx>
          <w:tblCellMar>
            <w:top w:w="0" w:type="dxa"/>
            <w:left w:w="108" w:type="dxa"/>
            <w:bottom w:w="0" w:type="dxa"/>
            <w:right w:w="108" w:type="dxa"/>
          </w:tblCellMar>
        </w:tblPrEx>
        <w:trPr>
          <w:trHeight w:val="323"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32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534"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32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1661"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绩效目标　</w:t>
            </w:r>
          </w:p>
        </w:tc>
        <w:tc>
          <w:tcPr>
            <w:tcW w:w="72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5</w:t>
            </w:r>
          </w:p>
        </w:tc>
        <w:tc>
          <w:tcPr>
            <w:tcW w:w="72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绩效目标合理性</w:t>
            </w:r>
          </w:p>
        </w:tc>
        <w:tc>
          <w:tcPr>
            <w:tcW w:w="700" w:type="dxa"/>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3</w:t>
            </w:r>
          </w:p>
        </w:tc>
        <w:tc>
          <w:tcPr>
            <w:tcW w:w="32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项目所设定的绩效目标是否依据充分，是否符合客观实际，用以反映和考核项目绩效目标与项目实施的相符情况。</w:t>
            </w:r>
          </w:p>
        </w:tc>
        <w:tc>
          <w:tcPr>
            <w:tcW w:w="900" w:type="dxa"/>
            <w:tcBorders>
              <w:top w:val="nil"/>
              <w:left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lang w:val="en-US" w:eastAsia="zh-CN"/>
              </w:rPr>
              <w:t>3</w:t>
            </w:r>
            <w:r>
              <w:rPr>
                <w:rFonts w:hint="eastAsia" w:ascii="宋体" w:hAnsi="宋体" w:cs="宋体"/>
                <w:b w:val="0"/>
                <w:bCs w:val="0"/>
                <w:color w:val="000000"/>
                <w:kern w:val="0"/>
                <w:sz w:val="18"/>
                <w:szCs w:val="18"/>
              </w:rPr>
              <w:t>　</w:t>
            </w:r>
          </w:p>
        </w:tc>
        <w:tc>
          <w:tcPr>
            <w:tcW w:w="160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tc>
      </w:tr>
      <w:tr>
        <w:tblPrEx>
          <w:tblCellMar>
            <w:top w:w="0" w:type="dxa"/>
            <w:left w:w="108" w:type="dxa"/>
            <w:bottom w:w="0" w:type="dxa"/>
            <w:right w:w="108" w:type="dxa"/>
          </w:tblCellMar>
        </w:tblPrEx>
        <w:trPr>
          <w:trHeight w:val="1357"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绩效指标明确性</w:t>
            </w:r>
          </w:p>
        </w:tc>
        <w:tc>
          <w:tcPr>
            <w:tcW w:w="700" w:type="dxa"/>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2</w:t>
            </w:r>
          </w:p>
        </w:tc>
        <w:tc>
          <w:tcPr>
            <w:tcW w:w="320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依据绩效目标设定的绩效指标是否清晰、细化、可衡量等，用以反映和考核项目绩效目标的明细化情况。</w:t>
            </w:r>
          </w:p>
        </w:tc>
        <w:tc>
          <w:tcPr>
            <w:tcW w:w="90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eastAsia" w:ascii="宋体" w:hAnsi="宋体" w:cs="宋体" w:eastAsiaTheme="minorEastAsia"/>
                <w:b w:val="0"/>
                <w:bCs w:val="0"/>
                <w:color w:val="000000"/>
                <w:kern w:val="0"/>
                <w:sz w:val="18"/>
                <w:szCs w:val="18"/>
                <w:lang w:val="en-US" w:eastAsia="zh-CN"/>
              </w:rPr>
            </w:pPr>
            <w:r>
              <w:rPr>
                <w:rFonts w:hint="eastAsia" w:ascii="宋体" w:hAnsi="宋体" w:cs="宋体"/>
                <w:b w:val="0"/>
                <w:bCs w:val="0"/>
                <w:color w:val="000000"/>
                <w:kern w:val="0"/>
                <w:sz w:val="18"/>
                <w:szCs w:val="18"/>
                <w:lang w:val="en-US" w:eastAsia="zh-CN"/>
              </w:rPr>
              <w:t>2</w:t>
            </w:r>
          </w:p>
        </w:tc>
        <w:tc>
          <w:tcPr>
            <w:tcW w:w="160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443"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资金投入</w:t>
            </w:r>
          </w:p>
        </w:tc>
        <w:tc>
          <w:tcPr>
            <w:tcW w:w="72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5　</w:t>
            </w:r>
          </w:p>
        </w:tc>
        <w:tc>
          <w:tcPr>
            <w:tcW w:w="7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预算编制科学性</w:t>
            </w:r>
          </w:p>
        </w:tc>
        <w:tc>
          <w:tcPr>
            <w:tcW w:w="70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3</w:t>
            </w:r>
          </w:p>
        </w:tc>
        <w:tc>
          <w:tcPr>
            <w:tcW w:w="320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项目预算编制是否经过科学论证、有明确标准，资金额度与年度目标是否相适应，用以反映和考核项目预算编制的科学性、合理性情况。</w:t>
            </w:r>
          </w:p>
        </w:tc>
        <w:tc>
          <w:tcPr>
            <w:tcW w:w="90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lang w:val="en-US" w:eastAsia="zh-CN"/>
              </w:rPr>
              <w:t>3</w:t>
            </w:r>
            <w:r>
              <w:rPr>
                <w:rFonts w:hint="eastAsia" w:ascii="宋体" w:hAnsi="宋体" w:cs="宋体"/>
                <w:b w:val="0"/>
                <w:bCs w:val="0"/>
                <w:color w:val="000000"/>
                <w:kern w:val="0"/>
                <w:sz w:val="18"/>
                <w:szCs w:val="18"/>
              </w:rPr>
              <w:t>　</w:t>
            </w:r>
          </w:p>
        </w:tc>
        <w:tc>
          <w:tcPr>
            <w:tcW w:w="1600"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tc>
      </w:tr>
      <w:tr>
        <w:tblPrEx>
          <w:tblCellMar>
            <w:top w:w="0" w:type="dxa"/>
            <w:left w:w="108" w:type="dxa"/>
            <w:bottom w:w="0" w:type="dxa"/>
            <w:right w:w="108" w:type="dxa"/>
          </w:tblCellMar>
        </w:tblPrEx>
        <w:trPr>
          <w:trHeight w:val="443"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32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443"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32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469"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32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503"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资金分配合理性</w:t>
            </w:r>
          </w:p>
        </w:tc>
        <w:tc>
          <w:tcPr>
            <w:tcW w:w="70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2</w:t>
            </w:r>
          </w:p>
        </w:tc>
        <w:tc>
          <w:tcPr>
            <w:tcW w:w="320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项目预算资金分配是否有测算依据，与补助单位或地方实际是否相适应，用以反映和考核项目预算资金分配的科学性、合理性情况。</w:t>
            </w:r>
          </w:p>
        </w:tc>
        <w:tc>
          <w:tcPr>
            <w:tcW w:w="900"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lang w:val="en-US" w:eastAsia="zh-CN"/>
              </w:rPr>
              <w:t>2</w:t>
            </w:r>
            <w:r>
              <w:rPr>
                <w:rFonts w:hint="eastAsia" w:ascii="宋体" w:hAnsi="宋体" w:cs="宋体"/>
                <w:b w:val="0"/>
                <w:bCs w:val="0"/>
                <w:color w:val="000000"/>
                <w:kern w:val="0"/>
                <w:sz w:val="18"/>
                <w:szCs w:val="18"/>
              </w:rPr>
              <w:t>　</w:t>
            </w:r>
          </w:p>
        </w:tc>
        <w:tc>
          <w:tcPr>
            <w:tcW w:w="160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tc>
      </w:tr>
      <w:tr>
        <w:tblPrEx>
          <w:tblCellMar>
            <w:top w:w="0" w:type="dxa"/>
            <w:left w:w="108" w:type="dxa"/>
            <w:bottom w:w="0" w:type="dxa"/>
            <w:right w:w="108" w:type="dxa"/>
          </w:tblCellMar>
        </w:tblPrEx>
        <w:trPr>
          <w:trHeight w:val="893"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32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528" w:hRule="atLeast"/>
        </w:trPr>
        <w:tc>
          <w:tcPr>
            <w:tcW w:w="71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过程</w:t>
            </w:r>
          </w:p>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（30分）</w:t>
            </w:r>
          </w:p>
        </w:tc>
        <w:tc>
          <w:tcPr>
            <w:tcW w:w="700" w:type="dxa"/>
            <w:vMerge w:val="restart"/>
            <w:tcBorders>
              <w:top w:val="nil"/>
              <w:left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资金管理</w:t>
            </w:r>
          </w:p>
        </w:tc>
        <w:tc>
          <w:tcPr>
            <w:tcW w:w="720" w:type="dxa"/>
            <w:vMerge w:val="restart"/>
            <w:tcBorders>
              <w:top w:val="nil"/>
              <w:left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15</w:t>
            </w:r>
          </w:p>
        </w:tc>
        <w:tc>
          <w:tcPr>
            <w:tcW w:w="7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资金到位率</w:t>
            </w:r>
          </w:p>
        </w:tc>
        <w:tc>
          <w:tcPr>
            <w:tcW w:w="70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5</w:t>
            </w:r>
          </w:p>
        </w:tc>
        <w:tc>
          <w:tcPr>
            <w:tcW w:w="320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hint="eastAsia" w:ascii="宋体" w:hAnsi="宋体" w:cs="宋体"/>
                <w:b w:val="0"/>
                <w:bCs w:val="0"/>
                <w:color w:val="000000"/>
                <w:kern w:val="0"/>
                <w:sz w:val="18"/>
                <w:szCs w:val="18"/>
              </w:rPr>
            </w:pPr>
            <w:r>
              <w:rPr>
                <w:rFonts w:hint="eastAsia" w:ascii="宋体" w:hAnsi="宋体" w:cs="宋体"/>
                <w:b w:val="0"/>
                <w:bCs w:val="0"/>
                <w:color w:val="000000"/>
                <w:kern w:val="0"/>
                <w:sz w:val="18"/>
                <w:szCs w:val="18"/>
              </w:rPr>
              <w:t>实际到位资金与预算资金的比率，用以反映和考核资金落实情况对项目实施的总体保障程度。</w:t>
            </w:r>
          </w:p>
        </w:tc>
        <w:tc>
          <w:tcPr>
            <w:tcW w:w="90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lang w:val="en-US" w:eastAsia="zh-CN"/>
              </w:rPr>
              <w:t>5</w:t>
            </w:r>
            <w:r>
              <w:rPr>
                <w:rFonts w:hint="eastAsia" w:ascii="宋体" w:hAnsi="宋体" w:cs="宋体"/>
                <w:b w:val="0"/>
                <w:bCs w:val="0"/>
                <w:color w:val="000000"/>
                <w:kern w:val="0"/>
                <w:sz w:val="18"/>
                <w:szCs w:val="18"/>
              </w:rPr>
              <w:t>　</w:t>
            </w:r>
          </w:p>
        </w:tc>
        <w:tc>
          <w:tcPr>
            <w:tcW w:w="160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tc>
      </w:tr>
      <w:tr>
        <w:tblPrEx>
          <w:tblCellMar>
            <w:top w:w="0" w:type="dxa"/>
            <w:left w:w="108" w:type="dxa"/>
            <w:bottom w:w="0" w:type="dxa"/>
            <w:right w:w="108" w:type="dxa"/>
          </w:tblCellMar>
        </w:tblPrEx>
        <w:trPr>
          <w:trHeight w:val="612"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32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567"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32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428"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预算执行率</w:t>
            </w:r>
          </w:p>
        </w:tc>
        <w:tc>
          <w:tcPr>
            <w:tcW w:w="70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5</w:t>
            </w:r>
          </w:p>
        </w:tc>
        <w:tc>
          <w:tcPr>
            <w:tcW w:w="320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项目预算资金是否按照计划执行，用以反映或考核项目预算执行情况。</w:t>
            </w:r>
          </w:p>
        </w:tc>
        <w:tc>
          <w:tcPr>
            <w:tcW w:w="90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lang w:val="en-US" w:eastAsia="zh-CN"/>
              </w:rPr>
              <w:t>5</w:t>
            </w:r>
            <w:r>
              <w:rPr>
                <w:rFonts w:hint="eastAsia" w:ascii="宋体" w:hAnsi="宋体" w:cs="宋体"/>
                <w:b w:val="0"/>
                <w:bCs w:val="0"/>
                <w:color w:val="000000"/>
                <w:kern w:val="0"/>
                <w:sz w:val="18"/>
                <w:szCs w:val="18"/>
              </w:rPr>
              <w:t>　</w:t>
            </w:r>
          </w:p>
        </w:tc>
        <w:tc>
          <w:tcPr>
            <w:tcW w:w="160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tc>
      </w:tr>
      <w:tr>
        <w:tblPrEx>
          <w:tblCellMar>
            <w:top w:w="0" w:type="dxa"/>
            <w:left w:w="108" w:type="dxa"/>
            <w:bottom w:w="0" w:type="dxa"/>
            <w:right w:w="108" w:type="dxa"/>
          </w:tblCellMar>
        </w:tblPrEx>
        <w:trPr>
          <w:trHeight w:val="424"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32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683"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left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p>
        </w:tc>
        <w:tc>
          <w:tcPr>
            <w:tcW w:w="720" w:type="dxa"/>
            <w:vMerge w:val="continue"/>
            <w:tcBorders>
              <w:left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p>
        </w:tc>
        <w:tc>
          <w:tcPr>
            <w:tcW w:w="72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资金使用合规性</w:t>
            </w:r>
          </w:p>
        </w:tc>
        <w:tc>
          <w:tcPr>
            <w:tcW w:w="70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5</w:t>
            </w:r>
          </w:p>
        </w:tc>
        <w:tc>
          <w:tcPr>
            <w:tcW w:w="320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项目资金使用是否符合相关的财务管理制度规定，用以反映和考核项目资金的规范运行情况。</w:t>
            </w:r>
          </w:p>
        </w:tc>
        <w:tc>
          <w:tcPr>
            <w:tcW w:w="90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lang w:val="en-US" w:eastAsia="zh-CN"/>
              </w:rPr>
              <w:t>5</w:t>
            </w:r>
            <w:r>
              <w:rPr>
                <w:rFonts w:hint="eastAsia" w:ascii="宋体" w:hAnsi="宋体" w:cs="宋体"/>
                <w:b w:val="0"/>
                <w:bCs w:val="0"/>
                <w:color w:val="000000"/>
                <w:kern w:val="0"/>
                <w:sz w:val="18"/>
                <w:szCs w:val="18"/>
              </w:rPr>
              <w:t>　</w:t>
            </w:r>
          </w:p>
        </w:tc>
        <w:tc>
          <w:tcPr>
            <w:tcW w:w="160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tc>
      </w:tr>
      <w:tr>
        <w:tblPrEx>
          <w:tblCellMar>
            <w:top w:w="0" w:type="dxa"/>
            <w:left w:w="108" w:type="dxa"/>
            <w:bottom w:w="0" w:type="dxa"/>
            <w:right w:w="108" w:type="dxa"/>
          </w:tblCellMar>
        </w:tblPrEx>
        <w:trPr>
          <w:trHeight w:val="443"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32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443"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32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443"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32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443"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组织实施</w:t>
            </w:r>
          </w:p>
        </w:tc>
        <w:tc>
          <w:tcPr>
            <w:tcW w:w="720" w:type="dxa"/>
            <w:vMerge w:val="restart"/>
            <w:tcBorders>
              <w:top w:val="nil"/>
              <w:left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15　</w:t>
            </w:r>
          </w:p>
        </w:tc>
        <w:tc>
          <w:tcPr>
            <w:tcW w:w="72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管理制度健全性</w:t>
            </w:r>
          </w:p>
        </w:tc>
        <w:tc>
          <w:tcPr>
            <w:tcW w:w="700"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5　</w:t>
            </w:r>
          </w:p>
        </w:tc>
        <w:tc>
          <w:tcPr>
            <w:tcW w:w="320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项目实施单位的财务和业务管理制度是否健全，用以反映和考核财务和业务管理制度对项目顺利实施的保障情况。</w:t>
            </w:r>
          </w:p>
        </w:tc>
        <w:tc>
          <w:tcPr>
            <w:tcW w:w="900"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lang w:val="en-US" w:eastAsia="zh-CN"/>
              </w:rPr>
              <w:t>5</w:t>
            </w:r>
            <w:r>
              <w:rPr>
                <w:rFonts w:hint="eastAsia" w:ascii="宋体" w:hAnsi="宋体" w:cs="宋体"/>
                <w:b w:val="0"/>
                <w:bCs w:val="0"/>
                <w:color w:val="000000"/>
                <w:kern w:val="0"/>
                <w:sz w:val="18"/>
                <w:szCs w:val="18"/>
              </w:rPr>
              <w:t>　</w:t>
            </w:r>
          </w:p>
        </w:tc>
        <w:tc>
          <w:tcPr>
            <w:tcW w:w="1600" w:type="dxa"/>
            <w:vMerge w:val="restart"/>
            <w:tcBorders>
              <w:top w:val="single" w:color="auto" w:sz="4" w:space="0"/>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tc>
      </w:tr>
      <w:tr>
        <w:tblPrEx>
          <w:tblCellMar>
            <w:top w:w="0" w:type="dxa"/>
            <w:left w:w="108" w:type="dxa"/>
            <w:bottom w:w="0" w:type="dxa"/>
            <w:right w:w="108" w:type="dxa"/>
          </w:tblCellMar>
        </w:tblPrEx>
        <w:trPr>
          <w:trHeight w:val="610"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32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443"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left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p>
        </w:tc>
        <w:tc>
          <w:tcPr>
            <w:tcW w:w="7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制度执行有效性</w:t>
            </w:r>
          </w:p>
        </w:tc>
        <w:tc>
          <w:tcPr>
            <w:tcW w:w="70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10　</w:t>
            </w:r>
          </w:p>
        </w:tc>
        <w:tc>
          <w:tcPr>
            <w:tcW w:w="320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项目实施是否符合相关管理规定，用以反映和考核相关管理制度的有效执行情况。</w:t>
            </w:r>
          </w:p>
        </w:tc>
        <w:tc>
          <w:tcPr>
            <w:tcW w:w="90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lang w:val="en-US" w:eastAsia="zh-CN"/>
              </w:rPr>
              <w:t>10</w:t>
            </w:r>
            <w:r>
              <w:rPr>
                <w:rFonts w:hint="eastAsia" w:ascii="宋体" w:hAnsi="宋体" w:cs="宋体"/>
                <w:b w:val="0"/>
                <w:bCs w:val="0"/>
                <w:color w:val="000000"/>
                <w:kern w:val="0"/>
                <w:sz w:val="18"/>
                <w:szCs w:val="18"/>
              </w:rPr>
              <w:t>　</w:t>
            </w:r>
          </w:p>
        </w:tc>
        <w:tc>
          <w:tcPr>
            <w:tcW w:w="160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tc>
      </w:tr>
      <w:tr>
        <w:tblPrEx>
          <w:tblCellMar>
            <w:top w:w="0" w:type="dxa"/>
            <w:left w:w="108" w:type="dxa"/>
            <w:bottom w:w="0" w:type="dxa"/>
            <w:right w:w="108" w:type="dxa"/>
          </w:tblCellMar>
        </w:tblPrEx>
        <w:trPr>
          <w:trHeight w:val="323"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32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418"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left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32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345"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000000"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32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443" w:hRule="atLeast"/>
        </w:trPr>
        <w:tc>
          <w:tcPr>
            <w:tcW w:w="719"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产出</w:t>
            </w:r>
          </w:p>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（30分）</w:t>
            </w:r>
          </w:p>
        </w:tc>
        <w:tc>
          <w:tcPr>
            <w:tcW w:w="70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产出数量</w:t>
            </w:r>
          </w:p>
        </w:tc>
        <w:tc>
          <w:tcPr>
            <w:tcW w:w="720" w:type="dxa"/>
            <w:vMerge w:val="restart"/>
            <w:tcBorders>
              <w:top w:val="nil"/>
              <w:left w:val="nil"/>
              <w:right w:val="single" w:color="auto" w:sz="4" w:space="0"/>
            </w:tcBorders>
            <w:shd w:val="clear" w:color="000000" w:fill="FFFFFF"/>
            <w:vAlign w:val="center"/>
          </w:tcPr>
          <w:p>
            <w:pPr>
              <w:widowControl/>
              <w:jc w:val="left"/>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p>
            <w:pPr>
              <w:widowControl/>
              <w:jc w:val="left"/>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10</w:t>
            </w:r>
          </w:p>
          <w:p>
            <w:pPr>
              <w:widowControl/>
              <w:jc w:val="left"/>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tc>
        <w:tc>
          <w:tcPr>
            <w:tcW w:w="7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实际完成率</w:t>
            </w:r>
          </w:p>
        </w:tc>
        <w:tc>
          <w:tcPr>
            <w:tcW w:w="700" w:type="dxa"/>
            <w:vMerge w:val="restart"/>
            <w:tcBorders>
              <w:top w:val="nil"/>
              <w:left w:val="nil"/>
              <w:right w:val="single" w:color="auto" w:sz="4" w:space="0"/>
            </w:tcBorders>
            <w:shd w:val="clear" w:color="000000" w:fill="FFFFFF"/>
            <w:vAlign w:val="center"/>
          </w:tcPr>
          <w:p>
            <w:pPr>
              <w:widowControl/>
              <w:jc w:val="left"/>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p>
            <w:pPr>
              <w:widowControl/>
              <w:jc w:val="left"/>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10</w:t>
            </w:r>
          </w:p>
          <w:p>
            <w:pPr>
              <w:widowControl/>
              <w:jc w:val="left"/>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tc>
        <w:tc>
          <w:tcPr>
            <w:tcW w:w="320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项目实施的实际产出数与计划产出数的比率，用以反映和考核项目产出数量目标的实现程度。</w:t>
            </w:r>
          </w:p>
        </w:tc>
        <w:tc>
          <w:tcPr>
            <w:tcW w:w="90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lang w:val="en-US" w:eastAsia="zh-CN"/>
              </w:rPr>
              <w:t>10</w:t>
            </w:r>
            <w:r>
              <w:rPr>
                <w:rFonts w:hint="eastAsia" w:ascii="宋体" w:hAnsi="宋体" w:cs="宋体"/>
                <w:b w:val="0"/>
                <w:bCs w:val="0"/>
                <w:color w:val="000000"/>
                <w:kern w:val="0"/>
                <w:sz w:val="18"/>
                <w:szCs w:val="18"/>
              </w:rPr>
              <w:t>　</w:t>
            </w:r>
          </w:p>
        </w:tc>
        <w:tc>
          <w:tcPr>
            <w:tcW w:w="160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tc>
      </w:tr>
      <w:tr>
        <w:tblPrEx>
          <w:tblCellMar>
            <w:top w:w="0" w:type="dxa"/>
            <w:left w:w="108" w:type="dxa"/>
            <w:bottom w:w="0" w:type="dxa"/>
            <w:right w:w="108" w:type="dxa"/>
          </w:tblCellMar>
        </w:tblPrEx>
        <w:trPr>
          <w:trHeight w:val="563"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left w:val="nil"/>
              <w:right w:val="single" w:color="auto" w:sz="4" w:space="0"/>
            </w:tcBorders>
            <w:shd w:val="clear" w:color="000000" w:fill="FFFFFF"/>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left w:val="nil"/>
              <w:right w:val="single" w:color="auto" w:sz="4" w:space="0"/>
            </w:tcBorders>
            <w:shd w:val="clear" w:color="000000" w:fill="FFFFFF"/>
            <w:vAlign w:val="center"/>
          </w:tcPr>
          <w:p>
            <w:pPr>
              <w:widowControl/>
              <w:jc w:val="left"/>
              <w:rPr>
                <w:rFonts w:ascii="宋体" w:hAnsi="宋体" w:cs="宋体"/>
                <w:b w:val="0"/>
                <w:bCs w:val="0"/>
                <w:color w:val="000000"/>
                <w:kern w:val="0"/>
                <w:sz w:val="18"/>
                <w:szCs w:val="18"/>
              </w:rPr>
            </w:pPr>
          </w:p>
        </w:tc>
        <w:tc>
          <w:tcPr>
            <w:tcW w:w="32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312"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left w:val="nil"/>
              <w:bottom w:val="single" w:color="auto" w:sz="4" w:space="0"/>
              <w:right w:val="single" w:color="auto" w:sz="4" w:space="0"/>
            </w:tcBorders>
            <w:shd w:val="clear" w:color="000000" w:fill="FFFFFF"/>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left w:val="nil"/>
              <w:bottom w:val="single" w:color="auto" w:sz="4" w:space="0"/>
              <w:right w:val="single" w:color="auto" w:sz="4" w:space="0"/>
            </w:tcBorders>
            <w:shd w:val="clear" w:color="000000" w:fill="FFFFFF"/>
            <w:vAlign w:val="center"/>
          </w:tcPr>
          <w:p>
            <w:pPr>
              <w:widowControl/>
              <w:jc w:val="left"/>
              <w:rPr>
                <w:rFonts w:ascii="宋体" w:hAnsi="宋体" w:cs="宋体"/>
                <w:b w:val="0"/>
                <w:bCs w:val="0"/>
                <w:color w:val="000000"/>
                <w:kern w:val="0"/>
                <w:sz w:val="18"/>
                <w:szCs w:val="18"/>
              </w:rPr>
            </w:pPr>
          </w:p>
        </w:tc>
        <w:tc>
          <w:tcPr>
            <w:tcW w:w="32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399"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restar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产出质量</w:t>
            </w:r>
          </w:p>
        </w:tc>
        <w:tc>
          <w:tcPr>
            <w:tcW w:w="720" w:type="dxa"/>
            <w:vMerge w:val="restart"/>
            <w:tcBorders>
              <w:top w:val="nil"/>
              <w:left w:val="nil"/>
              <w:right w:val="single" w:color="auto" w:sz="4" w:space="0"/>
            </w:tcBorders>
            <w:shd w:val="clear" w:color="000000" w:fill="FFFFFF"/>
            <w:vAlign w:val="center"/>
          </w:tcPr>
          <w:p>
            <w:pPr>
              <w:widowControl/>
              <w:jc w:val="left"/>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10</w:t>
            </w:r>
          </w:p>
        </w:tc>
        <w:tc>
          <w:tcPr>
            <w:tcW w:w="7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质量达标率</w:t>
            </w:r>
          </w:p>
        </w:tc>
        <w:tc>
          <w:tcPr>
            <w:tcW w:w="700" w:type="dxa"/>
            <w:vMerge w:val="restart"/>
            <w:tcBorders>
              <w:top w:val="nil"/>
              <w:left w:val="nil"/>
              <w:right w:val="single" w:color="auto" w:sz="4" w:space="0"/>
            </w:tcBorders>
            <w:shd w:val="clear" w:color="000000" w:fill="FFFFFF"/>
            <w:vAlign w:val="center"/>
          </w:tcPr>
          <w:p>
            <w:pPr>
              <w:widowControl/>
              <w:jc w:val="left"/>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10</w:t>
            </w:r>
          </w:p>
        </w:tc>
        <w:tc>
          <w:tcPr>
            <w:tcW w:w="320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项目完成的质量达标产出数与实际产出数的比率，用以反映和考核项目产出质量目标的实现程度。</w:t>
            </w:r>
          </w:p>
        </w:tc>
        <w:tc>
          <w:tcPr>
            <w:tcW w:w="90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lang w:val="en-US" w:eastAsia="zh-CN"/>
              </w:rPr>
              <w:t>10</w:t>
            </w:r>
            <w:r>
              <w:rPr>
                <w:rFonts w:hint="eastAsia" w:ascii="宋体" w:hAnsi="宋体" w:cs="宋体"/>
                <w:b w:val="0"/>
                <w:bCs w:val="0"/>
                <w:color w:val="000000"/>
                <w:kern w:val="0"/>
                <w:sz w:val="18"/>
                <w:szCs w:val="18"/>
              </w:rPr>
              <w:t>　</w:t>
            </w:r>
          </w:p>
        </w:tc>
        <w:tc>
          <w:tcPr>
            <w:tcW w:w="1600" w:type="dxa"/>
            <w:vMerge w:val="restart"/>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tc>
      </w:tr>
      <w:tr>
        <w:tblPrEx>
          <w:tblCellMar>
            <w:top w:w="0" w:type="dxa"/>
            <w:left w:w="108" w:type="dxa"/>
            <w:bottom w:w="0" w:type="dxa"/>
            <w:right w:w="108" w:type="dxa"/>
          </w:tblCellMar>
        </w:tblPrEx>
        <w:trPr>
          <w:trHeight w:val="1185"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left w:val="nil"/>
              <w:bottom w:val="single" w:color="auto" w:sz="4" w:space="0"/>
              <w:right w:val="single" w:color="auto" w:sz="4" w:space="0"/>
            </w:tcBorders>
            <w:shd w:val="clear" w:color="000000" w:fill="FFFFFF"/>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left w:val="nil"/>
              <w:bottom w:val="single" w:color="auto" w:sz="4" w:space="0"/>
              <w:right w:val="single" w:color="auto" w:sz="4" w:space="0"/>
            </w:tcBorders>
            <w:shd w:val="clear" w:color="000000" w:fill="FFFFFF"/>
            <w:vAlign w:val="center"/>
          </w:tcPr>
          <w:p>
            <w:pPr>
              <w:widowControl/>
              <w:jc w:val="left"/>
              <w:rPr>
                <w:rFonts w:ascii="宋体" w:hAnsi="宋体" w:cs="宋体"/>
                <w:b w:val="0"/>
                <w:bCs w:val="0"/>
                <w:color w:val="000000"/>
                <w:kern w:val="0"/>
                <w:sz w:val="18"/>
                <w:szCs w:val="18"/>
              </w:rPr>
            </w:pPr>
          </w:p>
        </w:tc>
        <w:tc>
          <w:tcPr>
            <w:tcW w:w="32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c>
          <w:tcPr>
            <w:tcW w:w="1600"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468"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restart"/>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产出时效</w:t>
            </w:r>
          </w:p>
        </w:tc>
        <w:tc>
          <w:tcPr>
            <w:tcW w:w="720" w:type="dxa"/>
            <w:vMerge w:val="restart"/>
            <w:tcBorders>
              <w:top w:val="nil"/>
              <w:left w:val="nil"/>
              <w:right w:val="single" w:color="auto" w:sz="4" w:space="0"/>
            </w:tcBorders>
            <w:shd w:val="clear" w:color="000000" w:fill="FFFFFF"/>
            <w:vAlign w:val="center"/>
          </w:tcPr>
          <w:p>
            <w:pPr>
              <w:widowControl/>
              <w:jc w:val="left"/>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5</w:t>
            </w:r>
          </w:p>
        </w:tc>
        <w:tc>
          <w:tcPr>
            <w:tcW w:w="7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完成及时性</w:t>
            </w:r>
          </w:p>
        </w:tc>
        <w:tc>
          <w:tcPr>
            <w:tcW w:w="700" w:type="dxa"/>
            <w:vMerge w:val="restart"/>
            <w:tcBorders>
              <w:top w:val="nil"/>
              <w:left w:val="nil"/>
              <w:right w:val="single" w:color="auto" w:sz="4" w:space="0"/>
            </w:tcBorders>
            <w:shd w:val="clear" w:color="000000" w:fill="FFFFFF"/>
            <w:vAlign w:val="center"/>
          </w:tcPr>
          <w:p>
            <w:pPr>
              <w:widowControl/>
              <w:jc w:val="left"/>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5</w:t>
            </w:r>
          </w:p>
        </w:tc>
        <w:tc>
          <w:tcPr>
            <w:tcW w:w="320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项目实际完成时间与计划完成时间的比较，用以反映和考核项目产出时效目标的实现程度。</w:t>
            </w:r>
          </w:p>
        </w:tc>
        <w:tc>
          <w:tcPr>
            <w:tcW w:w="900" w:type="dxa"/>
            <w:vMerge w:val="restart"/>
            <w:tcBorders>
              <w:top w:val="nil"/>
              <w:left w:val="nil"/>
              <w:right w:val="single" w:color="auto" w:sz="4" w:space="0"/>
            </w:tcBorders>
            <w:shd w:val="clear" w:color="000000" w:fill="FFFFFF"/>
            <w:vAlign w:val="center"/>
          </w:tcPr>
          <w:p>
            <w:pPr>
              <w:widowControl/>
              <w:jc w:val="center"/>
              <w:rPr>
                <w:rFonts w:hint="eastAsia" w:ascii="宋体" w:hAnsi="宋体" w:cs="宋体" w:eastAsiaTheme="minorEastAsia"/>
                <w:b w:val="0"/>
                <w:bCs w:val="0"/>
                <w:color w:val="000000"/>
                <w:kern w:val="0"/>
                <w:sz w:val="18"/>
                <w:szCs w:val="18"/>
                <w:lang w:val="en-US" w:eastAsia="zh-CN"/>
              </w:rPr>
            </w:pPr>
            <w:r>
              <w:rPr>
                <w:rFonts w:hint="eastAsia" w:ascii="宋体" w:hAnsi="宋体" w:cs="宋体"/>
                <w:b w:val="0"/>
                <w:bCs w:val="0"/>
                <w:color w:val="000000"/>
                <w:kern w:val="0"/>
                <w:sz w:val="18"/>
                <w:szCs w:val="18"/>
                <w:lang w:val="en-US" w:eastAsia="zh-CN"/>
              </w:rPr>
              <w:t>5</w:t>
            </w:r>
          </w:p>
        </w:tc>
        <w:tc>
          <w:tcPr>
            <w:tcW w:w="160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tc>
      </w:tr>
      <w:tr>
        <w:tblPrEx>
          <w:tblCellMar>
            <w:top w:w="0" w:type="dxa"/>
            <w:left w:w="108" w:type="dxa"/>
            <w:bottom w:w="0" w:type="dxa"/>
            <w:right w:w="108" w:type="dxa"/>
          </w:tblCellMar>
        </w:tblPrEx>
        <w:trPr>
          <w:trHeight w:val="345"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left w:val="nil"/>
              <w:bottom w:val="single" w:color="auto" w:sz="4" w:space="0"/>
              <w:right w:val="single" w:color="auto" w:sz="4" w:space="0"/>
            </w:tcBorders>
            <w:shd w:val="clear" w:color="000000" w:fill="FFFFFF"/>
            <w:vAlign w:val="center"/>
          </w:tcPr>
          <w:p>
            <w:pPr>
              <w:widowControl/>
              <w:jc w:val="left"/>
              <w:rPr>
                <w:rFonts w:ascii="宋体" w:hAnsi="宋体" w:cs="宋体"/>
                <w:b w:val="0"/>
                <w:bCs w:val="0"/>
                <w:color w:val="000000"/>
                <w:kern w:val="0"/>
                <w:sz w:val="18"/>
                <w:szCs w:val="18"/>
              </w:rPr>
            </w:pPr>
          </w:p>
        </w:tc>
        <w:tc>
          <w:tcPr>
            <w:tcW w:w="72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left w:val="nil"/>
              <w:bottom w:val="single" w:color="auto" w:sz="4" w:space="0"/>
              <w:right w:val="single" w:color="auto" w:sz="4" w:space="0"/>
            </w:tcBorders>
            <w:shd w:val="clear" w:color="000000" w:fill="FFFFFF"/>
            <w:vAlign w:val="center"/>
          </w:tcPr>
          <w:p>
            <w:pPr>
              <w:widowControl/>
              <w:jc w:val="left"/>
              <w:rPr>
                <w:rFonts w:ascii="宋体" w:hAnsi="宋体" w:cs="宋体"/>
                <w:b w:val="0"/>
                <w:bCs w:val="0"/>
                <w:color w:val="000000"/>
                <w:kern w:val="0"/>
                <w:sz w:val="18"/>
                <w:szCs w:val="18"/>
              </w:rPr>
            </w:pPr>
          </w:p>
        </w:tc>
        <w:tc>
          <w:tcPr>
            <w:tcW w:w="3200"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900" w:type="dxa"/>
            <w:vMerge w:val="continue"/>
            <w:tcBorders>
              <w:left w:val="nil"/>
              <w:bottom w:val="single" w:color="auto" w:sz="4" w:space="0"/>
              <w:right w:val="single" w:color="auto" w:sz="4" w:space="0"/>
            </w:tcBorders>
            <w:shd w:val="clear" w:color="000000" w:fill="FFFFFF"/>
            <w:vAlign w:val="center"/>
          </w:tcPr>
          <w:p>
            <w:pPr>
              <w:widowControl/>
              <w:jc w:val="left"/>
              <w:rPr>
                <w:rFonts w:ascii="宋体" w:hAnsi="宋体" w:cs="宋体"/>
                <w:b w:val="0"/>
                <w:bCs w:val="0"/>
                <w:color w:val="000000"/>
                <w:kern w:val="0"/>
                <w:sz w:val="18"/>
                <w:szCs w:val="18"/>
              </w:rPr>
            </w:pPr>
          </w:p>
        </w:tc>
        <w:tc>
          <w:tcPr>
            <w:tcW w:w="160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b w:val="0"/>
                <w:bCs w:val="0"/>
                <w:color w:val="000000"/>
                <w:kern w:val="0"/>
                <w:sz w:val="18"/>
                <w:szCs w:val="18"/>
              </w:rPr>
            </w:pPr>
          </w:p>
        </w:tc>
      </w:tr>
      <w:tr>
        <w:tblPrEx>
          <w:tblCellMar>
            <w:top w:w="0" w:type="dxa"/>
            <w:left w:w="108" w:type="dxa"/>
            <w:bottom w:w="0" w:type="dxa"/>
            <w:right w:w="108" w:type="dxa"/>
          </w:tblCellMar>
        </w:tblPrEx>
        <w:trPr>
          <w:trHeight w:val="1606" w:hRule="atLeast"/>
        </w:trPr>
        <w:tc>
          <w:tcPr>
            <w:tcW w:w="71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产出成本</w:t>
            </w:r>
          </w:p>
        </w:tc>
        <w:tc>
          <w:tcPr>
            <w:tcW w:w="720" w:type="dxa"/>
            <w:tcBorders>
              <w:top w:val="single" w:color="auto" w:sz="4" w:space="0"/>
              <w:left w:val="nil"/>
              <w:bottom w:val="single" w:color="auto" w:sz="4" w:space="0"/>
              <w:right w:val="single" w:color="auto" w:sz="4" w:space="0"/>
            </w:tcBorders>
            <w:shd w:val="clear" w:color="000000" w:fill="FFFFFF"/>
            <w:vAlign w:val="center"/>
          </w:tcPr>
          <w:p>
            <w:pPr>
              <w:widowControl/>
              <w:jc w:val="left"/>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p>
            <w:pPr>
              <w:widowControl/>
              <w:jc w:val="left"/>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5</w:t>
            </w:r>
          </w:p>
          <w:p>
            <w:pPr>
              <w:widowControl/>
              <w:jc w:val="left"/>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tc>
        <w:tc>
          <w:tcPr>
            <w:tcW w:w="72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成本节约率</w:t>
            </w:r>
          </w:p>
        </w:tc>
        <w:tc>
          <w:tcPr>
            <w:tcW w:w="700" w:type="dxa"/>
            <w:tcBorders>
              <w:top w:val="nil"/>
              <w:left w:val="single" w:color="auto" w:sz="4" w:space="0"/>
              <w:bottom w:val="single" w:color="auto" w:sz="4" w:space="0"/>
              <w:right w:val="nil"/>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5　</w:t>
            </w:r>
          </w:p>
        </w:tc>
        <w:tc>
          <w:tcPr>
            <w:tcW w:w="320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完成项目计划工作目标的实际节约成本与计划成本的比率，用以反映和考核项目的成本节约程度。</w:t>
            </w:r>
          </w:p>
        </w:tc>
        <w:tc>
          <w:tcPr>
            <w:tcW w:w="900"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lang w:val="en-US" w:eastAsia="zh-CN"/>
              </w:rPr>
              <w:t>5</w:t>
            </w:r>
            <w:r>
              <w:rPr>
                <w:rFonts w:hint="eastAsia" w:ascii="宋体" w:hAnsi="宋体" w:cs="宋体"/>
                <w:b w:val="0"/>
                <w:bCs w:val="0"/>
                <w:color w:val="000000"/>
                <w:kern w:val="0"/>
                <w:sz w:val="18"/>
                <w:szCs w:val="18"/>
              </w:rPr>
              <w:t>　</w:t>
            </w:r>
          </w:p>
        </w:tc>
        <w:tc>
          <w:tcPr>
            <w:tcW w:w="1600" w:type="dxa"/>
            <w:tcBorders>
              <w:top w:val="nil"/>
              <w:left w:val="single" w:color="auto" w:sz="4" w:space="0"/>
              <w:bottom w:val="single" w:color="000000"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tc>
      </w:tr>
      <w:tr>
        <w:tblPrEx>
          <w:tblCellMar>
            <w:top w:w="0" w:type="dxa"/>
            <w:left w:w="108" w:type="dxa"/>
            <w:bottom w:w="0" w:type="dxa"/>
            <w:right w:w="108" w:type="dxa"/>
          </w:tblCellMar>
        </w:tblPrEx>
        <w:trPr>
          <w:trHeight w:val="583" w:hRule="atLeast"/>
        </w:trPr>
        <w:tc>
          <w:tcPr>
            <w:tcW w:w="719" w:type="dxa"/>
            <w:vMerge w:val="restart"/>
            <w:tcBorders>
              <w:top w:val="nil"/>
              <w:left w:val="single" w:color="000000" w:sz="8" w:space="0"/>
              <w:bottom w:val="single" w:color="auto" w:sz="4" w:space="0"/>
              <w:right w:val="nil"/>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效益</w:t>
            </w:r>
          </w:p>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（25分）　</w:t>
            </w:r>
          </w:p>
        </w:tc>
        <w:tc>
          <w:tcPr>
            <w:tcW w:w="70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项目效益　</w:t>
            </w:r>
          </w:p>
        </w:tc>
        <w:tc>
          <w:tcPr>
            <w:tcW w:w="720" w:type="dxa"/>
            <w:vMerge w:val="restart"/>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25　</w:t>
            </w:r>
          </w:p>
        </w:tc>
        <w:tc>
          <w:tcPr>
            <w:tcW w:w="72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实施效益</w:t>
            </w:r>
          </w:p>
        </w:tc>
        <w:tc>
          <w:tcPr>
            <w:tcW w:w="7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20　</w:t>
            </w:r>
          </w:p>
        </w:tc>
        <w:tc>
          <w:tcPr>
            <w:tcW w:w="320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项目实施所产生的效益。</w:t>
            </w:r>
          </w:p>
        </w:tc>
        <w:tc>
          <w:tcPr>
            <w:tcW w:w="90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lang w:val="en-US" w:eastAsia="zh-CN"/>
              </w:rPr>
              <w:t>20</w:t>
            </w:r>
            <w:r>
              <w:rPr>
                <w:rFonts w:hint="eastAsia" w:ascii="宋体" w:hAnsi="宋体" w:cs="宋体"/>
                <w:b w:val="0"/>
                <w:bCs w:val="0"/>
                <w:color w:val="000000"/>
                <w:kern w:val="0"/>
                <w:sz w:val="18"/>
                <w:szCs w:val="18"/>
              </w:rPr>
              <w:t>　</w:t>
            </w:r>
          </w:p>
        </w:tc>
        <w:tc>
          <w:tcPr>
            <w:tcW w:w="1600"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tc>
      </w:tr>
      <w:tr>
        <w:tblPrEx>
          <w:tblCellMar>
            <w:top w:w="0" w:type="dxa"/>
            <w:left w:w="108" w:type="dxa"/>
            <w:bottom w:w="0" w:type="dxa"/>
            <w:right w:w="108" w:type="dxa"/>
          </w:tblCellMar>
        </w:tblPrEx>
        <w:trPr>
          <w:trHeight w:val="624" w:hRule="atLeast"/>
        </w:trPr>
        <w:tc>
          <w:tcPr>
            <w:tcW w:w="719" w:type="dxa"/>
            <w:vMerge w:val="continue"/>
            <w:tcBorders>
              <w:top w:val="single" w:color="auto" w:sz="4" w:space="0"/>
              <w:left w:val="single" w:color="auto" w:sz="4" w:space="0"/>
              <w:bottom w:val="single" w:color="auto" w:sz="4" w:space="0"/>
              <w:right w:val="nil"/>
            </w:tcBorders>
            <w:shd w:val="clear" w:color="auto" w:fill="auto"/>
            <w:vAlign w:val="center"/>
          </w:tcPr>
          <w:p>
            <w:pPr>
              <w:widowControl/>
              <w:jc w:val="left"/>
              <w:rPr>
                <w:rFonts w:ascii="宋体" w:hAnsi="宋体" w:cs="宋体"/>
                <w:b w:val="0"/>
                <w:bCs w:val="0"/>
                <w:color w:val="000000"/>
                <w:kern w:val="0"/>
                <w:sz w:val="18"/>
                <w:szCs w:val="18"/>
              </w:rPr>
            </w:pPr>
          </w:p>
        </w:tc>
        <w:tc>
          <w:tcPr>
            <w:tcW w:w="70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b w:val="0"/>
                <w:bCs w:val="0"/>
                <w:color w:val="000000"/>
                <w:kern w:val="0"/>
                <w:sz w:val="18"/>
                <w:szCs w:val="18"/>
              </w:rPr>
            </w:pPr>
          </w:p>
        </w:tc>
        <w:tc>
          <w:tcPr>
            <w:tcW w:w="720" w:type="dxa"/>
            <w:vMerge w:val="continue"/>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p>
        </w:tc>
        <w:tc>
          <w:tcPr>
            <w:tcW w:w="72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满意度</w:t>
            </w:r>
          </w:p>
        </w:tc>
        <w:tc>
          <w:tcPr>
            <w:tcW w:w="70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5　</w:t>
            </w:r>
          </w:p>
        </w:tc>
        <w:tc>
          <w:tcPr>
            <w:tcW w:w="3200" w:type="dxa"/>
            <w:tcBorders>
              <w:top w:val="single" w:color="auto" w:sz="4" w:space="0"/>
              <w:left w:val="nil"/>
              <w:bottom w:val="single" w:color="auto" w:sz="4" w:space="0"/>
              <w:right w:val="single" w:color="auto" w:sz="4" w:space="0"/>
            </w:tcBorders>
            <w:shd w:val="clear" w:color="000000" w:fill="FFFFFF"/>
            <w:vAlign w:val="center"/>
          </w:tcPr>
          <w:p>
            <w:pPr>
              <w:widowControl/>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社会公众或服务对象对项目实施效果的满意程度。</w:t>
            </w:r>
          </w:p>
        </w:tc>
        <w:tc>
          <w:tcPr>
            <w:tcW w:w="90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lang w:val="en-US" w:eastAsia="zh-CN"/>
              </w:rPr>
              <w:t>5</w:t>
            </w:r>
            <w:r>
              <w:rPr>
                <w:rFonts w:hint="eastAsia" w:ascii="宋体" w:hAnsi="宋体" w:cs="宋体"/>
                <w:b w:val="0"/>
                <w:bCs w:val="0"/>
                <w:color w:val="000000"/>
                <w:kern w:val="0"/>
                <w:sz w:val="18"/>
                <w:szCs w:val="18"/>
              </w:rPr>
              <w:t>　</w:t>
            </w:r>
          </w:p>
        </w:tc>
        <w:tc>
          <w:tcPr>
            <w:tcW w:w="1600" w:type="dxa"/>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　</w:t>
            </w:r>
          </w:p>
        </w:tc>
      </w:tr>
      <w:tr>
        <w:tblPrEx>
          <w:tblCellMar>
            <w:top w:w="0" w:type="dxa"/>
            <w:left w:w="108" w:type="dxa"/>
            <w:bottom w:w="0" w:type="dxa"/>
            <w:right w:w="108" w:type="dxa"/>
          </w:tblCellMar>
        </w:tblPrEx>
        <w:trPr>
          <w:trHeight w:val="624" w:hRule="atLeast"/>
        </w:trPr>
        <w:tc>
          <w:tcPr>
            <w:tcW w:w="6759"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b w:val="0"/>
                <w:bCs w:val="0"/>
                <w:color w:val="000000"/>
                <w:kern w:val="0"/>
                <w:sz w:val="18"/>
                <w:szCs w:val="18"/>
              </w:rPr>
            </w:pPr>
            <w:r>
              <w:rPr>
                <w:rFonts w:hint="eastAsia" w:ascii="宋体" w:hAnsi="宋体" w:cs="宋体"/>
                <w:b w:val="0"/>
                <w:bCs w:val="0"/>
                <w:color w:val="000000"/>
                <w:kern w:val="0"/>
                <w:sz w:val="18"/>
                <w:szCs w:val="18"/>
              </w:rPr>
              <w:t>合计（100分）</w:t>
            </w:r>
          </w:p>
        </w:tc>
        <w:tc>
          <w:tcPr>
            <w:tcW w:w="2500" w:type="dxa"/>
            <w:gridSpan w:val="2"/>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宋体" w:hAnsi="宋体" w:cs="宋体" w:eastAsiaTheme="minorEastAsia"/>
                <w:b w:val="0"/>
                <w:bCs w:val="0"/>
                <w:color w:val="000000"/>
                <w:kern w:val="0"/>
                <w:sz w:val="18"/>
                <w:szCs w:val="18"/>
                <w:lang w:val="en-US" w:eastAsia="zh-CN"/>
              </w:rPr>
            </w:pPr>
            <w:r>
              <w:rPr>
                <w:rFonts w:hint="eastAsia" w:ascii="宋体" w:hAnsi="宋体" w:cs="宋体"/>
                <w:b w:val="0"/>
                <w:bCs w:val="0"/>
                <w:color w:val="000000"/>
                <w:kern w:val="0"/>
                <w:sz w:val="18"/>
                <w:szCs w:val="18"/>
                <w:lang w:val="en-US" w:eastAsia="zh-CN"/>
              </w:rPr>
              <w:t>100</w:t>
            </w:r>
          </w:p>
        </w:tc>
      </w:tr>
    </w:tbl>
    <w:p>
      <w:pPr>
        <w:numPr>
          <w:ilvl w:val="0"/>
          <w:numId w:val="0"/>
        </w:numPr>
        <w:jc w:val="left"/>
        <w:rPr>
          <w:rFonts w:hint="eastAsia"/>
          <w:b/>
          <w:bCs/>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46D28E"/>
    <w:multiLevelType w:val="singleLevel"/>
    <w:tmpl w:val="8646D28E"/>
    <w:lvl w:ilvl="0" w:tentative="0">
      <w:start w:val="1"/>
      <w:numFmt w:val="decimal"/>
      <w:suff w:val="nothing"/>
      <w:lvlText w:val="%1、"/>
      <w:lvlJc w:val="left"/>
      <w:pPr>
        <w:ind w:left="560" w:leftChars="0" w:firstLine="0" w:firstLineChars="0"/>
      </w:pPr>
    </w:lvl>
  </w:abstractNum>
  <w:abstractNum w:abstractNumId="1">
    <w:nsid w:val="88ACA9CE"/>
    <w:multiLevelType w:val="singleLevel"/>
    <w:tmpl w:val="88ACA9CE"/>
    <w:lvl w:ilvl="0" w:tentative="0">
      <w:start w:val="1"/>
      <w:numFmt w:val="chineseCounting"/>
      <w:suff w:val="nothing"/>
      <w:lvlText w:val="%1、"/>
      <w:lvlJc w:val="left"/>
      <w:rPr>
        <w:rFonts w:hint="eastAsia"/>
      </w:rPr>
    </w:lvl>
  </w:abstractNum>
  <w:abstractNum w:abstractNumId="2">
    <w:nsid w:val="B2022B69"/>
    <w:multiLevelType w:val="singleLevel"/>
    <w:tmpl w:val="B2022B69"/>
    <w:lvl w:ilvl="0" w:tentative="0">
      <w:start w:val="1"/>
      <w:numFmt w:val="chineseCounting"/>
      <w:suff w:val="nothing"/>
      <w:lvlText w:val="（%1）"/>
      <w:lvlJc w:val="left"/>
      <w:rPr>
        <w:rFonts w:hint="eastAsia"/>
      </w:rPr>
    </w:lvl>
  </w:abstractNum>
  <w:abstractNum w:abstractNumId="3">
    <w:nsid w:val="BFF52ECB"/>
    <w:multiLevelType w:val="singleLevel"/>
    <w:tmpl w:val="BFF52ECB"/>
    <w:lvl w:ilvl="0" w:tentative="0">
      <w:start w:val="1"/>
      <w:numFmt w:val="decimal"/>
      <w:suff w:val="nothing"/>
      <w:lvlText w:val="%1、"/>
      <w:lvlJc w:val="left"/>
      <w:pPr>
        <w:ind w:left="560" w:leftChars="0" w:firstLine="0" w:firstLineChars="0"/>
      </w:pPr>
    </w:lvl>
  </w:abstractNum>
  <w:abstractNum w:abstractNumId="4">
    <w:nsid w:val="C6B578CA"/>
    <w:multiLevelType w:val="singleLevel"/>
    <w:tmpl w:val="C6B578CA"/>
    <w:lvl w:ilvl="0" w:tentative="0">
      <w:start w:val="1"/>
      <w:numFmt w:val="decimal"/>
      <w:suff w:val="nothing"/>
      <w:lvlText w:val="%1、"/>
      <w:lvlJc w:val="left"/>
      <w:pPr>
        <w:ind w:left="560" w:leftChars="0" w:firstLine="0" w:firstLineChars="0"/>
      </w:pPr>
    </w:lvl>
  </w:abstractNum>
  <w:abstractNum w:abstractNumId="5">
    <w:nsid w:val="E165AEA3"/>
    <w:multiLevelType w:val="singleLevel"/>
    <w:tmpl w:val="E165AEA3"/>
    <w:lvl w:ilvl="0" w:tentative="0">
      <w:start w:val="1"/>
      <w:numFmt w:val="decimal"/>
      <w:suff w:val="nothing"/>
      <w:lvlText w:val="%1、"/>
      <w:lvlJc w:val="left"/>
      <w:pPr>
        <w:ind w:left="560" w:leftChars="0" w:firstLine="0" w:firstLineChars="0"/>
      </w:pPr>
    </w:lvl>
  </w:abstractNum>
  <w:abstractNum w:abstractNumId="6">
    <w:nsid w:val="FA34E87F"/>
    <w:multiLevelType w:val="singleLevel"/>
    <w:tmpl w:val="FA34E87F"/>
    <w:lvl w:ilvl="0" w:tentative="0">
      <w:start w:val="1"/>
      <w:numFmt w:val="chineseCounting"/>
      <w:suff w:val="nothing"/>
      <w:lvlText w:val="（%1）"/>
      <w:lvlJc w:val="left"/>
      <w:rPr>
        <w:rFonts w:hint="eastAsia"/>
      </w:rPr>
    </w:lvl>
  </w:abstractNum>
  <w:abstractNum w:abstractNumId="7">
    <w:nsid w:val="0917CFC2"/>
    <w:multiLevelType w:val="singleLevel"/>
    <w:tmpl w:val="0917CFC2"/>
    <w:lvl w:ilvl="0" w:tentative="0">
      <w:start w:val="1"/>
      <w:numFmt w:val="decimal"/>
      <w:suff w:val="nothing"/>
      <w:lvlText w:val="%1、"/>
      <w:lvlJc w:val="left"/>
      <w:pPr>
        <w:ind w:left="560" w:leftChars="0" w:firstLine="0" w:firstLineChars="0"/>
      </w:pPr>
    </w:lvl>
  </w:abstractNum>
  <w:abstractNum w:abstractNumId="8">
    <w:nsid w:val="101E3F5B"/>
    <w:multiLevelType w:val="singleLevel"/>
    <w:tmpl w:val="101E3F5B"/>
    <w:lvl w:ilvl="0" w:tentative="0">
      <w:start w:val="1"/>
      <w:numFmt w:val="chineseCounting"/>
      <w:suff w:val="nothing"/>
      <w:lvlText w:val="（%1）"/>
      <w:lvlJc w:val="left"/>
      <w:rPr>
        <w:rFonts w:hint="eastAsia"/>
      </w:rPr>
    </w:lvl>
  </w:abstractNum>
  <w:abstractNum w:abstractNumId="9">
    <w:nsid w:val="49447C82"/>
    <w:multiLevelType w:val="singleLevel"/>
    <w:tmpl w:val="49447C82"/>
    <w:lvl w:ilvl="0" w:tentative="0">
      <w:start w:val="1"/>
      <w:numFmt w:val="decimal"/>
      <w:suff w:val="nothing"/>
      <w:lvlText w:val="%1、"/>
      <w:lvlJc w:val="left"/>
      <w:pPr>
        <w:ind w:left="420" w:leftChars="0" w:firstLine="0" w:firstLineChars="0"/>
      </w:pPr>
    </w:lvl>
  </w:abstractNum>
  <w:abstractNum w:abstractNumId="10">
    <w:nsid w:val="7245DD8E"/>
    <w:multiLevelType w:val="singleLevel"/>
    <w:tmpl w:val="7245DD8E"/>
    <w:lvl w:ilvl="0" w:tentative="0">
      <w:start w:val="1"/>
      <w:numFmt w:val="chineseCounting"/>
      <w:suff w:val="nothing"/>
      <w:lvlText w:val="（%1）"/>
      <w:lvlJc w:val="left"/>
      <w:rPr>
        <w:rFonts w:hint="eastAsia"/>
      </w:rPr>
    </w:lvl>
  </w:abstractNum>
  <w:abstractNum w:abstractNumId="11">
    <w:nsid w:val="78C645C3"/>
    <w:multiLevelType w:val="singleLevel"/>
    <w:tmpl w:val="78C645C3"/>
    <w:lvl w:ilvl="0" w:tentative="0">
      <w:start w:val="1"/>
      <w:numFmt w:val="chineseCounting"/>
      <w:suff w:val="nothing"/>
      <w:lvlText w:val="（%1）"/>
      <w:lvlJc w:val="left"/>
      <w:rPr>
        <w:rFonts w:hint="eastAsia"/>
      </w:rPr>
    </w:lvl>
  </w:abstractNum>
  <w:num w:numId="1">
    <w:abstractNumId w:val="1"/>
  </w:num>
  <w:num w:numId="2">
    <w:abstractNumId w:val="10"/>
  </w:num>
  <w:num w:numId="3">
    <w:abstractNumId w:val="2"/>
  </w:num>
  <w:num w:numId="4">
    <w:abstractNumId w:val="9"/>
  </w:num>
  <w:num w:numId="5">
    <w:abstractNumId w:val="4"/>
  </w:num>
  <w:num w:numId="6">
    <w:abstractNumId w:val="7"/>
  </w:num>
  <w:num w:numId="7">
    <w:abstractNumId w:val="11"/>
  </w:num>
  <w:num w:numId="8">
    <w:abstractNumId w:val="6"/>
  </w:num>
  <w:num w:numId="9">
    <w:abstractNumId w:val="0"/>
  </w:num>
  <w:num w:numId="10">
    <w:abstractNumId w:val="3"/>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9C3F67"/>
    <w:rsid w:val="067C5F24"/>
    <w:rsid w:val="096A38E7"/>
    <w:rsid w:val="10000A8B"/>
    <w:rsid w:val="1C932C40"/>
    <w:rsid w:val="2480680F"/>
    <w:rsid w:val="2B7B3ABF"/>
    <w:rsid w:val="2B893AE0"/>
    <w:rsid w:val="2D27337A"/>
    <w:rsid w:val="39721A4A"/>
    <w:rsid w:val="3BD96F0E"/>
    <w:rsid w:val="40441FAA"/>
    <w:rsid w:val="46F76459"/>
    <w:rsid w:val="4900300D"/>
    <w:rsid w:val="57722FF3"/>
    <w:rsid w:val="59201B2B"/>
    <w:rsid w:val="63A00E6C"/>
    <w:rsid w:val="656C6C61"/>
    <w:rsid w:val="670E7CF2"/>
    <w:rsid w:val="75D614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1"/>
    <w:pPr>
      <w:ind w:left="757"/>
      <w:outlineLvl w:val="3"/>
    </w:pPr>
    <w:rPr>
      <w:rFonts w:ascii="黑体" w:hAnsi="黑体" w:eastAsia="黑体" w:cs="黑体"/>
      <w:b/>
      <w:bCs/>
      <w:sz w:val="32"/>
      <w:szCs w:val="32"/>
      <w:lang w:val="zh-CN" w:eastAsia="zh-CN" w:bidi="zh-CN"/>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rPr>
      <w:rFonts w:ascii="仿宋" w:hAnsi="仿宋" w:eastAsia="仿宋" w:cs="仿宋"/>
      <w:sz w:val="32"/>
      <w:szCs w:val="32"/>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37</TotalTime>
  <ScaleCrop>false</ScaleCrop>
  <LinksUpToDate>false</LinksUpToDate>
  <CharactersWithSpaces>0</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死灰</cp:lastModifiedBy>
  <dcterms:modified xsi:type="dcterms:W3CDTF">2021-08-18T01:33:25Z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A1B129AA591B4756B4A6478C13DAFA71</vt:lpwstr>
  </property>
</Properties>
</file>