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2020年义务兵优待金（直达资金）</w:t>
      </w:r>
    </w:p>
    <w:p>
      <w:pPr>
        <w:jc w:val="center"/>
        <w:rPr>
          <w:rFonts w:ascii="宋体" w:hAnsi="宋体" w:cs="宋体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sz w:val="36"/>
          <w:szCs w:val="36"/>
        </w:rPr>
        <w:t>项目支出绩效评价报告</w:t>
      </w:r>
    </w:p>
    <w:p>
      <w:pPr>
        <w:spacing w:line="500" w:lineRule="exact"/>
        <w:ind w:firstLine="640" w:firstLineChars="200"/>
        <w:rPr>
          <w:rFonts w:ascii="黑体" w:hAnsi="黑体" w:eastAsia="黑体" w:cs="黑体"/>
          <w:b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</w:rPr>
        <w:t>一、基本情况</w:t>
      </w:r>
    </w:p>
    <w:p>
      <w:pPr>
        <w:spacing w:line="500" w:lineRule="exact"/>
        <w:ind w:firstLine="640" w:firstLineChars="200"/>
        <w:outlineLvl w:val="0"/>
        <w:rPr>
          <w:rFonts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（一）项目概况。</w:t>
      </w:r>
    </w:p>
    <w:p>
      <w:pPr>
        <w:spacing w:line="580" w:lineRule="exact"/>
        <w:ind w:firstLine="640" w:firstLineChars="200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为深入学习贯彻习近平总书记关于国防和军队建设重要论述，积极适应兵役制度调整改革新形势新要求，营造全社会关注支持国防建设的浓厚氛围，激励军人安心服役、献身国防，勉励广大适龄青年积极应征入伍、参军报国。国家为了使他们在部队安心服役、建功立业，从而为建设世界一流军队输送高质量高素质的优秀兵员，国家制定了义务兵优待办法，又以义务兵优待金的形式予以保障。</w:t>
      </w:r>
    </w:p>
    <w:p>
      <w:pPr>
        <w:spacing w:line="580" w:lineRule="exact"/>
        <w:ind w:firstLine="640" w:firstLineChars="200"/>
        <w:rPr>
          <w:rFonts w:hint="eastAsia"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优待金标准按照上年度北京市城镇居民人均消费支出水平发放，2020年义务兵优待金发放标准为</w:t>
      </w: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>42926</w:t>
      </w:r>
      <w:r>
        <w:rPr>
          <w:rFonts w:hint="eastAsia" w:ascii="仿宋_GB2312" w:eastAsia="仿宋_GB2312"/>
          <w:b w:val="0"/>
          <w:sz w:val="32"/>
          <w:szCs w:val="32"/>
        </w:rPr>
        <w:t>元。</w:t>
      </w:r>
    </w:p>
    <w:p>
      <w:pPr>
        <w:spacing w:line="580" w:lineRule="exact"/>
        <w:ind w:firstLine="640" w:firstLineChars="200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>南磨房地区</w:t>
      </w:r>
      <w:r>
        <w:rPr>
          <w:rFonts w:hint="eastAsia" w:ascii="仿宋_GB2312" w:eastAsia="仿宋_GB2312"/>
          <w:b w:val="0"/>
          <w:sz w:val="32"/>
          <w:szCs w:val="32"/>
        </w:rPr>
        <w:t>2020年义务兵优待金发放涉及对象</w:t>
      </w: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>50</w:t>
      </w:r>
      <w:r>
        <w:rPr>
          <w:rFonts w:hint="eastAsia" w:ascii="仿宋_GB2312" w:eastAsia="仿宋_GB2312"/>
          <w:b w:val="0"/>
          <w:sz w:val="32"/>
          <w:szCs w:val="32"/>
        </w:rPr>
        <w:t>人，涉及使用财政资金</w:t>
      </w: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>2146300</w:t>
      </w:r>
      <w:r>
        <w:rPr>
          <w:rFonts w:hint="eastAsia" w:ascii="仿宋_GB2312" w:eastAsia="仿宋_GB2312"/>
          <w:b w:val="0"/>
          <w:sz w:val="32"/>
          <w:szCs w:val="32"/>
        </w:rPr>
        <w:t>元。按区退役军人事务局文件精神和工作要求，拨付到街道财务后，再由街道财务依据相关手续直接打卡发放到义务兵个人手中。</w:t>
      </w:r>
    </w:p>
    <w:p>
      <w:pPr>
        <w:spacing w:line="580" w:lineRule="exact"/>
        <w:ind w:firstLine="640" w:firstLineChars="200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（二）项目绩效目标。</w:t>
      </w:r>
    </w:p>
    <w:p>
      <w:pPr>
        <w:spacing w:line="500" w:lineRule="exact"/>
        <w:ind w:firstLine="640" w:firstLineChars="200"/>
        <w:outlineLvl w:val="0"/>
        <w:rPr>
          <w:rFonts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义务兵优待金的财政资金保障，是</w:t>
      </w:r>
      <w:r>
        <w:rPr>
          <w:rFonts w:ascii="仿宋_GB2312" w:hAnsi="仿宋_GB2312" w:eastAsia="仿宋_GB2312" w:cs="仿宋_GB2312"/>
          <w:b w:val="0"/>
          <w:bCs w:val="0"/>
          <w:kern w:val="0"/>
          <w:sz w:val="32"/>
          <w:szCs w:val="32"/>
        </w:rPr>
        <w:t>营造“军爱民、民拥军，军民团结一家亲”的浓厚氛围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，</w:t>
      </w:r>
      <w:r>
        <w:rPr>
          <w:rFonts w:ascii="仿宋_GB2312" w:hAnsi="仿宋_GB2312" w:eastAsia="仿宋_GB2312" w:cs="仿宋_GB2312"/>
          <w:b w:val="0"/>
          <w:bCs w:val="0"/>
          <w:kern w:val="0"/>
          <w:sz w:val="32"/>
          <w:szCs w:val="32"/>
        </w:rPr>
        <w:t>激发人民群众的爱国主义精神，增强人民群众国防观念和参与双拥工作的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坚实基础。</w:t>
      </w:r>
    </w:p>
    <w:p>
      <w:pPr>
        <w:spacing w:line="500" w:lineRule="exact"/>
        <w:ind w:firstLine="640" w:firstLineChars="200"/>
        <w:rPr>
          <w:rFonts w:ascii="黑体" w:hAnsi="黑体" w:eastAsia="黑体" w:cs="黑体"/>
          <w:b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kern w:val="0"/>
          <w:sz w:val="32"/>
          <w:szCs w:val="32"/>
        </w:rPr>
        <w:t>二、绩效评价工作开展情况</w:t>
      </w:r>
    </w:p>
    <w:p>
      <w:pPr>
        <w:spacing w:line="500" w:lineRule="exact"/>
        <w:ind w:firstLine="640" w:firstLineChars="200"/>
        <w:outlineLvl w:val="0"/>
        <w:rPr>
          <w:rFonts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（一）绩效评价目的、对象和范围。</w:t>
      </w:r>
    </w:p>
    <w:p>
      <w:pPr>
        <w:spacing w:line="580" w:lineRule="exact"/>
        <w:ind w:firstLine="640" w:firstLineChars="200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为切实解决义务兵的现实需求，保证他们能够安心服役，帮助解难排忧，消除顾虑，义务兵优待金的财政保障就显得尤为重要。</w:t>
      </w: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>南磨房地区</w:t>
      </w:r>
      <w:r>
        <w:rPr>
          <w:rFonts w:hint="eastAsia" w:ascii="仿宋_GB2312" w:eastAsia="仿宋_GB2312"/>
          <w:b w:val="0"/>
          <w:sz w:val="32"/>
          <w:szCs w:val="32"/>
        </w:rPr>
        <w:t>2020年义务兵优待金发放涉及</w:t>
      </w: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>50</w:t>
      </w:r>
      <w:r>
        <w:rPr>
          <w:rFonts w:hint="eastAsia" w:ascii="仿宋_GB2312" w:eastAsia="仿宋_GB2312"/>
          <w:b w:val="0"/>
          <w:sz w:val="32"/>
          <w:szCs w:val="32"/>
        </w:rPr>
        <w:t>人，涉及使用财政资金</w:t>
      </w: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>2146300</w:t>
      </w:r>
      <w:r>
        <w:rPr>
          <w:rFonts w:hint="eastAsia" w:ascii="仿宋_GB2312" w:eastAsia="仿宋_GB2312"/>
          <w:b w:val="0"/>
          <w:sz w:val="32"/>
          <w:szCs w:val="32"/>
        </w:rPr>
        <w:t>元。</w:t>
      </w:r>
    </w:p>
    <w:p>
      <w:pPr>
        <w:spacing w:line="500" w:lineRule="exact"/>
        <w:ind w:firstLine="640" w:firstLineChars="200"/>
        <w:outlineLvl w:val="0"/>
        <w:rPr>
          <w:rFonts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（二）绩效评价原则、评价指标体系、评价方法、评价标准等。</w:t>
      </w:r>
    </w:p>
    <w:p>
      <w:pPr>
        <w:spacing w:line="500" w:lineRule="exact"/>
        <w:ind w:firstLine="640" w:firstLineChars="200"/>
        <w:outlineLvl w:val="0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2020年义务兵优待金项目按照科学公正、统筹兼顾、激励约束、公开透明的原则，并按照科学规范、政策相符、依据充分、独立评价进行绩效评价。</w:t>
      </w:r>
    </w:p>
    <w:p>
      <w:pPr>
        <w:spacing w:line="500" w:lineRule="exact"/>
        <w:ind w:firstLine="640" w:firstLineChars="200"/>
        <w:outlineLvl w:val="0"/>
        <w:rPr>
          <w:rFonts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（三）绩效评价工作过程。</w:t>
      </w:r>
    </w:p>
    <w:p>
      <w:pPr>
        <w:spacing w:line="500" w:lineRule="exact"/>
        <w:ind w:firstLine="640" w:firstLineChars="200"/>
        <w:outlineLvl w:val="0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（1）准备阶段：成立项目评价工作组，制定项目工作计划；参与项目评价协调，提请相关职能部门及被评价方的帮助和配合。</w:t>
      </w:r>
    </w:p>
    <w:p>
      <w:pPr>
        <w:spacing w:line="500" w:lineRule="exact"/>
        <w:ind w:firstLine="640" w:firstLineChars="200"/>
        <w:outlineLvl w:val="0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（2）执行阶段：细化评价工作计划，依据评价指标体系收集相关数据，并根据需要进行项目调研；开展资金使用情况调查；向相关职能部门与被评价方征询满意度。</w:t>
      </w:r>
    </w:p>
    <w:p>
      <w:pPr>
        <w:spacing w:line="500" w:lineRule="exact"/>
        <w:ind w:firstLine="640" w:firstLineChars="200"/>
        <w:outlineLvl w:val="0"/>
        <w:rPr>
          <w:rFonts w:ascii="仿宋_GB2312" w:eastAsia="仿宋_GB2312"/>
          <w:b w:val="0"/>
          <w:sz w:val="32"/>
          <w:szCs w:val="32"/>
        </w:rPr>
      </w:pPr>
      <w:r>
        <w:rPr>
          <w:rFonts w:hint="eastAsia" w:ascii="仿宋_GB2312" w:eastAsia="仿宋_GB2312"/>
          <w:b w:val="0"/>
          <w:sz w:val="32"/>
          <w:szCs w:val="32"/>
        </w:rPr>
        <w:t>（3）总结阶段：根据前期调研与满意度征询撰写项目评价报告。</w:t>
      </w:r>
    </w:p>
    <w:p>
      <w:pPr>
        <w:spacing w:line="500" w:lineRule="exact"/>
        <w:ind w:firstLine="640" w:firstLineChars="200"/>
        <w:rPr>
          <w:rFonts w:ascii="黑体" w:hAnsi="黑体" w:eastAsia="黑体" w:cs="黑体"/>
          <w:b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</w:rPr>
        <w:t>三、综合评价情况及评价结论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  <w:t>南磨房地区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2020年义务兵优待金专项资金</w:t>
      </w: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>2146300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元，实际到位</w:t>
      </w: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>2146300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元，实际拨付</w:t>
      </w:r>
      <w:r>
        <w:rPr>
          <w:rFonts w:hint="eastAsia" w:ascii="仿宋_GB2312" w:eastAsia="仿宋_GB2312"/>
          <w:b w:val="0"/>
          <w:sz w:val="32"/>
          <w:szCs w:val="32"/>
          <w:lang w:val="en-US" w:eastAsia="zh-CN"/>
        </w:rPr>
        <w:t>2146300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元，资金执行率100%。</w:t>
      </w:r>
    </w:p>
    <w:p>
      <w:pPr>
        <w:spacing w:line="500" w:lineRule="exact"/>
        <w:ind w:firstLine="640" w:firstLineChars="200"/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义务兵家庭优待金发放情况很好，无截留、挤占和挪作他用。</w:t>
      </w:r>
    </w:p>
    <w:p>
      <w:pPr>
        <w:spacing w:line="500" w:lineRule="exact"/>
        <w:ind w:firstLine="640" w:firstLineChars="200"/>
        <w:rPr>
          <w:rFonts w:ascii="黑体" w:hAnsi="黑体" w:eastAsia="黑体" w:cs="黑体"/>
          <w:b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</w:rPr>
        <w:t>四、绩效评价指标分析</w:t>
      </w:r>
    </w:p>
    <w:p>
      <w:pPr>
        <w:spacing w:line="500" w:lineRule="exact"/>
        <w:ind w:firstLine="640" w:firstLineChars="200"/>
        <w:outlineLvl w:val="0"/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（一）项目决策情况。</w:t>
      </w:r>
    </w:p>
    <w:p>
      <w:pPr>
        <w:spacing w:line="500" w:lineRule="exact"/>
        <w:ind w:firstLine="640" w:firstLineChars="200"/>
        <w:outlineLvl w:val="0"/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z w:val="32"/>
          <w:szCs w:val="32"/>
        </w:rPr>
        <w:t>7月下旬，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lang w:val="en-US" w:eastAsia="zh-CN"/>
        </w:rPr>
        <w:t>南磨房地区社会事务管理科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</w:rPr>
        <w:t>按照《关于调整部分优抚对象抚恤补助金标准和义务兵优待金标准的通知》（朝退役军人局发〔2019〕1号）的文件精神和办事处相关工作制度，申请在办事处主任办公会上做情况汇报并提请会议审批将辖区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lang w:val="en-US" w:eastAsia="zh-CN"/>
        </w:rPr>
        <w:t>50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</w:rPr>
        <w:t>名义务兵优待金于8月1日前发放到位。</w:t>
      </w:r>
    </w:p>
    <w:p>
      <w:pPr>
        <w:spacing w:line="500" w:lineRule="exact"/>
        <w:ind w:firstLine="640" w:firstLineChars="200"/>
        <w:outlineLvl w:val="0"/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（二）项目过程情况。</w:t>
      </w:r>
    </w:p>
    <w:p>
      <w:pPr>
        <w:spacing w:line="500" w:lineRule="exact"/>
        <w:ind w:firstLine="640" w:firstLineChars="200"/>
        <w:outlineLvl w:val="0"/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z w:val="32"/>
          <w:szCs w:val="32"/>
        </w:rPr>
        <w:t>8月1日前，在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lang w:val="en-US" w:eastAsia="zh-CN"/>
        </w:rPr>
        <w:t>社会事务管理科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</w:rPr>
        <w:t>顺利完成了相关财务流程后，实现了辖区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lang w:val="en-US" w:eastAsia="zh-CN"/>
        </w:rPr>
        <w:t>50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</w:rPr>
        <w:t>名义务兵优待金的发放工作。</w:t>
      </w:r>
    </w:p>
    <w:p>
      <w:pPr>
        <w:spacing w:line="500" w:lineRule="exact"/>
        <w:ind w:firstLine="640" w:firstLineChars="200"/>
        <w:outlineLvl w:val="0"/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（三）项目产出情况。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b w:val="0"/>
          <w:bCs w:val="0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sz w:val="32"/>
          <w:szCs w:val="32"/>
          <w:lang w:val="en-US" w:eastAsia="zh-CN"/>
        </w:rPr>
        <w:t>我地区资金拨付部门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</w:rPr>
        <w:t>本着资金管理和使用规范的原则，依据专款专用、运行规范、手续完整的流程，于8月1日前通过直接打卡的方式发放到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  <w:lang w:val="en-US" w:eastAsia="zh-CN"/>
        </w:rPr>
        <w:t>50</w:t>
      </w:r>
      <w:r>
        <w:rPr>
          <w:rFonts w:hint="eastAsia" w:ascii="仿宋_GB2312" w:hAnsi="宋体" w:eastAsia="仿宋_GB2312"/>
          <w:b w:val="0"/>
          <w:bCs w:val="0"/>
          <w:sz w:val="32"/>
          <w:szCs w:val="32"/>
        </w:rPr>
        <w:t>名义务兵个人手中，完成执行率100%。</w:t>
      </w:r>
    </w:p>
    <w:p>
      <w:pPr>
        <w:spacing w:line="500" w:lineRule="exact"/>
        <w:ind w:firstLine="640" w:firstLineChars="200"/>
        <w:outlineLvl w:val="0"/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（四）项目效益情况。</w:t>
      </w:r>
    </w:p>
    <w:p>
      <w:pPr>
        <w:spacing w:line="500" w:lineRule="exact"/>
        <w:ind w:firstLine="640" w:firstLineChars="200"/>
        <w:outlineLvl w:val="0"/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义务兵优待金的按时足额发放，</w:t>
      </w:r>
      <w:r>
        <w:rPr>
          <w:rFonts w:hint="eastAsia" w:ascii="仿宋_GB2312" w:eastAsia="仿宋_GB2312"/>
          <w:b w:val="0"/>
          <w:sz w:val="32"/>
          <w:szCs w:val="32"/>
        </w:rPr>
        <w:t>切实解决了义务兵的现实需求，保证他们安心服役。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义务兵优待金的按时足额发放，大力弘扬了爱国主义精神，提高了广大青年应征入伍的积极性。义务兵优待金的按时足额发放，稳固了国防战线，为社会带来了长治久安的稳定效果。</w:t>
      </w:r>
    </w:p>
    <w:p>
      <w:pPr>
        <w:spacing w:line="500" w:lineRule="exact"/>
        <w:ind w:firstLine="640" w:firstLineChars="200"/>
        <w:rPr>
          <w:rFonts w:ascii="黑体" w:hAnsi="黑体" w:eastAsia="黑体" w:cs="黑体"/>
          <w:b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</w:rPr>
        <w:t>五、主要经验及做法、存在的问题及原因分析</w:t>
      </w:r>
    </w:p>
    <w:p>
      <w:pPr>
        <w:spacing w:line="500" w:lineRule="exact"/>
        <w:ind w:firstLine="640" w:firstLineChars="200"/>
        <w:outlineLvl w:val="0"/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无</w:t>
      </w:r>
    </w:p>
    <w:p>
      <w:pPr>
        <w:spacing w:line="500" w:lineRule="exact"/>
        <w:ind w:firstLine="640" w:firstLineChars="200"/>
        <w:rPr>
          <w:rFonts w:ascii="黑体" w:hAnsi="黑体" w:eastAsia="黑体" w:cs="黑体"/>
          <w:b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</w:rPr>
        <w:t>六、有关建议</w:t>
      </w:r>
    </w:p>
    <w:p>
      <w:pPr>
        <w:spacing w:line="500" w:lineRule="exact"/>
        <w:ind w:firstLine="640" w:firstLineChars="200"/>
        <w:outlineLvl w:val="0"/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无</w:t>
      </w:r>
    </w:p>
    <w:p>
      <w:pPr>
        <w:spacing w:line="500" w:lineRule="exact"/>
        <w:ind w:firstLine="640" w:firstLineChars="200"/>
        <w:rPr>
          <w:rFonts w:ascii="黑体" w:hAnsi="黑体" w:eastAsia="黑体" w:cs="黑体"/>
          <w:b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</w:rPr>
        <w:t>七、其他需要说明的问题</w:t>
      </w:r>
    </w:p>
    <w:p>
      <w:pPr>
        <w:spacing w:line="500" w:lineRule="exact"/>
        <w:ind w:firstLine="640" w:firstLineChars="200"/>
        <w:outlineLvl w:val="0"/>
        <w:rPr>
          <w:rFonts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  <w:t>无</w:t>
      </w:r>
    </w:p>
    <w:p>
      <w:pPr>
        <w:spacing w:line="500" w:lineRule="exact"/>
        <w:ind w:firstLine="640" w:firstLineChars="200"/>
        <w:rPr>
          <w:rFonts w:ascii="黑体" w:hAnsi="黑体" w:eastAsia="黑体" w:cs="黑体"/>
          <w:b w:val="0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color w:val="000000"/>
          <w:kern w:val="0"/>
          <w:sz w:val="32"/>
          <w:szCs w:val="32"/>
        </w:rPr>
        <w:t>八、项目支出绩效评价评分表</w:t>
      </w:r>
    </w:p>
    <w:p>
      <w:pPr>
        <w:spacing w:line="360" w:lineRule="auto"/>
        <w:rPr>
          <w:rFonts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spacing w:line="360" w:lineRule="auto"/>
        <w:rPr>
          <w:b w:val="0"/>
          <w:bCs w:val="0"/>
          <w:color w:val="FF0000"/>
          <w:szCs w:val="24"/>
        </w:rPr>
      </w:pPr>
      <w:r>
        <w:rPr>
          <w:rFonts w:hint="eastAsia"/>
          <w:b w:val="0"/>
          <w:bCs w:val="0"/>
          <w:color w:val="FF0000"/>
          <w:szCs w:val="24"/>
        </w:rPr>
        <w:t>注：实际填报时，应按照中央、北京市相关工作要求据实填报。</w:t>
      </w:r>
    </w:p>
    <w:p>
      <w:pPr>
        <w:widowControl/>
        <w:jc w:val="center"/>
        <w:rPr>
          <w:b w:val="0"/>
          <w:bCs w:val="0"/>
          <w:color w:val="FF0000"/>
          <w:szCs w:val="24"/>
        </w:rPr>
      </w:pPr>
      <w:r>
        <w:rPr>
          <w:b w:val="0"/>
          <w:bCs w:val="0"/>
          <w:color w:val="FF0000"/>
          <w:szCs w:val="24"/>
        </w:rPr>
        <w:br w:type="page"/>
      </w:r>
      <w:r>
        <w:rPr>
          <w:rFonts w:hint="eastAsia" w:ascii="宋体" w:hAnsi="宋体" w:cs="宋体"/>
          <w:color w:val="000000"/>
          <w:kern w:val="0"/>
          <w:sz w:val="36"/>
          <w:szCs w:val="36"/>
        </w:rPr>
        <w:t>项目支出绩效评价评分表</w:t>
      </w:r>
    </w:p>
    <w:tbl>
      <w:tblPr>
        <w:tblStyle w:val="6"/>
        <w:tblW w:w="9259" w:type="dxa"/>
        <w:tblInd w:w="1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700"/>
        <w:gridCol w:w="720"/>
        <w:gridCol w:w="720"/>
        <w:gridCol w:w="700"/>
        <w:gridCol w:w="3200"/>
        <w:gridCol w:w="900"/>
        <w:gridCol w:w="16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4"/>
              </w:rPr>
              <w:t>一级指标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4"/>
              </w:rPr>
              <w:t>二级指标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4"/>
              </w:rPr>
              <w:t>分值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4"/>
              </w:rPr>
              <w:t>三级指标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4"/>
              </w:rPr>
              <w:t>分值</w:t>
            </w:r>
          </w:p>
        </w:tc>
        <w:tc>
          <w:tcPr>
            <w:tcW w:w="3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4"/>
              </w:rPr>
              <w:t>指标解释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4"/>
              </w:rPr>
              <w:t>得分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4"/>
              </w:rPr>
              <w:t>扣分理由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决策</w:t>
            </w:r>
          </w:p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(15分)　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项目立项　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立项依据充分性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项目立项是否符合法律法规、相关政策、发展规划以及部门职责，用以反映和考核项目立项依据情况。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6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立项程序规范性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项目申请、设立过程是否符合相关要求，用以反映和考核项目立项的规范情况。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6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1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绩效目标　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5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绩效目标合理性</w:t>
            </w:r>
          </w:p>
        </w:tc>
        <w:tc>
          <w:tcPr>
            <w:tcW w:w="70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项目所设定的绩效目标是否依据充分，是否符合客观实际，用以反映和考核项目绩效目标与项目实施的相符情况。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绩效指标明确性</w:t>
            </w:r>
          </w:p>
        </w:tc>
        <w:tc>
          <w:tcPr>
            <w:tcW w:w="70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依据绩效目标设定的绩效指标是否清晰、细化、可衡量等，用以反映和考核项目绩效目标的明细化情况。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资金投入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5　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预算编制科学性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项目预算编制是否经过科学论证、有明确标准，资金额度与年度目标是否相适应，用以反映和考核项目预算编制的科学性、合理性情况。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资金分配合理性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项目预算资金分配是否有测算依据，与补助单位或地方实际是否相适应，用以反映和考核项目预算资金分配的科学性、合理性情况。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6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过程</w:t>
            </w:r>
          </w:p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资金管理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资金到位率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实际到位资金与预算资金的比率，用以反映和考核资金落实情况对项目实施的总体保障程度。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项目预算资金是否按照计划执行，用以反映或考核项目预算执行情况。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资金使用合规性</w:t>
            </w: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项目资金使用是否符合相关的财务管理制度规定，用以反映和考核项目资金的规范运行情况。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组织实施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15　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管理制度健全性</w:t>
            </w: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5　</w:t>
            </w:r>
          </w:p>
        </w:tc>
        <w:tc>
          <w:tcPr>
            <w:tcW w:w="3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项目实施单位的财务和业务管理制度是否健全，用以反映和考核财务和业务管理制度对项目顺利实施的保障情况。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制度执行有效性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10　</w:t>
            </w:r>
          </w:p>
        </w:tc>
        <w:tc>
          <w:tcPr>
            <w:tcW w:w="3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项目实施是否符合相关管理规定，用以反映和考核相关管理制度的有效执行情况。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7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产出</w:t>
            </w:r>
          </w:p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产出数量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10</w:t>
            </w:r>
          </w:p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实际完成率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10</w:t>
            </w:r>
          </w:p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项目实施的实际产出数与计划产出数的比率，用以反映和考核项目产出数量目标的实现程度。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产出质量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10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质量达标率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10</w:t>
            </w:r>
          </w:p>
        </w:tc>
        <w:tc>
          <w:tcPr>
            <w:tcW w:w="3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项目完成的质量达标产出数与实际产出数的比率，用以反映和考核项目产出质量目标的实现程度。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产出时效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5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完成及时性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5</w:t>
            </w:r>
          </w:p>
        </w:tc>
        <w:tc>
          <w:tcPr>
            <w:tcW w:w="32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项目实际完成时间与计划完成时间的比较，用以反映和考核项目产出时效目标的实现程度。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</w:trPr>
        <w:tc>
          <w:tcPr>
            <w:tcW w:w="7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产出成本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5</w:t>
            </w:r>
          </w:p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成本节约率</w:t>
            </w:r>
          </w:p>
        </w:tc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5　</w:t>
            </w:r>
          </w:p>
        </w:tc>
        <w:tc>
          <w:tcPr>
            <w:tcW w:w="3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完成项目计划工作目标的实际节约成本与计划成本的比率，用以反映和考核项目的成本节约程度。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0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719" w:type="dxa"/>
            <w:vMerge w:val="restart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（25分）　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项目效益　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25　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实施效益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20　</w:t>
            </w:r>
          </w:p>
        </w:tc>
        <w:tc>
          <w:tcPr>
            <w:tcW w:w="3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项目实施所产生的效益。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5　</w:t>
            </w:r>
          </w:p>
        </w:tc>
        <w:tc>
          <w:tcPr>
            <w:tcW w:w="3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社会公众或服务对象对项目实施效果的满意程度。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合计（100分）</w:t>
            </w:r>
          </w:p>
        </w:tc>
        <w:tc>
          <w:tcPr>
            <w:tcW w:w="25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  <w:t>100</w:t>
            </w:r>
          </w:p>
        </w:tc>
      </w:tr>
    </w:tbl>
    <w:p>
      <w:pPr>
        <w:spacing w:line="360" w:lineRule="auto"/>
        <w:rPr>
          <w:b w:val="0"/>
          <w:bCs w:val="0"/>
          <w:szCs w:val="24"/>
        </w:rPr>
      </w:pPr>
    </w:p>
    <w:p>
      <w:pPr>
        <w:widowControl/>
        <w:jc w:val="left"/>
        <w:rPr>
          <w:rFonts w:ascii="仿宋_GB2312" w:hAnsi="宋体" w:eastAsia="仿宋_GB2312"/>
          <w:b w:val="0"/>
          <w:bCs w:val="0"/>
          <w:sz w:val="32"/>
          <w:szCs w:val="32"/>
        </w:rPr>
      </w:pPr>
    </w:p>
    <w:sectPr>
      <w:pgSz w:w="11906" w:h="16838"/>
      <w:pgMar w:top="1418" w:right="141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cumentProtection w:enforcement="0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B81"/>
    <w:rsid w:val="000107E0"/>
    <w:rsid w:val="000139BB"/>
    <w:rsid w:val="000150A7"/>
    <w:rsid w:val="00024230"/>
    <w:rsid w:val="000465D0"/>
    <w:rsid w:val="00056AB2"/>
    <w:rsid w:val="00076A5C"/>
    <w:rsid w:val="000867E1"/>
    <w:rsid w:val="000A072A"/>
    <w:rsid w:val="000A2DD7"/>
    <w:rsid w:val="000A5D1B"/>
    <w:rsid w:val="000D2566"/>
    <w:rsid w:val="000D54D8"/>
    <w:rsid w:val="000E350A"/>
    <w:rsid w:val="001056A2"/>
    <w:rsid w:val="00114092"/>
    <w:rsid w:val="00127DDC"/>
    <w:rsid w:val="001342C5"/>
    <w:rsid w:val="00140263"/>
    <w:rsid w:val="001414F9"/>
    <w:rsid w:val="00142F6B"/>
    <w:rsid w:val="0016405C"/>
    <w:rsid w:val="001747C2"/>
    <w:rsid w:val="0018244C"/>
    <w:rsid w:val="001A62C1"/>
    <w:rsid w:val="001C0326"/>
    <w:rsid w:val="001C6B51"/>
    <w:rsid w:val="001D1996"/>
    <w:rsid w:val="001F5DBE"/>
    <w:rsid w:val="00203B81"/>
    <w:rsid w:val="00237EE9"/>
    <w:rsid w:val="002425B7"/>
    <w:rsid w:val="00264FAA"/>
    <w:rsid w:val="00265FA0"/>
    <w:rsid w:val="00286481"/>
    <w:rsid w:val="00292A7F"/>
    <w:rsid w:val="00294F9D"/>
    <w:rsid w:val="002A3F22"/>
    <w:rsid w:val="002A7B6D"/>
    <w:rsid w:val="002C318B"/>
    <w:rsid w:val="002C5BE6"/>
    <w:rsid w:val="002F0166"/>
    <w:rsid w:val="002F0FE0"/>
    <w:rsid w:val="002F6E9A"/>
    <w:rsid w:val="00313158"/>
    <w:rsid w:val="00352360"/>
    <w:rsid w:val="003538A3"/>
    <w:rsid w:val="00354CCA"/>
    <w:rsid w:val="003720F5"/>
    <w:rsid w:val="00376B71"/>
    <w:rsid w:val="00380A01"/>
    <w:rsid w:val="00391044"/>
    <w:rsid w:val="003926C5"/>
    <w:rsid w:val="003D1A17"/>
    <w:rsid w:val="003D6286"/>
    <w:rsid w:val="003E5B30"/>
    <w:rsid w:val="003F39ED"/>
    <w:rsid w:val="003F4CCC"/>
    <w:rsid w:val="00442A1B"/>
    <w:rsid w:val="00446DFA"/>
    <w:rsid w:val="0045775B"/>
    <w:rsid w:val="004771B2"/>
    <w:rsid w:val="00497622"/>
    <w:rsid w:val="004B0DBB"/>
    <w:rsid w:val="004D69EF"/>
    <w:rsid w:val="00511D83"/>
    <w:rsid w:val="00513841"/>
    <w:rsid w:val="00524A86"/>
    <w:rsid w:val="00545855"/>
    <w:rsid w:val="00550F8E"/>
    <w:rsid w:val="005529CC"/>
    <w:rsid w:val="005616B5"/>
    <w:rsid w:val="005A234A"/>
    <w:rsid w:val="005B01CC"/>
    <w:rsid w:val="005B208F"/>
    <w:rsid w:val="005D6DC0"/>
    <w:rsid w:val="005D70E9"/>
    <w:rsid w:val="005E3BBD"/>
    <w:rsid w:val="00621510"/>
    <w:rsid w:val="00621C9C"/>
    <w:rsid w:val="006615B5"/>
    <w:rsid w:val="00682D7F"/>
    <w:rsid w:val="00697FE1"/>
    <w:rsid w:val="006B3C69"/>
    <w:rsid w:val="006C2DCD"/>
    <w:rsid w:val="006C3FAC"/>
    <w:rsid w:val="006C5F08"/>
    <w:rsid w:val="006E5D83"/>
    <w:rsid w:val="006F2D46"/>
    <w:rsid w:val="00725DA5"/>
    <w:rsid w:val="0073505B"/>
    <w:rsid w:val="007429EB"/>
    <w:rsid w:val="00751B67"/>
    <w:rsid w:val="00765EA7"/>
    <w:rsid w:val="007774D0"/>
    <w:rsid w:val="007914E8"/>
    <w:rsid w:val="007918E4"/>
    <w:rsid w:val="0079594D"/>
    <w:rsid w:val="007A0B89"/>
    <w:rsid w:val="007A3104"/>
    <w:rsid w:val="007A54D2"/>
    <w:rsid w:val="007B00C5"/>
    <w:rsid w:val="007B1F43"/>
    <w:rsid w:val="007E00F5"/>
    <w:rsid w:val="007E2396"/>
    <w:rsid w:val="007E7EFF"/>
    <w:rsid w:val="007F20D9"/>
    <w:rsid w:val="007F4121"/>
    <w:rsid w:val="00811202"/>
    <w:rsid w:val="0081709E"/>
    <w:rsid w:val="00824CFD"/>
    <w:rsid w:val="00825F4C"/>
    <w:rsid w:val="00830690"/>
    <w:rsid w:val="008418F8"/>
    <w:rsid w:val="00865E55"/>
    <w:rsid w:val="008703A5"/>
    <w:rsid w:val="008766D7"/>
    <w:rsid w:val="008A794F"/>
    <w:rsid w:val="008B531F"/>
    <w:rsid w:val="008B59F4"/>
    <w:rsid w:val="008E3BCD"/>
    <w:rsid w:val="008F340A"/>
    <w:rsid w:val="008F649A"/>
    <w:rsid w:val="0090441F"/>
    <w:rsid w:val="0095798E"/>
    <w:rsid w:val="0097655A"/>
    <w:rsid w:val="00994C02"/>
    <w:rsid w:val="009A567C"/>
    <w:rsid w:val="009A78D5"/>
    <w:rsid w:val="009B00D9"/>
    <w:rsid w:val="009B4DB8"/>
    <w:rsid w:val="009C1AB6"/>
    <w:rsid w:val="009C28B2"/>
    <w:rsid w:val="009F6C31"/>
    <w:rsid w:val="00A13F4E"/>
    <w:rsid w:val="00A231AC"/>
    <w:rsid w:val="00A3235D"/>
    <w:rsid w:val="00A503E8"/>
    <w:rsid w:val="00A54F72"/>
    <w:rsid w:val="00A559D3"/>
    <w:rsid w:val="00A5737C"/>
    <w:rsid w:val="00AA3A8F"/>
    <w:rsid w:val="00AB34E8"/>
    <w:rsid w:val="00AC7153"/>
    <w:rsid w:val="00AD2FFB"/>
    <w:rsid w:val="00AD4096"/>
    <w:rsid w:val="00AD6627"/>
    <w:rsid w:val="00AE679B"/>
    <w:rsid w:val="00B14129"/>
    <w:rsid w:val="00B24FE5"/>
    <w:rsid w:val="00B30897"/>
    <w:rsid w:val="00B376A4"/>
    <w:rsid w:val="00B635E5"/>
    <w:rsid w:val="00B63848"/>
    <w:rsid w:val="00B83B6D"/>
    <w:rsid w:val="00B8675C"/>
    <w:rsid w:val="00B868C7"/>
    <w:rsid w:val="00BA77B0"/>
    <w:rsid w:val="00BB1C10"/>
    <w:rsid w:val="00BC44B8"/>
    <w:rsid w:val="00BC7E5D"/>
    <w:rsid w:val="00BD23EA"/>
    <w:rsid w:val="00BE51A1"/>
    <w:rsid w:val="00BF20B7"/>
    <w:rsid w:val="00C03B00"/>
    <w:rsid w:val="00C0485B"/>
    <w:rsid w:val="00C14382"/>
    <w:rsid w:val="00C20475"/>
    <w:rsid w:val="00C33349"/>
    <w:rsid w:val="00C42AF8"/>
    <w:rsid w:val="00C47D92"/>
    <w:rsid w:val="00C5508C"/>
    <w:rsid w:val="00C727AA"/>
    <w:rsid w:val="00C76F0E"/>
    <w:rsid w:val="00C83311"/>
    <w:rsid w:val="00C84A85"/>
    <w:rsid w:val="00CB258A"/>
    <w:rsid w:val="00CC035F"/>
    <w:rsid w:val="00CE07C9"/>
    <w:rsid w:val="00CE51E8"/>
    <w:rsid w:val="00D13BD0"/>
    <w:rsid w:val="00D22B78"/>
    <w:rsid w:val="00D37590"/>
    <w:rsid w:val="00DA06CB"/>
    <w:rsid w:val="00DD2FFF"/>
    <w:rsid w:val="00DE2124"/>
    <w:rsid w:val="00DE442D"/>
    <w:rsid w:val="00DF5C6C"/>
    <w:rsid w:val="00DF675E"/>
    <w:rsid w:val="00E2182C"/>
    <w:rsid w:val="00E43C5E"/>
    <w:rsid w:val="00E619EB"/>
    <w:rsid w:val="00E661CF"/>
    <w:rsid w:val="00E753FE"/>
    <w:rsid w:val="00E916C9"/>
    <w:rsid w:val="00EB47F0"/>
    <w:rsid w:val="00F03E1D"/>
    <w:rsid w:val="00F056FF"/>
    <w:rsid w:val="00F31138"/>
    <w:rsid w:val="00F3582B"/>
    <w:rsid w:val="00F369DC"/>
    <w:rsid w:val="00F7780F"/>
    <w:rsid w:val="00F77A2F"/>
    <w:rsid w:val="00F85613"/>
    <w:rsid w:val="00F92AFB"/>
    <w:rsid w:val="00F97968"/>
    <w:rsid w:val="00FA37D8"/>
    <w:rsid w:val="00FC0A42"/>
    <w:rsid w:val="00FD2D40"/>
    <w:rsid w:val="00FD2F20"/>
    <w:rsid w:val="00FE3B9D"/>
    <w:rsid w:val="00FF3BAC"/>
    <w:rsid w:val="2B8D0E4F"/>
    <w:rsid w:val="2D7705F8"/>
    <w:rsid w:val="2ED90511"/>
    <w:rsid w:val="4702382B"/>
    <w:rsid w:val="479C4B92"/>
    <w:rsid w:val="56D54B61"/>
    <w:rsid w:val="58B8452A"/>
    <w:rsid w:val="5DD8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b w:val="0"/>
      <w:bCs w:val="0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b w:val="0"/>
      <w:bCs w:val="0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742</Words>
  <Characters>4230</Characters>
  <Lines>35</Lines>
  <Paragraphs>9</Paragraphs>
  <TotalTime>0</TotalTime>
  <ScaleCrop>false</ScaleCrop>
  <LinksUpToDate>false</LinksUpToDate>
  <CharactersWithSpaces>4963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2020-12-28T06:17:00Z</dcterms:created>
  <dc:creator>User</dc:creator>
  <cp:lastModifiedBy>hp</cp:lastModifiedBy>
  <dcterms:modified xsi:type="dcterms:W3CDTF">2021-08-16T02:44:02Z</dcterms:modified>
  <cp:revision>436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