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lang w:eastAsia="zh-CN"/>
        </w:rPr>
      </w:pPr>
      <w:bookmarkStart w:id="0" w:name="_GoBack"/>
      <w:bookmarkEnd w:id="0"/>
      <w:r>
        <w:rPr>
          <w:rFonts w:hint="eastAsia" w:ascii="黑体" w:hAnsi="黑体" w:eastAsia="黑体" w:cs="黑体"/>
          <w:sz w:val="44"/>
          <w:szCs w:val="44"/>
          <w:lang w:eastAsia="zh-CN"/>
        </w:rPr>
        <w:t>南磨房社区服务中心公益性就业组织</w:t>
      </w:r>
    </w:p>
    <w:p>
      <w:pPr>
        <w:jc w:val="center"/>
        <w:rPr>
          <w:rFonts w:hint="eastAsia" w:ascii="黑体" w:hAnsi="黑体" w:eastAsia="黑体" w:cs="黑体"/>
          <w:sz w:val="44"/>
          <w:szCs w:val="44"/>
          <w:lang w:eastAsia="zh-CN"/>
        </w:rPr>
      </w:pPr>
      <w:r>
        <w:rPr>
          <w:rFonts w:hint="eastAsia" w:ascii="黑体" w:hAnsi="黑体" w:eastAsia="黑体" w:cs="黑体"/>
          <w:sz w:val="44"/>
          <w:szCs w:val="44"/>
          <w:lang w:eastAsia="zh-CN"/>
        </w:rPr>
        <w:t>中央直达资金绩效评价报告</w:t>
      </w:r>
    </w:p>
    <w:p>
      <w:pPr>
        <w:jc w:val="left"/>
        <w:rPr>
          <w:rFonts w:hint="eastAsia" w:ascii="仿宋" w:hAnsi="仿宋" w:eastAsia="仿宋" w:cs="仿宋"/>
          <w:sz w:val="32"/>
          <w:szCs w:val="32"/>
          <w:lang w:eastAsia="zh-CN"/>
        </w:rPr>
      </w:pPr>
    </w:p>
    <w:p>
      <w:pPr>
        <w:numPr>
          <w:ilvl w:val="0"/>
          <w:numId w:val="1"/>
        </w:numPr>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基本情况：</w:t>
      </w:r>
    </w:p>
    <w:p>
      <w:pPr>
        <w:numPr>
          <w:ilvl w:val="0"/>
          <w:numId w:val="0"/>
        </w:numPr>
        <w:ind w:firstLine="640" w:firstLineChars="200"/>
        <w:jc w:val="left"/>
        <w:rPr>
          <w:rFonts w:hint="eastAsia" w:ascii="仿宋" w:hAnsi="仿宋" w:eastAsia="仿宋" w:cs="仿宋"/>
          <w:sz w:val="32"/>
          <w:szCs w:val="32"/>
        </w:rPr>
      </w:pPr>
      <w:r>
        <w:rPr>
          <w:rFonts w:hint="eastAsia" w:ascii="仿宋" w:hAnsi="仿宋" w:eastAsia="仿宋" w:cs="仿宋"/>
          <w:sz w:val="32"/>
          <w:szCs w:val="32"/>
          <w:lang w:eastAsia="zh-CN"/>
        </w:rPr>
        <w:t>北京市南磨房社区服务中心</w:t>
      </w:r>
      <w:r>
        <w:rPr>
          <w:rFonts w:hint="eastAsia" w:ascii="仿宋" w:hAnsi="仿宋" w:eastAsia="仿宋" w:cs="仿宋"/>
          <w:sz w:val="32"/>
          <w:szCs w:val="32"/>
        </w:rPr>
        <w:t>公益性就业组织人员是由政府托底安置的城乡就业困难</w:t>
      </w:r>
      <w:r>
        <w:rPr>
          <w:rFonts w:hint="eastAsia" w:ascii="仿宋" w:hAnsi="仿宋" w:eastAsia="仿宋" w:cs="仿宋"/>
          <w:sz w:val="32"/>
          <w:szCs w:val="32"/>
          <w:lang w:eastAsia="zh-CN"/>
        </w:rPr>
        <w:t>人</w:t>
      </w:r>
      <w:r>
        <w:rPr>
          <w:rFonts w:hint="eastAsia" w:ascii="仿宋" w:hAnsi="仿宋" w:eastAsia="仿宋" w:cs="仿宋"/>
          <w:sz w:val="32"/>
          <w:szCs w:val="32"/>
        </w:rPr>
        <w:t>员</w:t>
      </w:r>
      <w:r>
        <w:rPr>
          <w:rFonts w:hint="eastAsia" w:ascii="仿宋" w:hAnsi="仿宋" w:eastAsia="仿宋" w:cs="仿宋"/>
          <w:sz w:val="32"/>
          <w:szCs w:val="32"/>
          <w:lang w:eastAsia="zh-CN"/>
        </w:rPr>
        <w:t>（“</w:t>
      </w:r>
      <w:r>
        <w:rPr>
          <w:rFonts w:hint="eastAsia" w:ascii="仿宋" w:hAnsi="仿宋" w:eastAsia="仿宋" w:cs="仿宋"/>
          <w:sz w:val="32"/>
          <w:szCs w:val="32"/>
          <w:highlight w:val="none"/>
          <w:lang w:val="en-US" w:eastAsia="zh-CN"/>
        </w:rPr>
        <w:t>4050</w:t>
      </w:r>
      <w:r>
        <w:rPr>
          <w:rFonts w:hint="eastAsia" w:ascii="仿宋" w:hAnsi="仿宋" w:eastAsia="仿宋" w:cs="仿宋"/>
          <w:sz w:val="32"/>
          <w:szCs w:val="32"/>
          <w:highlight w:val="none"/>
          <w:lang w:eastAsia="zh-CN"/>
        </w:rPr>
        <w:t>”</w:t>
      </w:r>
      <w:r>
        <w:rPr>
          <w:rFonts w:hint="eastAsia" w:ascii="仿宋" w:hAnsi="仿宋" w:eastAsia="仿宋" w:cs="仿宋"/>
          <w:sz w:val="32"/>
          <w:szCs w:val="32"/>
          <w:lang w:eastAsia="zh-CN"/>
        </w:rPr>
        <w:t>和零就业家庭），现有在职人员</w:t>
      </w:r>
      <w:r>
        <w:rPr>
          <w:rFonts w:hint="eastAsia" w:ascii="仿宋" w:hAnsi="仿宋" w:eastAsia="仿宋" w:cs="仿宋"/>
          <w:sz w:val="32"/>
          <w:szCs w:val="32"/>
          <w:lang w:val="en-US" w:eastAsia="zh-CN"/>
        </w:rPr>
        <w:t>15名；资金（</w:t>
      </w:r>
      <w:r>
        <w:rPr>
          <w:rFonts w:hint="eastAsia" w:ascii="仿宋" w:hAnsi="仿宋" w:eastAsia="仿宋" w:cs="仿宋"/>
          <w:sz w:val="32"/>
          <w:szCs w:val="32"/>
        </w:rPr>
        <w:t>岗位补贴</w:t>
      </w:r>
      <w:r>
        <w:rPr>
          <w:rFonts w:hint="eastAsia" w:ascii="仿宋" w:hAnsi="仿宋" w:eastAsia="仿宋" w:cs="仿宋"/>
          <w:sz w:val="32"/>
          <w:szCs w:val="32"/>
          <w:lang w:eastAsia="zh-CN"/>
        </w:rPr>
        <w:t>）</w:t>
      </w:r>
      <w:r>
        <w:rPr>
          <w:rFonts w:hint="eastAsia" w:ascii="仿宋" w:hAnsi="仿宋" w:eastAsia="仿宋" w:cs="仿宋"/>
          <w:sz w:val="32"/>
          <w:szCs w:val="32"/>
        </w:rPr>
        <w:t>由市、区两级财政共同按北京市上年社平工资70%拨付</w:t>
      </w:r>
      <w:r>
        <w:rPr>
          <w:rFonts w:hint="eastAsia" w:ascii="仿宋" w:hAnsi="仿宋" w:eastAsia="仿宋" w:cs="仿宋"/>
          <w:sz w:val="32"/>
          <w:szCs w:val="32"/>
          <w:lang w:eastAsia="zh-CN"/>
        </w:rPr>
        <w:t>，全部用于公益性就业组织人员各项支出。</w:t>
      </w:r>
    </w:p>
    <w:p>
      <w:pPr>
        <w:numPr>
          <w:ilvl w:val="0"/>
          <w:numId w:val="1"/>
        </w:numPr>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工作开展情况：</w:t>
      </w:r>
    </w:p>
    <w:p>
      <w:pPr>
        <w:numPr>
          <w:ilvl w:val="0"/>
          <w:numId w:val="2"/>
        </w:num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收款情况：</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9月份，区财政局将公益性就业组织区级岗位补贴（即：中央直达资金）234785元拨付到南磨房乡政府财政科账户，财政科及时通知南磨房地区社保所，社保所按照财务规定申请了此项资金，并将此项资金拨付到南磨房社区服务中心公益性就业组织账户。</w:t>
      </w:r>
    </w:p>
    <w:p>
      <w:pPr>
        <w:numPr>
          <w:ilvl w:val="0"/>
          <w:numId w:val="2"/>
        </w:num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资金使用情况：</w:t>
      </w:r>
    </w:p>
    <w:p>
      <w:pPr>
        <w:numPr>
          <w:ilvl w:val="0"/>
          <w:numId w:val="0"/>
        </w:num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南磨房社区服务中心公益性就业组织严格按照市、区公益性人员相关文件规定，将市级岗位补贴和区级岗位补贴（即：中央直达资金），全部资金用于南磨房社区服务中心公益性就业组织人员工资、保险和公积金等支出，并在规定的时间内全部使用。</w:t>
      </w:r>
    </w:p>
    <w:p>
      <w:pPr>
        <w:numPr>
          <w:ilvl w:val="0"/>
          <w:numId w:val="3"/>
        </w:numPr>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综合评价情况：</w:t>
      </w:r>
    </w:p>
    <w:p>
      <w:pPr>
        <w:numPr>
          <w:ilvl w:val="0"/>
          <w:numId w:val="0"/>
        </w:num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北京市南磨房社区服务中心公益性就业组织严格按照文件规定和朝阳区就业资金管理科相关要求，将公益性就业组织市、区岗位补贴（即：中央直达资金）设立单独账页，专款专用，专项管理，每年接受上级部门审计，全部符合规定，得到上级部门的肯定与好评。</w:t>
      </w:r>
    </w:p>
    <w:p>
      <w:pPr>
        <w:numPr>
          <w:ilvl w:val="0"/>
          <w:numId w:val="3"/>
        </w:numPr>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绩效评价指标分析</w:t>
      </w:r>
    </w:p>
    <w:p>
      <w:pPr>
        <w:numPr>
          <w:ilvl w:val="0"/>
          <w:numId w:val="4"/>
        </w:num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项目决策过程：</w:t>
      </w:r>
    </w:p>
    <w:p>
      <w:pPr>
        <w:numPr>
          <w:ilvl w:val="0"/>
          <w:numId w:val="0"/>
        </w:num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为解决本辖</w:t>
      </w:r>
      <w:r>
        <w:rPr>
          <w:rFonts w:hint="eastAsia" w:ascii="仿宋" w:hAnsi="仿宋" w:eastAsia="仿宋" w:cs="仿宋"/>
          <w:sz w:val="32"/>
          <w:szCs w:val="32"/>
          <w:highlight w:val="none"/>
          <w:lang w:val="en-US" w:eastAsia="zh-CN"/>
        </w:rPr>
        <w:t>区4050人员</w:t>
      </w:r>
      <w:r>
        <w:rPr>
          <w:rFonts w:hint="eastAsia" w:ascii="仿宋" w:hAnsi="仿宋" w:eastAsia="仿宋" w:cs="仿宋"/>
          <w:sz w:val="32"/>
          <w:szCs w:val="32"/>
          <w:lang w:val="en-US" w:eastAsia="zh-CN"/>
        </w:rPr>
        <w:t>和零就业家庭的就业困难，根据中央直达资金用于就业援助工作的规范要求，合理制定绩效评价指标。</w:t>
      </w:r>
    </w:p>
    <w:p>
      <w:pPr>
        <w:numPr>
          <w:ilvl w:val="0"/>
          <w:numId w:val="4"/>
        </w:num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项目过程情况：</w:t>
      </w:r>
    </w:p>
    <w:p>
      <w:pPr>
        <w:numPr>
          <w:ilvl w:val="0"/>
          <w:numId w:val="0"/>
        </w:num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根据每月公益性人员数量、出勤及工作情况，将中央直达资金，按月度及时进行发放。项目开展中，专款专用，严格按照规定要求进行操作。</w:t>
      </w:r>
    </w:p>
    <w:p>
      <w:pPr>
        <w:numPr>
          <w:ilvl w:val="0"/>
          <w:numId w:val="4"/>
        </w:num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项目产出情况：</w:t>
      </w:r>
    </w:p>
    <w:p>
      <w:pPr>
        <w:numPr>
          <w:ilvl w:val="0"/>
          <w:numId w:val="0"/>
        </w:num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2020年9月由区财政局拨付的中央直达资金234785元，全部用于公益性就业组织区级的岗位补贴。</w:t>
      </w:r>
    </w:p>
    <w:p>
      <w:pPr>
        <w:numPr>
          <w:ilvl w:val="0"/>
          <w:numId w:val="4"/>
        </w:num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项目效益情况：</w:t>
      </w:r>
    </w:p>
    <w:p>
      <w:pPr>
        <w:numPr>
          <w:ilvl w:val="0"/>
          <w:numId w:val="0"/>
        </w:numPr>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对于现期安置的就业困难人员进行了有效的帮扶，保障了困难人员的就业。中央直达资金全部用于公益性就业组织人员的工资、保险及公积金，有效提升了困难人员的收入。</w:t>
      </w:r>
    </w:p>
    <w:p>
      <w:pPr>
        <w:numPr>
          <w:ilvl w:val="0"/>
          <w:numId w:val="3"/>
        </w:numPr>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主要经验及做法、存在的问题及原因分析</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numPr>
          <w:ilvl w:val="0"/>
          <w:numId w:val="3"/>
        </w:numPr>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有关建议</w:t>
      </w:r>
    </w:p>
    <w:p>
      <w:pPr>
        <w:numPr>
          <w:ilvl w:val="0"/>
          <w:numId w:val="0"/>
        </w:numPr>
        <w:ind w:firstLine="640" w:firstLineChars="200"/>
        <w:jc w:val="left"/>
        <w:rPr>
          <w:rFonts w:hint="eastAsia" w:ascii="仿宋" w:hAnsi="仿宋" w:eastAsia="仿宋" w:cs="仿宋"/>
          <w:b/>
          <w:bCs/>
          <w:sz w:val="32"/>
          <w:szCs w:val="32"/>
          <w:lang w:val="en-US" w:eastAsia="zh-CN"/>
        </w:rPr>
      </w:pPr>
      <w:r>
        <w:rPr>
          <w:rFonts w:hint="eastAsia" w:ascii="仿宋" w:hAnsi="仿宋" w:eastAsia="仿宋" w:cs="仿宋"/>
          <w:sz w:val="32"/>
          <w:szCs w:val="32"/>
          <w:lang w:val="en-US" w:eastAsia="zh-CN"/>
        </w:rPr>
        <w:t>无。</w:t>
      </w:r>
    </w:p>
    <w:p>
      <w:pPr>
        <w:numPr>
          <w:ilvl w:val="0"/>
          <w:numId w:val="3"/>
        </w:numPr>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其他需要说明的问题</w:t>
      </w:r>
    </w:p>
    <w:p>
      <w:pPr>
        <w:numPr>
          <w:ilvl w:val="0"/>
          <w:numId w:val="0"/>
        </w:numPr>
        <w:ind w:firstLine="640" w:firstLineChars="200"/>
        <w:jc w:val="left"/>
        <w:rPr>
          <w:rFonts w:hint="eastAsia" w:ascii="仿宋" w:hAnsi="仿宋" w:eastAsia="仿宋" w:cs="仿宋"/>
          <w:b/>
          <w:bCs/>
          <w:sz w:val="32"/>
          <w:szCs w:val="32"/>
          <w:lang w:val="en-US" w:eastAsia="zh-CN"/>
        </w:rPr>
      </w:pPr>
      <w:r>
        <w:rPr>
          <w:rFonts w:hint="eastAsia" w:ascii="仿宋" w:hAnsi="仿宋" w:eastAsia="仿宋" w:cs="仿宋"/>
          <w:sz w:val="32"/>
          <w:szCs w:val="32"/>
          <w:lang w:val="en-US" w:eastAsia="zh-CN"/>
        </w:rPr>
        <w:t>无。</w:t>
      </w:r>
    </w:p>
    <w:p>
      <w:pPr>
        <w:numPr>
          <w:ilvl w:val="0"/>
          <w:numId w:val="3"/>
        </w:numPr>
        <w:jc w:val="left"/>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项目支出绩效评价评分表</w:t>
      </w:r>
    </w:p>
    <w:p>
      <w:pPr>
        <w:numPr>
          <w:ilvl w:val="0"/>
          <w:numId w:val="0"/>
        </w:numPr>
        <w:ind w:firstLine="640" w:firstLineChars="200"/>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Pr>
        <w:numPr>
          <w:ilvl w:val="0"/>
          <w:numId w:val="0"/>
        </w:numPr>
        <w:ind w:firstLine="640" w:firstLineChars="200"/>
        <w:jc w:val="left"/>
        <w:rPr>
          <w:rFonts w:hint="eastAsia" w:ascii="仿宋" w:hAnsi="仿宋" w:eastAsia="仿宋" w:cs="仿宋"/>
          <w:sz w:val="32"/>
          <w:szCs w:val="32"/>
          <w:lang w:val="en-US" w:eastAsia="zh-CN"/>
        </w:rPr>
      </w:pPr>
    </w:p>
    <w:p>
      <w:pPr>
        <w:tabs>
          <w:tab w:val="left" w:pos="4662"/>
        </w:tabs>
        <w:jc w:val="left"/>
        <w:rPr>
          <w:rFonts w:hint="eastAsia" w:ascii="仿宋" w:hAnsi="仿宋" w:eastAsia="仿宋" w:cs="仿宋"/>
          <w:sz w:val="32"/>
          <w:szCs w:val="32"/>
          <w:lang w:val="en-US" w:eastAsia="zh-CN"/>
        </w:rPr>
      </w:pPr>
      <w:r>
        <w:rPr>
          <w:rFonts w:hint="eastAsia"/>
          <w:lang w:val="en-US" w:eastAsia="zh-CN"/>
        </w:rPr>
        <w:t xml:space="preserve">                                  </w:t>
      </w:r>
      <w:r>
        <w:rPr>
          <w:rFonts w:hint="eastAsia" w:ascii="仿宋" w:hAnsi="仿宋" w:eastAsia="仿宋" w:cs="仿宋"/>
          <w:sz w:val="32"/>
          <w:szCs w:val="32"/>
          <w:lang w:val="en-US" w:eastAsia="zh-CN"/>
        </w:rPr>
        <w:t xml:space="preserve">  北京市南磨房社区服务中心</w:t>
      </w:r>
    </w:p>
    <w:p>
      <w:pPr>
        <w:tabs>
          <w:tab w:val="left" w:pos="4662"/>
        </w:tabs>
        <w:jc w:val="left"/>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2021年3月3日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D6883"/>
    <w:multiLevelType w:val="singleLevel"/>
    <w:tmpl w:val="5FED6883"/>
    <w:lvl w:ilvl="0" w:tentative="0">
      <w:start w:val="1"/>
      <w:numFmt w:val="chineseCounting"/>
      <w:suff w:val="nothing"/>
      <w:lvlText w:val="%1、"/>
      <w:lvlJc w:val="left"/>
    </w:lvl>
  </w:abstractNum>
  <w:abstractNum w:abstractNumId="1">
    <w:nsid w:val="5FED725B"/>
    <w:multiLevelType w:val="singleLevel"/>
    <w:tmpl w:val="5FED725B"/>
    <w:lvl w:ilvl="0" w:tentative="0">
      <w:start w:val="1"/>
      <w:numFmt w:val="decimal"/>
      <w:suff w:val="nothing"/>
      <w:lvlText w:val="%1、"/>
      <w:lvlJc w:val="left"/>
    </w:lvl>
  </w:abstractNum>
  <w:abstractNum w:abstractNumId="2">
    <w:nsid w:val="5FED86D8"/>
    <w:multiLevelType w:val="singleLevel"/>
    <w:tmpl w:val="5FED86D8"/>
    <w:lvl w:ilvl="0" w:tentative="0">
      <w:start w:val="3"/>
      <w:numFmt w:val="chineseCounting"/>
      <w:suff w:val="nothing"/>
      <w:lvlText w:val="%1、"/>
      <w:lvlJc w:val="left"/>
    </w:lvl>
  </w:abstractNum>
  <w:abstractNum w:abstractNumId="3">
    <w:nsid w:val="603EDB9B"/>
    <w:multiLevelType w:val="singleLevel"/>
    <w:tmpl w:val="603EDB9B"/>
    <w:lvl w:ilvl="0" w:tentative="0">
      <w:start w:val="1"/>
      <w:numFmt w:val="decimal"/>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C62123"/>
    <w:rsid w:val="020B7E20"/>
    <w:rsid w:val="055C7D51"/>
    <w:rsid w:val="0BE564A1"/>
    <w:rsid w:val="0E481D22"/>
    <w:rsid w:val="16754A23"/>
    <w:rsid w:val="1DD756EA"/>
    <w:rsid w:val="20F01E65"/>
    <w:rsid w:val="2464018B"/>
    <w:rsid w:val="33122B23"/>
    <w:rsid w:val="353458B2"/>
    <w:rsid w:val="386E123D"/>
    <w:rsid w:val="45203634"/>
    <w:rsid w:val="49C62123"/>
    <w:rsid w:val="504B13E1"/>
    <w:rsid w:val="523021A2"/>
    <w:rsid w:val="52D14303"/>
    <w:rsid w:val="556C00A6"/>
    <w:rsid w:val="55D056E3"/>
    <w:rsid w:val="691A5CE4"/>
    <w:rsid w:val="70195647"/>
    <w:rsid w:val="71E766C2"/>
    <w:rsid w:val="7ADC151D"/>
    <w:rsid w:val="7BC84419"/>
    <w:rsid w:val="7D3D25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Office_10.8.0.6308_F1E327BC-269C-435d-A152-05C5408002CA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2020-12-29T01:49:00Z</dcterms:created>
  <dc:creator>NMF</dc:creator>
  <cp:lastModifiedBy>hp</cp:lastModifiedBy>
  <cp:lastPrinted>2021-03-05T06:10:00Z</cp:lastPrinted>
  <dcterms:modified xsi:type="dcterms:W3CDTF">2021-08-16T02:45:09Z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