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9"/>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17"/>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17"/>
        <w:rPr>
          <w:rFonts w:hint="eastAsia"/>
          <w:color w:val="auto"/>
          <w:highlight w:val="none"/>
        </w:rPr>
      </w:pPr>
    </w:p>
    <w:tbl>
      <w:tblPr>
        <w:tblStyle w:val="29"/>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6"/>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6"/>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17"/>
              <w:spacing w:after="0" w:line="230" w:lineRule="exact"/>
              <w:ind w:firstLine="300"/>
              <w:rPr>
                <w:rFonts w:cs="宋体" w:asciiTheme="minorEastAsia" w:hAnsiTheme="minorEastAsia" w:eastAsiaTheme="minorEastAsia"/>
                <w:color w:val="auto"/>
                <w:kern w:val="0"/>
                <w:sz w:val="15"/>
                <w:szCs w:val="15"/>
                <w:highlight w:val="none"/>
              </w:rPr>
            </w:pPr>
          </w:p>
          <w:p>
            <w:pPr>
              <w:pStyle w:val="17"/>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9"/>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17"/>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9"/>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17"/>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9"/>
              <w:rPr>
                <w:rFonts w:hint="eastAsia" w:asciiTheme="minorEastAsia" w:hAnsiTheme="minorEastAsia" w:eastAsiaTheme="minorEastAsia"/>
                <w:color w:val="auto"/>
                <w:sz w:val="15"/>
                <w:szCs w:val="15"/>
                <w:highlight w:val="none"/>
                <w:lang w:eastAsia="zh-CN"/>
              </w:rPr>
            </w:pPr>
          </w:p>
          <w:p>
            <w:pPr>
              <w:pStyle w:val="10"/>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9"/>
              <w:rPr>
                <w:rFonts w:hint="eastAsia"/>
                <w:color w:val="auto"/>
                <w:highlight w:val="none"/>
                <w:lang w:eastAsia="zh-CN"/>
              </w:rPr>
            </w:pPr>
          </w:p>
          <w:p>
            <w:pPr>
              <w:pStyle w:val="9"/>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9"/>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6"/>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9"/>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17"/>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9"/>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9"/>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9"/>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17"/>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w:t>
            </w:r>
            <w:r>
              <w:rPr>
                <w:rFonts w:hint="eastAsia" w:cs="宋体" w:asciiTheme="minorEastAsia" w:hAnsiTheme="minorEastAsia" w:eastAsiaTheme="minorEastAsia"/>
                <w:color w:val="auto"/>
                <w:kern w:val="0"/>
                <w:sz w:val="15"/>
                <w:szCs w:val="15"/>
                <w:highlight w:val="none"/>
                <w:lang w:eastAsia="zh-CN"/>
              </w:rPr>
              <w:t>泄漏</w:t>
            </w:r>
            <w:bookmarkStart w:id="220" w:name="_GoBack"/>
            <w:bookmarkEnd w:id="220"/>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9"/>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6"/>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6"/>
              <w:rPr>
                <w:rFonts w:hint="eastAsia" w:asciiTheme="minorEastAsia" w:hAnsiTheme="minorEastAsia" w:eastAsiaTheme="minorEastAsia" w:cstheme="minorEastAsia"/>
                <w:color w:val="auto"/>
                <w:spacing w:val="-4"/>
                <w:sz w:val="15"/>
                <w:szCs w:val="15"/>
                <w:highlight w:val="none"/>
                <w:lang w:val="en-US" w:eastAsia="zh-CN"/>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continue"/>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9"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5"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2"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5"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8"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6"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2"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ascii="宋体" w:hAnsi="宋体" w:eastAsia="宋体"/>
                <w:color w:val="auto"/>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56"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vAlign w:val="center"/>
          </w:tcPr>
          <w:p>
            <w:pPr>
              <w:spacing w:line="232" w:lineRule="exact"/>
              <w:jc w:val="center"/>
              <w:rPr>
                <w:rFonts w:ascii="宋体" w:hAnsi="宋体" w:eastAsia="宋体" w:cs="宋体"/>
                <w:color w:val="auto"/>
                <w:kern w:val="0"/>
                <w:sz w:val="15"/>
                <w:szCs w:val="15"/>
                <w:highlight w:val="none"/>
              </w:rPr>
            </w:pP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ascii="宋体" w:hAnsi="宋体" w:eastAsia="宋体" w:cs="宋体"/>
                <w:color w:val="auto"/>
                <w:kern w:val="0"/>
                <w:sz w:val="15"/>
                <w:szCs w:val="15"/>
                <w:highlight w:val="none"/>
              </w:rPr>
            </w:pPr>
          </w:p>
        </w:tc>
        <w:tc>
          <w:tcPr>
            <w:tcW w:w="2385" w:type="dxa"/>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continue"/>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ascii="宋体" w:hAnsi="宋体" w:eastAsia="宋体" w:cs="宋体"/>
                <w:color w:val="auto"/>
                <w:kern w:val="0"/>
                <w:sz w:val="15"/>
                <w:szCs w:val="15"/>
                <w:highlight w:val="none"/>
              </w:rPr>
            </w:pPr>
          </w:p>
        </w:tc>
        <w:tc>
          <w:tcPr>
            <w:tcW w:w="840" w:type="dxa"/>
            <w:vAlign w:val="center"/>
          </w:tcPr>
          <w:p>
            <w:pPr>
              <w:spacing w:line="232" w:lineRule="exact"/>
              <w:jc w:val="center"/>
              <w:rPr>
                <w:rFonts w:ascii="宋体" w:hAnsi="宋体" w:eastAsia="宋体" w:cs="宋体"/>
                <w:color w:val="auto"/>
                <w:kern w:val="0"/>
                <w:sz w:val="15"/>
                <w:szCs w:val="15"/>
                <w:highlight w:val="none"/>
              </w:rPr>
            </w:pP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ascii="宋体" w:hAnsi="宋体" w:eastAsia="宋体" w:cs="宋体"/>
                <w:color w:val="auto"/>
                <w:kern w:val="0"/>
                <w:sz w:val="15"/>
                <w:szCs w:val="15"/>
                <w:highlight w:val="none"/>
              </w:rPr>
            </w:pPr>
          </w:p>
        </w:tc>
        <w:tc>
          <w:tcPr>
            <w:tcW w:w="23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continue"/>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p>
        </w:tc>
        <w:tc>
          <w:tcPr>
            <w:tcW w:w="23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continue"/>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14218" w:type="dxa"/>
            <w:gridSpan w:val="9"/>
            <w:vAlign w:val="center"/>
          </w:tcPr>
          <w:p>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33"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0"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pStyle w:val="6"/>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17"/>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9"/>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Start w:id="196" w:name="_Toc63324556"/>
            <w:bookmarkStart w:id="197" w:name="_Toc110851498"/>
            <w:bookmarkEnd w:id="193"/>
            <w:bookmarkEnd w:id="194"/>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17"/>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pPr/>
    </w:p>
    <w:tbl>
      <w:tblPr>
        <w:tblStyle w:val="29"/>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2" w:hRule="atLeast"/>
        </w:trPr>
        <w:tc>
          <w:tcPr>
            <w:tcW w:w="14329" w:type="dxa"/>
            <w:gridSpan w:val="15"/>
            <w:vAlign w:val="center"/>
          </w:tcPr>
          <w:p>
            <w:pPr>
              <w:pStyle w:val="2"/>
              <w:bidi w:val="0"/>
              <w:rPr>
                <w:rFonts w:hint="eastAsia"/>
                <w:sz w:val="21"/>
                <w:szCs w:val="21"/>
              </w:rPr>
            </w:pPr>
            <w:bookmarkStart w:id="200" w:name="_Toc1437339030"/>
            <w:bookmarkStart w:id="201" w:name="_Toc1953583257"/>
            <w:bookmarkStart w:id="202" w:name="_Toc243115343"/>
            <w:bookmarkStart w:id="203" w:name="_Toc110851502"/>
            <w:bookmarkStart w:id="204" w:name="_Toc341845612"/>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4"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0"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17"/>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17"/>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3" w:hRule="atLeast"/>
        </w:trPr>
        <w:tc>
          <w:tcPr>
            <w:tcW w:w="14329" w:type="dxa"/>
            <w:gridSpan w:val="15"/>
            <w:vAlign w:val="center"/>
          </w:tcPr>
          <w:p>
            <w:pPr>
              <w:pStyle w:val="2"/>
              <w:bidi w:val="0"/>
              <w:rPr>
                <w:rFonts w:hint="eastAsia"/>
                <w:sz w:val="21"/>
                <w:szCs w:val="21"/>
              </w:rPr>
            </w:pPr>
            <w:bookmarkStart w:id="205" w:name="_Toc1884371412"/>
            <w:bookmarkStart w:id="206" w:name="_Toc1642327804"/>
            <w:bookmarkStart w:id="207" w:name="_Toc110851503"/>
            <w:bookmarkStart w:id="208" w:name="_Toc1112894806"/>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28"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40"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4"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08"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6"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1"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vAlign w:val="center"/>
          </w:tcPr>
          <w:p>
            <w:pPr>
              <w:pStyle w:val="17"/>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shd w:val="clear" w:color="auto" w:fill="auto"/>
            <w:vAlign w:val="center"/>
          </w:tcPr>
          <w:p>
            <w:pPr>
              <w:spacing w:line="232" w:lineRule="exact"/>
              <w:jc w:val="center"/>
              <w:rPr>
                <w:rFonts w:hint="default" w:ascii="宋体" w:hAnsi="宋体" w:eastAsia="宋体" w:cs="仿宋_GB2312"/>
                <w:kern w:val="0"/>
                <w:sz w:val="15"/>
                <w:szCs w:val="15"/>
                <w:lang w:val="en-US" w:eastAsia="zh-CN" w:bidi="ar-SA"/>
              </w:rPr>
            </w:pPr>
            <w:bookmarkStart w:id="209" w:name="_Toc473764242"/>
            <w:bookmarkStart w:id="210" w:name="_Toc110851504"/>
            <w:bookmarkStart w:id="211" w:name="_Toc1290044525"/>
            <w:r>
              <w:rPr>
                <w:rFonts w:hint="default" w:ascii="宋体" w:hAnsi="宋体" w:eastAsia="宋体" w:cs="仿宋_GB2312"/>
                <w:kern w:val="0"/>
                <w:sz w:val="15"/>
                <w:szCs w:val="15"/>
                <w:lang w:val="en-US"/>
              </w:rPr>
              <w:t>20</w:t>
            </w:r>
          </w:p>
        </w:tc>
        <w:tc>
          <w:tcPr>
            <w:tcW w:w="1500" w:type="dxa"/>
            <w:gridSpan w:val="2"/>
            <w:shd w:val="clear" w:color="auto" w:fill="auto"/>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17"/>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17"/>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17"/>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5" w:hRule="atLeast"/>
        </w:trPr>
        <w:tc>
          <w:tcPr>
            <w:tcW w:w="14329" w:type="dxa"/>
            <w:gridSpan w:val="15"/>
            <w:vAlign w:val="center"/>
          </w:tcPr>
          <w:p>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vAlign w:val="center"/>
          </w:tcPr>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trPr>
        <w:tc>
          <w:tcPr>
            <w:tcW w:w="14329" w:type="dxa"/>
            <w:gridSpan w:val="15"/>
            <w:vAlign w:val="center"/>
          </w:tcPr>
          <w:p>
            <w:pPr>
              <w:pStyle w:val="2"/>
              <w:bidi w:val="0"/>
              <w:rPr>
                <w:rFonts w:hint="eastAsia"/>
                <w:sz w:val="21"/>
                <w:szCs w:val="21"/>
              </w:rPr>
            </w:pPr>
            <w:bookmarkStart w:id="213" w:name="_Toc2011773058"/>
            <w:bookmarkStart w:id="214" w:name="_Toc1956716489"/>
            <w:bookmarkStart w:id="215" w:name="_Toc110851505"/>
            <w:bookmarkStart w:id="216" w:name="_Toc589852508"/>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9" w:hRule="atLeast"/>
        </w:trPr>
        <w:tc>
          <w:tcPr>
            <w:tcW w:w="14329" w:type="dxa"/>
            <w:gridSpan w:val="15"/>
            <w:vAlign w:val="center"/>
          </w:tcPr>
          <w:p>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0" w:hRule="atLeast"/>
        </w:trPr>
        <w:tc>
          <w:tcPr>
            <w:tcW w:w="14329" w:type="dxa"/>
            <w:gridSpan w:val="15"/>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pPr>
        <w:pStyle w:val="9"/>
      </w:pPr>
    </w:p>
    <w:p>
      <w:pPr>
        <w:pStyle w:val="17"/>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书宋_GBK">
    <w:altName w:val="Arial Unicode MS"/>
    <w:panose1 w:val="02000000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decorative"/>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Tahoma">
    <w:panose1 w:val="020B0604030504040204"/>
    <w:charset w:val="00"/>
    <w:family w:val="decorative"/>
    <w:pitch w:val="default"/>
    <w:sig w:usb0="E1002EFF" w:usb1="C000605B" w:usb2="00000029" w:usb3="00000000" w:csb0="200101FF" w:csb1="20280000"/>
  </w:font>
  <w:font w:name="Batang">
    <w:panose1 w:val="02030600000101010101"/>
    <w:charset w:val="81"/>
    <w:family w:val="modern"/>
    <w:pitch w:val="default"/>
    <w:sig w:usb0="B00002AF" w:usb1="69D77CFB" w:usb2="00000030" w:usb3="00000000" w:csb0="4008009F" w:csb1="DFD70000"/>
  </w:font>
  <w:font w:name="Microsoft JhengHei">
    <w:panose1 w:val="020B0604030504040204"/>
    <w:charset w:val="88"/>
    <w:family w:val="decorative"/>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Noto Sans CJK JP Bold">
    <w:altName w:val="宋体"/>
    <w:panose1 w:val="020B0800000000000000"/>
    <w:charset w:val="86"/>
    <w:family w:val="auto"/>
    <w:pitch w:val="default"/>
    <w:sig w:usb0="00000000" w:usb1="00000000" w:usb2="00000016" w:usb3="00000000" w:csb0="602E0107"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55872511">
    <w:nsid w:val="DFDE10FF"/>
    <w:multiLevelType w:val="singleLevel"/>
    <w:tmpl w:val="DFDE10FF"/>
    <w:lvl w:ilvl="0" w:tentative="1">
      <w:start w:val="1"/>
      <w:numFmt w:val="decimal"/>
      <w:suff w:val="space"/>
      <w:lvlText w:val="%1."/>
      <w:lvlJc w:val="left"/>
    </w:lvl>
  </w:abstractNum>
  <w:abstractNum w:abstractNumId="4026410877">
    <w:nsid w:val="EFFE277D"/>
    <w:multiLevelType w:val="singleLevel"/>
    <w:tmpl w:val="EFFE277D"/>
    <w:lvl w:ilvl="0" w:tentative="1">
      <w:start w:val="1"/>
      <w:numFmt w:val="decimal"/>
      <w:suff w:val="space"/>
      <w:lvlText w:val="%1."/>
      <w:lvlJc w:val="left"/>
    </w:lvl>
  </w:abstractNum>
  <w:abstractNum w:abstractNumId="4275759068">
    <w:nsid w:val="FEDAE7DC"/>
    <w:multiLevelType w:val="singleLevel"/>
    <w:tmpl w:val="FEDAE7DC"/>
    <w:lvl w:ilvl="0" w:tentative="1">
      <w:start w:val="1"/>
      <w:numFmt w:val="decimal"/>
      <w:suff w:val="space"/>
      <w:lvlText w:val="%1."/>
      <w:lvlJc w:val="left"/>
    </w:lvl>
  </w:abstractNum>
  <w:abstractNum w:abstractNumId="1810775096">
    <w:nsid w:val="6BEE3C38"/>
    <w:multiLevelType w:val="singleLevel"/>
    <w:tmpl w:val="6BEE3C38"/>
    <w:lvl w:ilvl="0" w:tentative="1">
      <w:start w:val="1"/>
      <w:numFmt w:val="decimal"/>
      <w:suff w:val="space"/>
      <w:lvlText w:val="%1."/>
      <w:lvlJc w:val="left"/>
    </w:lvl>
  </w:abstractNum>
  <w:abstractNum w:abstractNumId="3204928722">
    <w:nsid w:val="BF0754D2"/>
    <w:multiLevelType w:val="singleLevel"/>
    <w:tmpl w:val="BF0754D2"/>
    <w:lvl w:ilvl="0" w:tentative="1">
      <w:start w:val="1"/>
      <w:numFmt w:val="decimal"/>
      <w:suff w:val="space"/>
      <w:lvlText w:val="%1."/>
      <w:lvlJc w:val="left"/>
    </w:lvl>
  </w:abstractNum>
  <w:abstractNum w:abstractNumId="3086303868">
    <w:nsid w:val="B7F5427C"/>
    <w:multiLevelType w:val="singleLevel"/>
    <w:tmpl w:val="B7F5427C"/>
    <w:lvl w:ilvl="0" w:tentative="1">
      <w:start w:val="1"/>
      <w:numFmt w:val="decimal"/>
      <w:suff w:val="space"/>
      <w:lvlText w:val="%1."/>
      <w:lvlJc w:val="left"/>
    </w:lvl>
  </w:abstractNum>
  <w:abstractNum w:abstractNumId="2245914506">
    <w:nsid w:val="85DDEF8A"/>
    <w:multiLevelType w:val="singleLevel"/>
    <w:tmpl w:val="85DDEF8A"/>
    <w:lvl w:ilvl="0" w:tentative="1">
      <w:start w:val="1"/>
      <w:numFmt w:val="decimal"/>
      <w:suff w:val="space"/>
      <w:lvlText w:val="%1."/>
      <w:lvlJc w:val="left"/>
    </w:lvl>
  </w:abstractNum>
  <w:num w:numId="1">
    <w:abstractNumId w:val="3755872511"/>
  </w:num>
  <w:num w:numId="2">
    <w:abstractNumId w:val="4026410877"/>
  </w:num>
  <w:num w:numId="3">
    <w:abstractNumId w:val="4275759068"/>
  </w:num>
  <w:num w:numId="4">
    <w:abstractNumId w:val="1810775096"/>
  </w:num>
  <w:num w:numId="5">
    <w:abstractNumId w:val="3204928722"/>
  </w:num>
  <w:num w:numId="6">
    <w:abstractNumId w:val="3086303868"/>
  </w:num>
  <w:num w:numId="7">
    <w:abstractNumId w:val="22459145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24343C"/>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0"/>
    <w:qFormat/>
    <w:uiPriority w:val="0"/>
    <w:rPr>
      <w:b/>
      <w:bCs/>
    </w:rPr>
  </w:style>
  <w:style w:type="paragraph" w:styleId="6">
    <w:name w:val="annotation text"/>
    <w:basedOn w:val="1"/>
    <w:link w:val="33"/>
    <w:qFormat/>
    <w:uiPriority w:val="0"/>
    <w:pPr>
      <w:jc w:val="left"/>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Body Text"/>
    <w:basedOn w:val="1"/>
    <w:next w:val="10"/>
    <w:qFormat/>
    <w:uiPriority w:val="0"/>
    <w:rPr>
      <w:rFonts w:ascii="仿宋_GB2312" w:eastAsia="仿宋_GB2312"/>
      <w:sz w:val="30"/>
      <w:szCs w:val="20"/>
    </w:rPr>
  </w:style>
  <w:style w:type="paragraph" w:customStyle="1" w:styleId="10">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黑体" w:eastAsia="仿宋_GB2312"/>
      <w:sz w:val="32"/>
      <w:szCs w:val="20"/>
    </w:rPr>
  </w:style>
  <w:style w:type="paragraph" w:styleId="15">
    <w:name w:val="Balloon Text"/>
    <w:basedOn w:val="1"/>
    <w:link w:val="59"/>
    <w:qFormat/>
    <w:uiPriority w:val="0"/>
    <w:rPr>
      <w:sz w:val="18"/>
      <w:szCs w:val="18"/>
    </w:rPr>
  </w:style>
  <w:style w:type="paragraph" w:styleId="16">
    <w:name w:val="footer"/>
    <w:basedOn w:val="1"/>
    <w:link w:val="30"/>
    <w:qFormat/>
    <w:uiPriority w:val="0"/>
    <w:pPr>
      <w:tabs>
        <w:tab w:val="center" w:pos="4153"/>
        <w:tab w:val="right" w:pos="8306"/>
      </w:tabs>
      <w:snapToGrid w:val="0"/>
      <w:jc w:val="left"/>
    </w:pPr>
    <w:rPr>
      <w:sz w:val="18"/>
      <w:szCs w:val="18"/>
    </w:rPr>
  </w:style>
  <w:style w:type="paragraph" w:styleId="17">
    <w:name w:val="Body Text First Indent 2"/>
    <w:basedOn w:val="11"/>
    <w:unhideWhenUsed/>
    <w:qFormat/>
    <w:uiPriority w:val="99"/>
    <w:pPr>
      <w:ind w:firstLine="420" w:firstLineChars="200"/>
    </w:pPr>
  </w:style>
  <w:style w:type="paragraph" w:styleId="18">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59" w:lineRule="auto"/>
      <w:jc w:val="left"/>
    </w:pPr>
    <w:rPr>
      <w:rFonts w:ascii="Calibri" w:hAnsi="Calibri"/>
      <w:kern w:val="0"/>
      <w:sz w:val="22"/>
      <w:szCs w:val="22"/>
    </w:r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2">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30">
    <w:name w:val="页脚 字符"/>
    <w:link w:val="16"/>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6"/>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5"/>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8"/>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5"/>
    <w:qFormat/>
    <w:uiPriority w:val="0"/>
    <w:rPr>
      <w:kern w:val="2"/>
      <w:sz w:val="18"/>
      <w:szCs w:val="18"/>
    </w:rPr>
  </w:style>
  <w:style w:type="paragraph" w:customStyle="1" w:styleId="60">
    <w:name w:val="列出段落1"/>
    <w:basedOn w:val="1"/>
    <w:qFormat/>
    <w:uiPriority w:val="0"/>
    <w:pPr>
      <w:ind w:firstLine="420" w:firstLineChars="200"/>
    </w:pPr>
  </w:style>
  <w:style w:type="paragraph" w:customStyle="1" w:styleId="61">
    <w:name w:val="List Paragraph"/>
    <w:basedOn w:val="1"/>
    <w:qFormat/>
    <w:uiPriority w:val="99"/>
    <w:pPr>
      <w:ind w:firstLine="420" w:firstLineChars="200"/>
    </w:pPr>
  </w:style>
  <w:style w:type="character" w:customStyle="1" w:styleId="62">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ScaleCrop>false</ScaleCrop>
  <LinksUpToDate>false</LinksUpToDate>
  <CharactersWithSpaces>134862</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windows</cp:lastModifiedBy>
  <cp:lastPrinted>2024-09-07T23:37:00Z</cp:lastPrinted>
  <dcterms:modified xsi:type="dcterms:W3CDTF">2025-05-06T07:31:50Z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124BE05945A608BAC113EA6786105068_43</vt:lpwstr>
  </property>
</Properties>
</file>