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7A041">
      <w:pPr>
        <w:keepNext w:val="0"/>
        <w:keepLines w:val="0"/>
        <w:pageBreakBefore w:val="0"/>
        <w:kinsoku/>
        <w:wordWrap/>
        <w:overflowPunct/>
        <w:topLinePunct w:val="0"/>
        <w:autoSpaceDE/>
        <w:autoSpaceDN/>
        <w:bidi w:val="0"/>
        <w:adjustRightInd/>
        <w:snapToGrid/>
        <w:spacing w:line="560" w:lineRule="exact"/>
        <w:ind w:right="0" w:rightChars="0"/>
        <w:textAlignment w:val="auto"/>
        <w:rPr>
          <w:rFonts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1</w:t>
      </w:r>
    </w:p>
    <w:p w14:paraId="631F74C6">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ascii="方正小标宋简体" w:eastAsia="方正小标宋简体"/>
          <w:sz w:val="36"/>
          <w:szCs w:val="36"/>
        </w:rPr>
      </w:pPr>
      <w:r>
        <w:rPr>
          <w:rFonts w:hint="eastAsia" w:ascii="方正小标宋简体" w:eastAsia="方正小标宋简体"/>
          <w:sz w:val="36"/>
          <w:szCs w:val="36"/>
        </w:rPr>
        <w:t>部门整体绩效评价报告</w:t>
      </w:r>
    </w:p>
    <w:p w14:paraId="68D7F547">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ascii="仿宋_GB2312"/>
          <w:szCs w:val="30"/>
        </w:rPr>
      </w:pPr>
    </w:p>
    <w:p w14:paraId="2378C245">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31EC79D4">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（一）机构设置及职责工作任务情况</w:t>
      </w:r>
    </w:p>
    <w:p w14:paraId="79DFD747">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根据中共北京市委机构编制委员会印发的《关于本市乡镇机构改革的指导意见》和中共北京市朝阳区委机构编制委员会印发的《北京市朝阳区乡（地区）机构改革实施方案》有关精神，</w:t>
      </w:r>
      <w:r>
        <w:rPr>
          <w:rFonts w:hint="default" w:ascii="Times New Roman" w:hAnsi="Times New Roman" w:eastAsia="仿宋_GB2312" w:cs="Times New Roman"/>
          <w:color w:val="000000"/>
          <w:kern w:val="0"/>
          <w:sz w:val="32"/>
          <w:szCs w:val="32"/>
          <w:lang w:eastAsia="zh-CN"/>
        </w:rPr>
        <w:t>根据</w:t>
      </w:r>
      <w:r>
        <w:rPr>
          <w:rFonts w:hint="default" w:ascii="Times New Roman" w:hAnsi="Times New Roman" w:eastAsia="仿宋_GB2312" w:cs="Times New Roman"/>
          <w:color w:val="000000"/>
          <w:kern w:val="0"/>
          <w:sz w:val="32"/>
          <w:szCs w:val="32"/>
        </w:rPr>
        <w:t>中共北京市朝阳区委办公室</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北京市朝阳区人民政府办公室关于印发《北京市朝阳区来广营乡（地区）机构改革方案》的通知</w:t>
      </w:r>
      <w:r>
        <w:rPr>
          <w:rFonts w:hint="default" w:ascii="Times New Roman" w:hAnsi="Times New Roman" w:eastAsia="仿宋_GB2312" w:cs="Times New Roman"/>
          <w:color w:val="000000"/>
          <w:kern w:val="0"/>
          <w:sz w:val="32"/>
          <w:szCs w:val="32"/>
          <w:lang w:eastAsia="zh-CN"/>
        </w:rPr>
        <w:t>（京朝办字</w:t>
      </w:r>
      <w:r>
        <w:rPr>
          <w:rFonts w:hint="default" w:ascii="Times New Roman" w:hAnsi="Times New Roman" w:eastAsia="仿宋_GB2312" w:cs="Times New Roman"/>
          <w:color w:val="000000"/>
          <w:kern w:val="0"/>
          <w:sz w:val="32"/>
          <w:szCs w:val="32"/>
          <w:lang w:val="en-US" w:eastAsia="zh-CN"/>
        </w:rPr>
        <w:t>[2020]21号），设立</w:t>
      </w:r>
      <w:r>
        <w:rPr>
          <w:rFonts w:hint="default" w:ascii="Times New Roman" w:hAnsi="Times New Roman" w:eastAsia="仿宋_GB2312" w:cs="Times New Roman"/>
          <w:color w:val="000000"/>
          <w:kern w:val="0"/>
          <w:sz w:val="32"/>
          <w:szCs w:val="32"/>
        </w:rPr>
        <w:t>中共北京市朝阳区来广营乡委员会</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中共北京市朝阳区委来广营地区工作委员会</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北京市朝阳区来广营乡人民政府</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北京市朝阳区人民政府来广营地区办事处</w:t>
      </w:r>
      <w:r>
        <w:rPr>
          <w:rFonts w:hint="default" w:ascii="Times New Roman" w:hAnsi="Times New Roman" w:eastAsia="仿宋_GB2312" w:cs="Times New Roman"/>
          <w:color w:val="000000"/>
          <w:kern w:val="0"/>
          <w:sz w:val="32"/>
          <w:szCs w:val="32"/>
          <w:lang w:eastAsia="zh-CN"/>
        </w:rPr>
        <w:t>）。</w:t>
      </w:r>
    </w:p>
    <w:p w14:paraId="1C05C5EB">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562" w:firstLineChars="200"/>
        <w:textAlignment w:val="auto"/>
        <w:rPr>
          <w:rFonts w:hint="default" w:ascii="Times New Roman" w:hAnsi="Times New Roman" w:cs="Times New Roman"/>
          <w:b/>
          <w:bCs/>
          <w:sz w:val="28"/>
          <w:szCs w:val="28"/>
          <w:lang w:eastAsia="zh-CN"/>
        </w:rPr>
      </w:pPr>
      <w:r>
        <w:rPr>
          <w:rFonts w:hint="default" w:ascii="Times New Roman" w:hAnsi="Times New Roman" w:cs="Times New Roman" w:eastAsiaTheme="minorEastAsia"/>
          <w:b/>
          <w:bCs/>
          <w:sz w:val="28"/>
          <w:szCs w:val="28"/>
        </w:rPr>
        <w:t>部门机构设置</w:t>
      </w:r>
    </w:p>
    <w:p w14:paraId="207E04BA">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落实综合化、扁平化管理体制创新工作要求，整合乡（地区）党政机构及职责，综合设置为7个办公室</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分别为：综合办公室、党群工作办公室（人大工作办公室）、平安建设办公室（人民武装部、司法所）、城乡建设办公室、民生保障办公室、社区建设办公室、经济发展办公室（统计所）。乡（地区）纪检监察机构、行政执法机构（综合行政执法队）按有关规定设置。</w:t>
      </w:r>
    </w:p>
    <w:p w14:paraId="32237C9C">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服务功能、职责任务实际，对乡（地区）所属事业单位进行调整优化，综合设置为5个，分别是：便民服务中心（退役军人服务站）、市民活动中心（党群活动中心）、市民诉求处置中心（综治中心）、社会公共事务服务中心（农业综合服务中心）、农村合作经济经营管理站。</w:t>
      </w:r>
    </w:p>
    <w:p w14:paraId="2094D546">
      <w:pPr>
        <w:keepNext w:val="0"/>
        <w:keepLines w:val="0"/>
        <w:pageBreakBefore w:val="0"/>
        <w:kinsoku/>
        <w:wordWrap/>
        <w:overflowPunct/>
        <w:topLinePunct w:val="0"/>
        <w:autoSpaceDE/>
        <w:autoSpaceDN/>
        <w:bidi w:val="0"/>
        <w:adjustRightInd/>
        <w:snapToGrid/>
        <w:spacing w:line="560" w:lineRule="exact"/>
        <w:ind w:right="0" w:rightChars="0" w:firstLine="562" w:firstLineChars="200"/>
        <w:textAlignment w:val="auto"/>
        <w:rPr>
          <w:rFonts w:hint="default" w:ascii="Times New Roman" w:hAnsi="Times New Roman" w:cs="Times New Roman" w:eastAsiaTheme="minorEastAsia"/>
          <w:b/>
          <w:bCs/>
          <w:sz w:val="28"/>
          <w:szCs w:val="28"/>
        </w:rPr>
      </w:pPr>
      <w:bookmarkStart w:id="1" w:name="_GoBack"/>
      <w:bookmarkEnd w:id="1"/>
      <w:r>
        <w:rPr>
          <w:rFonts w:hint="default" w:ascii="Times New Roman" w:hAnsi="Times New Roman" w:cs="Times New Roman"/>
          <w:b/>
          <w:bCs/>
          <w:sz w:val="28"/>
          <w:szCs w:val="28"/>
          <w:lang w:val="en-US" w:eastAsia="zh-CN"/>
        </w:rPr>
        <w:t>2、</w:t>
      </w:r>
      <w:r>
        <w:rPr>
          <w:rFonts w:hint="default" w:ascii="Times New Roman" w:hAnsi="Times New Roman" w:cs="Times New Roman" w:eastAsiaTheme="minorEastAsia"/>
          <w:b/>
          <w:bCs/>
          <w:sz w:val="28"/>
          <w:szCs w:val="28"/>
        </w:rPr>
        <w:t>部门职责</w:t>
      </w:r>
    </w:p>
    <w:p w14:paraId="5660D692">
      <w:pPr>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default" w:ascii="Times New Roman" w:hAnsi="Times New Roman" w:cs="Times New Roman" w:eastAsiaTheme="minorEastAsia"/>
          <w:b/>
          <w:bCs/>
          <w:sz w:val="28"/>
          <w:szCs w:val="28"/>
        </w:rPr>
      </w:pPr>
      <w:r>
        <w:rPr>
          <w:rFonts w:hint="default" w:ascii="Times New Roman" w:hAnsi="Times New Roman" w:cs="Times New Roman"/>
          <w:b/>
          <w:bCs/>
          <w:sz w:val="28"/>
          <w:szCs w:val="28"/>
          <w:lang w:eastAsia="zh-CN"/>
        </w:rPr>
        <w:t>（</w:t>
      </w:r>
      <w:r>
        <w:rPr>
          <w:rFonts w:hint="default" w:ascii="Times New Roman" w:hAnsi="Times New Roman" w:cs="Times New Roman"/>
          <w:b/>
          <w:bCs/>
          <w:sz w:val="28"/>
          <w:szCs w:val="28"/>
          <w:lang w:val="en-US" w:eastAsia="zh-CN"/>
        </w:rPr>
        <w:t>1）</w:t>
      </w:r>
      <w:r>
        <w:rPr>
          <w:rFonts w:hint="default" w:ascii="Times New Roman" w:hAnsi="Times New Roman" w:cs="Times New Roman" w:eastAsiaTheme="minorEastAsia"/>
          <w:b/>
          <w:bCs/>
          <w:sz w:val="28"/>
          <w:szCs w:val="28"/>
        </w:rPr>
        <w:t>乡党委（地区党工委）的主要职责</w:t>
      </w:r>
    </w:p>
    <w:p w14:paraId="1164B977">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1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①</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宣传和执行党的路线、方针、政策，宣传和执行党中央、市委、区委及本乡党员代表大会的决议，及时向区委报告辖区有关情况、反映问题、提出意见建议。</w:t>
      </w:r>
    </w:p>
    <w:p w14:paraId="346F75F8">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2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②</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讨论并决定本乡（地区）经济建设、政治建设、文化建设、社会建设、生态文明建设和党的建设以及乡村振兴中的重大问题。需由乡（地区）政权机关或者集体经济组织决定的重要事项，经乡党委（地区党工委）研究讨论后，由乡（地区）政权机关或者集体经济组织依照法律和有关规定作出决定。</w:t>
      </w:r>
    </w:p>
    <w:p w14:paraId="78CF9F39">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3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③</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履行全面从严治党主体责任，全面推进辖区党的政治建设、思想建设、组织建设、作风建设、纪律建设，把制度建设贯穿其中，组织协调反腐败工作。</w:t>
      </w:r>
    </w:p>
    <w:p w14:paraId="31D1ADD3">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4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④</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领导乡（地区）政权机关、群团组织和其他各类组织，加强指导和规范，支持和保证这些机关和组织依照国家法律法规以及各自章程履行职责。</w:t>
      </w:r>
    </w:p>
    <w:p w14:paraId="6D7A1E93">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5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⑤</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加强乡党委（地区党工委）自身建设和村（社区）党组织建设，以及其他隶属乡党委（地区党工委）的党组织建设，抓好发展党员工作，加强党员队伍建设。维护和执行党的纪律，监督党员干部和其他任何工作人员严格遵守国家法律法规。</w:t>
      </w:r>
    </w:p>
    <w:p w14:paraId="62014AEE">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6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⑥</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按照干部管理权限，负责对干部的教育、培训、选拔、考核和监督工作。协助管理市、区有关部门驻乡（地区）单位的干部。做好人才服务和引进工作。</w:t>
      </w:r>
    </w:p>
    <w:p w14:paraId="09C1CBEA">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7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⑦</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领导本乡（地区）的基层治理，加强社会主义民主法治建设和精神文明建设，加强社会治安综合治理，做好生态环保、美丽乡村建设、民生保障、民族宗教等工作。</w:t>
      </w:r>
    </w:p>
    <w:p w14:paraId="6119A1EB">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8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⑧</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承办区委交办的其他事项。</w:t>
      </w:r>
    </w:p>
    <w:p w14:paraId="13AFF64E">
      <w:pPr>
        <w:keepNext w:val="0"/>
        <w:keepLines w:val="0"/>
        <w:pageBreakBefore w:val="0"/>
        <w:kinsoku/>
        <w:wordWrap/>
        <w:overflowPunct/>
        <w:topLinePunct w:val="0"/>
        <w:autoSpaceDE/>
        <w:autoSpaceDN/>
        <w:bidi w:val="0"/>
        <w:adjustRightInd/>
        <w:snapToGrid/>
        <w:spacing w:line="560" w:lineRule="exact"/>
        <w:ind w:right="0" w:rightChars="0" w:firstLine="281" w:firstLineChars="100"/>
        <w:textAlignment w:val="auto"/>
        <w:rPr>
          <w:rFonts w:hint="default" w:ascii="Times New Roman" w:hAnsi="Times New Roman" w:cs="Times New Roman" w:eastAsiaTheme="minorEastAsia"/>
          <w:b/>
          <w:bCs/>
          <w:sz w:val="28"/>
          <w:szCs w:val="28"/>
        </w:rPr>
      </w:pPr>
      <w:r>
        <w:rPr>
          <w:rFonts w:hint="default" w:ascii="Times New Roman" w:hAnsi="Times New Roman" w:cs="Times New Roman"/>
          <w:b/>
          <w:bCs/>
          <w:sz w:val="28"/>
          <w:szCs w:val="28"/>
          <w:lang w:eastAsia="zh-CN"/>
        </w:rPr>
        <w:t>（</w:t>
      </w:r>
      <w:r>
        <w:rPr>
          <w:rFonts w:hint="default" w:ascii="Times New Roman" w:hAnsi="Times New Roman" w:cs="Times New Roman"/>
          <w:b/>
          <w:bCs/>
          <w:sz w:val="28"/>
          <w:szCs w:val="28"/>
          <w:lang w:val="en-US" w:eastAsia="zh-CN"/>
        </w:rPr>
        <w:t>2）</w:t>
      </w:r>
      <w:r>
        <w:rPr>
          <w:rFonts w:hint="default" w:ascii="Times New Roman" w:hAnsi="Times New Roman" w:cs="Times New Roman" w:eastAsiaTheme="minorEastAsia"/>
          <w:b/>
          <w:bCs/>
          <w:sz w:val="28"/>
          <w:szCs w:val="28"/>
        </w:rPr>
        <w:t>乡人民代表大会的主要职责</w:t>
      </w:r>
    </w:p>
    <w:p w14:paraId="7F67C341">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按照有关法律规定执行。</w:t>
      </w:r>
    </w:p>
    <w:p w14:paraId="7A9B41F1">
      <w:pPr>
        <w:keepNext w:val="0"/>
        <w:keepLines w:val="0"/>
        <w:pageBreakBefore w:val="0"/>
        <w:kinsoku/>
        <w:wordWrap/>
        <w:overflowPunct/>
        <w:topLinePunct w:val="0"/>
        <w:autoSpaceDE/>
        <w:autoSpaceDN/>
        <w:bidi w:val="0"/>
        <w:adjustRightInd/>
        <w:snapToGrid/>
        <w:spacing w:line="560" w:lineRule="exact"/>
        <w:ind w:right="0" w:rightChars="0" w:firstLine="281" w:firstLineChars="100"/>
        <w:textAlignment w:val="auto"/>
        <w:rPr>
          <w:rFonts w:hint="default" w:ascii="Times New Roman" w:hAnsi="Times New Roman" w:cs="Times New Roman" w:eastAsiaTheme="minorEastAsia"/>
          <w:b/>
          <w:bCs/>
          <w:sz w:val="28"/>
          <w:szCs w:val="28"/>
        </w:rPr>
      </w:pPr>
      <w:r>
        <w:rPr>
          <w:rFonts w:hint="default" w:ascii="Times New Roman" w:hAnsi="Times New Roman" w:cs="Times New Roman"/>
          <w:b/>
          <w:bCs/>
          <w:sz w:val="28"/>
          <w:szCs w:val="28"/>
          <w:lang w:eastAsia="zh-CN"/>
        </w:rPr>
        <w:t>（</w:t>
      </w:r>
      <w:r>
        <w:rPr>
          <w:rFonts w:hint="default" w:ascii="Times New Roman" w:hAnsi="Times New Roman" w:cs="Times New Roman"/>
          <w:b/>
          <w:bCs/>
          <w:sz w:val="28"/>
          <w:szCs w:val="28"/>
          <w:lang w:val="en-US" w:eastAsia="zh-CN"/>
        </w:rPr>
        <w:t>3）</w:t>
      </w:r>
      <w:r>
        <w:rPr>
          <w:rFonts w:hint="default" w:ascii="Times New Roman" w:hAnsi="Times New Roman" w:cs="Times New Roman" w:eastAsiaTheme="minorEastAsia"/>
          <w:b/>
          <w:bCs/>
          <w:sz w:val="28"/>
          <w:szCs w:val="28"/>
        </w:rPr>
        <w:t>乡政府（地区办事处）的主要职责</w:t>
      </w:r>
    </w:p>
    <w:p w14:paraId="545A08FF">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1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①</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贯彻执行法律、法规、规章和市、区政府的决定、命令，执行本级人民代表大会的决议，发布决定和命令。</w:t>
      </w:r>
    </w:p>
    <w:p w14:paraId="1BAC6F28">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2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②</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执行本行政区域内的经济和社会发展计划、预算，管理本行政区域内的经济、教育、科学、文化、卫生、体育事业和财政、民政、司法行政、计划生育等行政工作。</w:t>
      </w:r>
    </w:p>
    <w:p w14:paraId="5937D14D">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3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③</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保护社会主义全民所有的财产和劳动群众集体所有的财产，保护公民私人所有的合法财产，维护社会秩序，保障公民的人身权利、民主权利和其他权利。</w:t>
      </w:r>
    </w:p>
    <w:p w14:paraId="384883A6">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4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④</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保护各种经济组织的合法权益。</w:t>
      </w:r>
    </w:p>
    <w:p w14:paraId="55657FD0">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5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⑤</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保障少数民族的权利和尊重少数民族的风俗习惯。</w:t>
      </w:r>
    </w:p>
    <w:p w14:paraId="3476E441">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6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⑥</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保障宪法和法律赋予妇女的男女平等、同工同酬和婚姻自由等各项权利。</w:t>
      </w:r>
    </w:p>
    <w:p w14:paraId="3E50E9CB">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7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⑦</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推进村（社区）发展建设，指导村民委员会、社区居民委员会工作，支持和促进依法自治，完善服务功能，提升治理水平；组织动员辖区单位和各类社会组织参与基层治理工作，统筹辖区资源，实现共建共治共享。</w:t>
      </w:r>
    </w:p>
    <w:p w14:paraId="73603A42">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8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⑧</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承办区政府交办的其他事项。</w:t>
      </w:r>
    </w:p>
    <w:p w14:paraId="30B4E300">
      <w:pPr>
        <w:keepNext w:val="0"/>
        <w:keepLines w:val="0"/>
        <w:pageBreakBefore w:val="0"/>
        <w:numPr>
          <w:ilvl w:val="0"/>
          <w:numId w:val="2"/>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部门整体绩效目标设立情况</w:t>
      </w:r>
    </w:p>
    <w:p w14:paraId="061B4165">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eastAsia" w:ascii="仿宋_GB2312" w:hAnsi="仿宋" w:eastAsia="仿宋_GB2312" w:cs="仿宋"/>
          <w:bCs/>
          <w:sz w:val="32"/>
          <w:szCs w:val="32"/>
        </w:rPr>
        <w:t>按照</w:t>
      </w:r>
      <w:r>
        <w:rPr>
          <w:rFonts w:hint="eastAsia" w:ascii="仿宋_GB2312" w:hAnsi="仿宋" w:eastAsia="仿宋_GB2312" w:cs="仿宋"/>
          <w:bCs/>
          <w:sz w:val="32"/>
          <w:szCs w:val="32"/>
          <w:lang w:eastAsia="zh-CN"/>
        </w:rPr>
        <w:t>本</w:t>
      </w:r>
      <w:r>
        <w:rPr>
          <w:rFonts w:hint="eastAsia" w:ascii="仿宋_GB2312" w:hAnsi="仿宋" w:eastAsia="仿宋_GB2312" w:cs="仿宋"/>
          <w:bCs/>
          <w:sz w:val="32"/>
          <w:szCs w:val="32"/>
        </w:rPr>
        <w:t>部门职责及年初工作计划，为提高预算资金管理水平，</w:t>
      </w:r>
      <w:r>
        <w:rPr>
          <w:rFonts w:hint="eastAsia" w:ascii="仿宋_GB2312" w:hAnsi="仿宋" w:eastAsia="仿宋_GB2312" w:cs="仿宋"/>
          <w:bCs/>
          <w:sz w:val="32"/>
          <w:szCs w:val="32"/>
          <w:lang w:eastAsia="zh-CN"/>
        </w:rPr>
        <w:t>评价</w:t>
      </w:r>
      <w:r>
        <w:rPr>
          <w:rFonts w:hint="eastAsia" w:ascii="仿宋_GB2312" w:hAnsi="仿宋" w:eastAsia="仿宋_GB2312" w:cs="仿宋"/>
          <w:bCs/>
          <w:sz w:val="32"/>
          <w:szCs w:val="32"/>
        </w:rPr>
        <w:t>预期目标实现程度，</w:t>
      </w:r>
      <w:bookmarkStart w:id="0" w:name="_Hlk53567156"/>
      <w:r>
        <w:rPr>
          <w:rFonts w:hint="eastAsia" w:ascii="仿宋_GB2312" w:hAnsi="仿宋" w:eastAsia="仿宋_GB2312" w:cs="仿宋"/>
          <w:bCs/>
          <w:sz w:val="32"/>
          <w:szCs w:val="32"/>
        </w:rPr>
        <w:t>考核经费支出效率和综合效果，</w:t>
      </w:r>
      <w:bookmarkEnd w:id="0"/>
      <w:r>
        <w:rPr>
          <w:rFonts w:hint="eastAsia" w:ascii="仿宋_GB2312" w:hAnsi="仿宋" w:eastAsia="仿宋_GB2312" w:cs="仿宋"/>
          <w:bCs/>
          <w:sz w:val="32"/>
          <w:szCs w:val="32"/>
        </w:rPr>
        <w:t>根据《北京市项目支出绩效评价管理办法》（京财绩效〔2020〕2146号），组织相关部门有序开展绩效评价工作，在预算申报时合理确定绩效指标，涵盖各业务部门职责及工作要点，</w:t>
      </w:r>
      <w:r>
        <w:rPr>
          <w:rFonts w:hint="eastAsia" w:ascii="仿宋_GB2312" w:hAnsi="仿宋" w:eastAsia="仿宋_GB2312" w:cs="仿宋"/>
          <w:bCs/>
          <w:sz w:val="32"/>
          <w:szCs w:val="32"/>
          <w:lang w:eastAsia="zh-CN"/>
        </w:rPr>
        <w:t>通过出台制度以及制度培训，</w:t>
      </w:r>
      <w:r>
        <w:rPr>
          <w:rFonts w:hint="eastAsia" w:ascii="仿宋_GB2312" w:hAnsi="仿宋" w:eastAsia="仿宋_GB2312" w:cs="仿宋"/>
          <w:bCs/>
          <w:sz w:val="32"/>
          <w:szCs w:val="32"/>
        </w:rPr>
        <w:t>提高</w:t>
      </w:r>
      <w:r>
        <w:rPr>
          <w:rFonts w:hint="eastAsia" w:ascii="仿宋_GB2312" w:hAnsi="仿宋" w:eastAsia="仿宋_GB2312" w:cs="仿宋"/>
          <w:bCs/>
          <w:sz w:val="32"/>
          <w:szCs w:val="32"/>
          <w:lang w:eastAsia="zh-CN"/>
        </w:rPr>
        <w:t>全员预算资金绩效管理意识，</w:t>
      </w:r>
      <w:r>
        <w:rPr>
          <w:rFonts w:hint="eastAsia" w:ascii="仿宋_GB2312" w:hAnsi="仿宋" w:eastAsia="仿宋_GB2312" w:cs="仿宋"/>
          <w:bCs/>
          <w:sz w:val="32"/>
          <w:szCs w:val="32"/>
        </w:rPr>
        <w:t>将绩效理念融入预算编制、执行、监督全过程。</w:t>
      </w:r>
      <w:r>
        <w:rPr>
          <w:rFonts w:hint="eastAsia" w:ascii="仿宋_GB2312" w:hAnsi="仿宋" w:eastAsia="仿宋_GB2312" w:cs="仿宋"/>
          <w:bCs/>
          <w:sz w:val="32"/>
          <w:szCs w:val="32"/>
          <w:lang w:eastAsia="zh-CN"/>
        </w:rPr>
        <w:t>整体绩效指标围绕</w:t>
      </w:r>
      <w:r>
        <w:rPr>
          <w:rFonts w:hint="default" w:ascii="Times New Roman" w:hAnsi="Times New Roman" w:eastAsia="仿宋_GB2312" w:cs="Times New Roman"/>
          <w:color w:val="000000"/>
          <w:kern w:val="0"/>
          <w:sz w:val="32"/>
          <w:szCs w:val="32"/>
          <w:lang w:val="en-US" w:eastAsia="zh-CN" w:bidi="ar-SA"/>
        </w:rPr>
        <w:t>全年工作重点，充分发挥本政府部门职能，确实保障乡政府统筹公益事业类事权；提升人居环境，改善乡村生态环境。让百姓切身感受到绿化美化在改善生态、提高生活条件等方面的益处。保障地区基层党组织开展党建活动，提高党性，增强凝聚力。保障地区社区精神文明建设、文化教育、体育卫生、居民管理、为民办实事及其他公益事业支出等。</w:t>
      </w:r>
    </w:p>
    <w:p w14:paraId="68B91E4E">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14:paraId="76F13772">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预算数45859</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724629万元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6774.568087</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39085.156542</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支出45389</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227698</w:t>
      </w:r>
      <w:r>
        <w:rPr>
          <w:rFonts w:ascii="仿宋_GB2312" w:hAnsi="宋体" w:eastAsia="仿宋_GB2312" w:cs="宋体"/>
          <w:color w:val="000000"/>
          <w:kern w:val="0"/>
          <w:sz w:val="32"/>
          <w:szCs w:val="32"/>
        </w:rPr>
        <w:t>万元，其中，基本</w:t>
      </w:r>
      <w:r>
        <w:rPr>
          <w:rFonts w:hint="eastAsia" w:ascii="仿宋_GB2312" w:hAnsi="宋体" w:eastAsia="仿宋_GB2312" w:cs="宋体"/>
          <w:color w:val="000000"/>
          <w:kern w:val="0"/>
          <w:sz w:val="32"/>
          <w:szCs w:val="32"/>
        </w:rPr>
        <w:t>支出6640</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506387</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支出38748</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721311万</w:t>
      </w:r>
      <w:r>
        <w:rPr>
          <w:rFonts w:ascii="仿宋_GB2312" w:hAnsi="宋体" w:eastAsia="仿宋_GB2312" w:cs="宋体"/>
          <w:color w:val="000000"/>
          <w:kern w:val="0"/>
          <w:sz w:val="32"/>
          <w:szCs w:val="32"/>
        </w:rPr>
        <w:t>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98.97%</w:t>
      </w:r>
      <w:r>
        <w:rPr>
          <w:rFonts w:hint="eastAsia" w:ascii="仿宋_GB2312" w:hAnsi="宋体" w:eastAsia="仿宋_GB2312" w:cs="宋体"/>
          <w:color w:val="000000"/>
          <w:kern w:val="0"/>
          <w:sz w:val="32"/>
          <w:szCs w:val="32"/>
        </w:rPr>
        <w:t>。</w:t>
      </w:r>
    </w:p>
    <w:p w14:paraId="4A1F60D5">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14:paraId="763CBDF6">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楷体_GB2312" w:eastAsia="楷体_GB2312"/>
          <w:sz w:val="32"/>
          <w:szCs w:val="32"/>
        </w:rPr>
      </w:pPr>
      <w:r>
        <w:rPr>
          <w:rFonts w:hint="eastAsia" w:ascii="楷体_GB2312" w:eastAsia="楷体_GB2312"/>
          <w:sz w:val="32"/>
          <w:szCs w:val="32"/>
        </w:rPr>
        <w:t>（一）产出完成情况分析</w:t>
      </w:r>
    </w:p>
    <w:p w14:paraId="4007254C">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14:paraId="2087EB7F">
      <w:pPr>
        <w:pStyle w:val="5"/>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全年预算保障了在职人员、退休人员经费，能够保障单位正常运转。完成了重点职能工作保障项目，包括公共服务经费、来广营乡北湖渠村环境整治项目、基层党组织服务群众等项目、垃圾分类服务经费、绿化养护、郊野政策绿养护、</w:t>
      </w:r>
      <w:r>
        <w:rPr>
          <w:rFonts w:hint="default" w:ascii="Times New Roman" w:hAnsi="Times New Roman" w:eastAsia="仿宋_GB2312" w:cs="Times New Roman"/>
          <w:kern w:val="0"/>
          <w:sz w:val="32"/>
          <w:szCs w:val="32"/>
          <w:lang w:bidi="zh-CN"/>
        </w:rPr>
        <w:t>有序推进疏解整治促提升</w:t>
      </w:r>
      <w:r>
        <w:rPr>
          <w:rFonts w:hint="eastAsia" w:ascii="仿宋_GB2312" w:hAnsi="仿宋" w:eastAsia="仿宋_GB2312" w:cs="仿宋"/>
          <w:bCs/>
          <w:kern w:val="2"/>
          <w:sz w:val="32"/>
          <w:szCs w:val="32"/>
          <w:lang w:val="en-US" w:eastAsia="zh-CN" w:bidi="ar-SA"/>
        </w:rPr>
        <w:t>等项目，资金拨付标准符合相关法律法规及本单位规章制度。</w:t>
      </w:r>
    </w:p>
    <w:p w14:paraId="113CE8DC">
      <w:pPr>
        <w:keepNext w:val="0"/>
        <w:keepLines w:val="0"/>
        <w:pageBreakBefore w:val="0"/>
        <w:numPr>
          <w:ilvl w:val="0"/>
          <w:numId w:val="3"/>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质量</w:t>
      </w:r>
    </w:p>
    <w:p w14:paraId="2E0816C3">
      <w:pPr>
        <w:pStyle w:val="5"/>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民生家园建设资金投入社会建设、民生服务保障和应急管理等各项事业的发展，增强了预防和应对处置突发事件能力，保障了农村地区经济社会持续健康稳定发展。投入公益事业经费，开展了600余场公益事业活动，更好地支持社区建设工作，为居民创造美好生活。</w:t>
      </w:r>
      <w:r>
        <w:rPr>
          <w:rFonts w:hint="eastAsia" w:eastAsia="仿宋_GB2312" w:cs="Times New Roman"/>
          <w:color w:val="000000"/>
          <w:kern w:val="0"/>
          <w:sz w:val="32"/>
          <w:szCs w:val="32"/>
          <w:lang w:eastAsia="zh-CN"/>
        </w:rPr>
        <w:t>基层党组织服务群众项目</w:t>
      </w:r>
      <w:r>
        <w:rPr>
          <w:rFonts w:hint="eastAsia" w:ascii="仿宋_GB2312" w:hAnsi="仿宋" w:eastAsia="仿宋_GB2312" w:cs="仿宋"/>
          <w:bCs/>
          <w:kern w:val="2"/>
          <w:sz w:val="32"/>
          <w:szCs w:val="32"/>
          <w:lang w:val="en-US" w:eastAsia="zh-CN" w:bidi="ar-SA"/>
        </w:rPr>
        <w:t>丰富了居民群众精神文明生活，培育地区家庭和谐建设，提升了居民生活幸福指数。</w:t>
      </w:r>
    </w:p>
    <w:p w14:paraId="051471DF">
      <w:pPr>
        <w:keepNext w:val="0"/>
        <w:keepLines w:val="0"/>
        <w:pageBreakBefore w:val="0"/>
        <w:numPr>
          <w:ilvl w:val="0"/>
          <w:numId w:val="3"/>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进度</w:t>
      </w:r>
    </w:p>
    <w:p w14:paraId="59745ED9">
      <w:pPr>
        <w:pStyle w:val="5"/>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本部门根据预算申报内容执行相关项目，项目专款专用，严格执行审批程序拨付资金。</w:t>
      </w:r>
    </w:p>
    <w:p w14:paraId="78593031">
      <w:pPr>
        <w:keepNext w:val="0"/>
        <w:keepLines w:val="0"/>
        <w:pageBreakBefore w:val="0"/>
        <w:numPr>
          <w:ilvl w:val="0"/>
          <w:numId w:val="3"/>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14:paraId="569AF9E7">
      <w:pPr>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本部门在预算执行过程中，严格遵守相关政策法规的要</w:t>
      </w:r>
    </w:p>
    <w:p w14:paraId="4341217A">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rPr>
          <w:rFonts w:ascii="仿宋_GB2312" w:hAnsi="宋体" w:eastAsia="仿宋_GB2312" w:cs="宋体"/>
          <w:color w:val="000000"/>
          <w:kern w:val="0"/>
          <w:sz w:val="32"/>
          <w:szCs w:val="32"/>
        </w:rPr>
      </w:pPr>
      <w:r>
        <w:rPr>
          <w:rFonts w:hint="eastAsia" w:ascii="仿宋_GB2312" w:hAnsi="仿宋" w:eastAsia="仿宋_GB2312" w:cs="仿宋"/>
          <w:bCs/>
          <w:kern w:val="2"/>
          <w:sz w:val="32"/>
          <w:szCs w:val="32"/>
          <w:lang w:val="en-US" w:eastAsia="zh-CN" w:bidi="ar-SA"/>
        </w:rPr>
        <w:t>求，控制财政支出成本，</w:t>
      </w:r>
      <w:r>
        <w:rPr>
          <w:rFonts w:hint="eastAsia" w:ascii="Times New Roman" w:hAnsi="Times New Roman" w:eastAsia="仿宋_GB2312" w:cs="Times New Roman"/>
          <w:color w:val="000000"/>
          <w:kern w:val="0"/>
          <w:sz w:val="32"/>
          <w:szCs w:val="32"/>
          <w:lang w:eastAsia="zh-CN"/>
        </w:rPr>
        <w:t>无超预算安排资金</w:t>
      </w:r>
      <w:r>
        <w:rPr>
          <w:rFonts w:hint="eastAsia" w:eastAsia="仿宋_GB2312" w:cs="Times New Roman"/>
          <w:color w:val="000000"/>
          <w:kern w:val="0"/>
          <w:sz w:val="32"/>
          <w:szCs w:val="32"/>
          <w:lang w:eastAsia="zh-CN"/>
        </w:rPr>
        <w:t>情况</w:t>
      </w:r>
      <w:r>
        <w:rPr>
          <w:rFonts w:hint="eastAsia" w:ascii="Times New Roman" w:hAnsi="Times New Roman" w:eastAsia="仿宋_GB2312" w:cs="Times New Roman"/>
          <w:color w:val="000000"/>
          <w:kern w:val="0"/>
          <w:sz w:val="32"/>
          <w:szCs w:val="32"/>
          <w:lang w:eastAsia="zh-CN"/>
        </w:rPr>
        <w:t>。</w:t>
      </w:r>
      <w:r>
        <w:rPr>
          <w:rFonts w:hint="eastAsia" w:ascii="仿宋_GB2312" w:hAnsi="仿宋" w:eastAsia="仿宋_GB2312" w:cs="仿宋"/>
          <w:bCs/>
          <w:kern w:val="2"/>
          <w:sz w:val="32"/>
          <w:szCs w:val="32"/>
          <w:lang w:val="en-US" w:eastAsia="zh-CN" w:bidi="ar-SA"/>
        </w:rPr>
        <w:t xml:space="preserve">在执行中对偏差情况及时申报调整预算，提高了预算执行率。          </w:t>
      </w:r>
      <w:r>
        <w:rPr>
          <w:rFonts w:hint="eastAsia" w:ascii="仿宋_GB2312" w:hAnsi="宋体" w:eastAsia="仿宋_GB2312" w:cs="宋体"/>
          <w:color w:val="000000"/>
          <w:kern w:val="0"/>
          <w:sz w:val="32"/>
          <w:szCs w:val="32"/>
        </w:rPr>
        <w:t xml:space="preserve">                              </w:t>
      </w:r>
    </w:p>
    <w:p w14:paraId="3C0722DF">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14:paraId="1C6BC544">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14:paraId="7DB45FF2">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bCs/>
          <w:kern w:val="2"/>
          <w:sz w:val="32"/>
          <w:szCs w:val="32"/>
          <w:lang w:val="en-US" w:eastAsia="zh-CN" w:bidi="ar-SA"/>
        </w:rPr>
      </w:pPr>
      <w:r>
        <w:rPr>
          <w:rFonts w:hint="default" w:ascii="Times New Roman" w:hAnsi="Times New Roman" w:eastAsia="仿宋_GB2312" w:cs="Times New Roman"/>
          <w:snapToGrid w:val="0"/>
          <w:sz w:val="32"/>
          <w:szCs w:val="32"/>
          <w:highlight w:val="none"/>
        </w:rPr>
        <w:t>全</w:t>
      </w:r>
      <w:r>
        <w:rPr>
          <w:rFonts w:hint="default" w:ascii="Times New Roman" w:hAnsi="Times New Roman" w:eastAsia="仿宋_GB2312" w:cs="Times New Roman"/>
          <w:snapToGrid w:val="0"/>
          <w:sz w:val="32"/>
          <w:szCs w:val="32"/>
          <w:highlight w:val="none"/>
          <w:lang w:eastAsia="zh-CN"/>
        </w:rPr>
        <w:t>乡</w:t>
      </w:r>
      <w:r>
        <w:rPr>
          <w:rFonts w:hint="default" w:ascii="Times New Roman" w:hAnsi="Times New Roman" w:eastAsia="仿宋_GB2312" w:cs="Times New Roman"/>
          <w:snapToGrid w:val="0"/>
          <w:sz w:val="32"/>
          <w:szCs w:val="32"/>
          <w:highlight w:val="none"/>
        </w:rPr>
        <w:t>上下严格落实</w:t>
      </w:r>
      <w:r>
        <w:rPr>
          <w:rFonts w:hint="default" w:ascii="Times New Roman" w:hAnsi="Times New Roman" w:eastAsia="仿宋_GB2312" w:cs="Times New Roman"/>
          <w:snapToGrid w:val="0"/>
          <w:sz w:val="32"/>
          <w:szCs w:val="32"/>
          <w:highlight w:val="none"/>
          <w:lang w:eastAsia="zh-CN"/>
        </w:rPr>
        <w:t>区</w:t>
      </w:r>
      <w:r>
        <w:rPr>
          <w:rFonts w:hint="default" w:ascii="Times New Roman" w:hAnsi="Times New Roman" w:eastAsia="仿宋_GB2312" w:cs="Times New Roman"/>
          <w:snapToGrid w:val="0"/>
          <w:sz w:val="32"/>
          <w:szCs w:val="32"/>
          <w:highlight w:val="none"/>
        </w:rPr>
        <w:t>委、</w:t>
      </w:r>
      <w:r>
        <w:rPr>
          <w:rFonts w:hint="default" w:ascii="Times New Roman" w:hAnsi="Times New Roman" w:eastAsia="仿宋_GB2312" w:cs="Times New Roman"/>
          <w:snapToGrid w:val="0"/>
          <w:sz w:val="32"/>
          <w:szCs w:val="32"/>
          <w:highlight w:val="none"/>
          <w:lang w:eastAsia="zh-CN"/>
        </w:rPr>
        <w:t>区</w:t>
      </w:r>
      <w:r>
        <w:rPr>
          <w:rFonts w:hint="default" w:ascii="Times New Roman" w:hAnsi="Times New Roman" w:eastAsia="仿宋_GB2312" w:cs="Times New Roman"/>
          <w:snapToGrid w:val="0"/>
          <w:sz w:val="32"/>
          <w:szCs w:val="32"/>
          <w:highlight w:val="none"/>
        </w:rPr>
        <w:t>政府各项工作部署，</w:t>
      </w:r>
      <w:r>
        <w:rPr>
          <w:rFonts w:hint="eastAsia" w:ascii="仿宋_GB2312" w:hAnsi="仿宋" w:eastAsia="仿宋_GB2312" w:cs="仿宋"/>
          <w:bCs/>
          <w:kern w:val="2"/>
          <w:sz w:val="32"/>
          <w:szCs w:val="32"/>
          <w:lang w:val="en-US" w:eastAsia="zh-CN" w:bidi="ar-SA"/>
        </w:rPr>
        <w:t>保质保量完成全年工作任务。预算资金较好保障了单位运转及主要工作职能，</w:t>
      </w:r>
      <w:r>
        <w:rPr>
          <w:rFonts w:hint="default" w:ascii="Times New Roman" w:hAnsi="Times New Roman" w:eastAsia="仿宋_GB2312" w:cs="Times New Roman"/>
          <w:snapToGrid w:val="0"/>
          <w:sz w:val="32"/>
          <w:szCs w:val="32"/>
          <w:highlight w:val="none"/>
        </w:rPr>
        <w:t>统筹推进经济社会发展工作</w:t>
      </w:r>
      <w:r>
        <w:rPr>
          <w:rFonts w:hint="eastAsia" w:ascii="仿宋_GB2312" w:hAnsi="仿宋" w:eastAsia="仿宋_GB2312" w:cs="仿宋"/>
          <w:bCs/>
          <w:kern w:val="2"/>
          <w:sz w:val="32"/>
          <w:szCs w:val="32"/>
          <w:lang w:val="en-US" w:eastAsia="zh-CN" w:bidi="ar-SA"/>
        </w:rPr>
        <w:t>。</w:t>
      </w:r>
    </w:p>
    <w:p w14:paraId="7D095216">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p>
    <w:p w14:paraId="60332BDF">
      <w:pPr>
        <w:pStyle w:val="5"/>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各项目实施前充分做好调研，积极与有关部门沟通协调，广泛征求意见，立足居民实际需求，解决了百姓急难愁盼的身边事，充分发挥政府服务作用，积极传播正能量。通过项目的实施发挥了应有的社会效益，基本达到预期设定指标，呈现财政资金引导的成效，个别项目的绩效成果展现不够显著，实施效果的呈现及总结仍需进一步加强。</w:t>
      </w:r>
    </w:p>
    <w:p w14:paraId="12AB2A79">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3.环境效益</w:t>
      </w:r>
    </w:p>
    <w:p w14:paraId="57973942">
      <w:pPr>
        <w:pStyle w:val="5"/>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pPr>
      <w:r>
        <w:rPr>
          <w:rFonts w:hint="eastAsia" w:ascii="Times New Roman" w:hAnsi="Times New Roman" w:eastAsia="仿宋_GB2312" w:cs="Times New Roman"/>
          <w:snapToGrid w:val="0"/>
          <w:sz w:val="32"/>
          <w:szCs w:val="32"/>
          <w:highlight w:val="none"/>
          <w:lang w:eastAsia="zh-CN"/>
        </w:rPr>
        <w:t>部分</w:t>
      </w:r>
      <w:r>
        <w:rPr>
          <w:rFonts w:hint="default" w:ascii="Times New Roman" w:hAnsi="Times New Roman" w:eastAsia="仿宋_GB2312" w:cs="Times New Roman"/>
          <w:snapToGrid w:val="0"/>
          <w:sz w:val="32"/>
          <w:szCs w:val="32"/>
          <w:highlight w:val="none"/>
        </w:rPr>
        <w:t>项目</w:t>
      </w:r>
      <w:r>
        <w:rPr>
          <w:rFonts w:hint="eastAsia" w:ascii="Times New Roman" w:hAnsi="Times New Roman" w:eastAsia="仿宋_GB2312" w:cs="Times New Roman"/>
          <w:snapToGrid w:val="0"/>
          <w:sz w:val="32"/>
          <w:szCs w:val="32"/>
          <w:highlight w:val="none"/>
          <w:lang w:eastAsia="zh-CN"/>
        </w:rPr>
        <w:t>的实施改善了人居</w:t>
      </w:r>
      <w:r>
        <w:rPr>
          <w:rFonts w:hint="default" w:ascii="Times New Roman" w:hAnsi="Times New Roman" w:eastAsia="仿宋_GB2312" w:cs="Times New Roman"/>
          <w:snapToGrid w:val="0"/>
          <w:sz w:val="32"/>
          <w:szCs w:val="32"/>
          <w:highlight w:val="none"/>
        </w:rPr>
        <w:t>生活环境</w:t>
      </w:r>
      <w:r>
        <w:rPr>
          <w:rFonts w:hint="eastAsia" w:eastAsia="仿宋_GB2312" w:cs="Times New Roman"/>
          <w:snapToGrid w:val="0"/>
          <w:sz w:val="32"/>
          <w:szCs w:val="32"/>
          <w:highlight w:val="none"/>
          <w:lang w:eastAsia="zh-CN"/>
        </w:rPr>
        <w:t>，辖区园林绿化养护</w:t>
      </w:r>
      <w:r>
        <w:rPr>
          <w:rFonts w:hint="eastAsia" w:ascii="Times New Roman" w:hAnsi="Times New Roman" w:eastAsia="仿宋_GB2312" w:cs="Times New Roman"/>
          <w:snapToGrid w:val="0"/>
          <w:sz w:val="32"/>
          <w:szCs w:val="32"/>
          <w:highlight w:val="none"/>
          <w:lang w:eastAsia="zh-CN"/>
        </w:rPr>
        <w:t>维护了生态平衡，改善了城市小气候，降低了</w:t>
      </w:r>
      <w:r>
        <w:rPr>
          <w:rFonts w:hint="eastAsia" w:ascii="Times New Roman" w:hAnsi="Times New Roman" w:eastAsia="仿宋_GB2312" w:cs="Times New Roman"/>
          <w:snapToGrid w:val="0"/>
          <w:sz w:val="32"/>
          <w:szCs w:val="32"/>
          <w:highlight w:val="none"/>
          <w:lang w:eastAsia="zh-CN"/>
        </w:rPr>
        <w:fldChar w:fldCharType="begin"/>
      </w:r>
      <w:r>
        <w:rPr>
          <w:rFonts w:hint="eastAsia" w:ascii="Times New Roman" w:hAnsi="Times New Roman" w:eastAsia="仿宋_GB2312" w:cs="Times New Roman"/>
          <w:snapToGrid w:val="0"/>
          <w:sz w:val="32"/>
          <w:szCs w:val="32"/>
          <w:highlight w:val="none"/>
          <w:lang w:eastAsia="zh-CN"/>
        </w:rPr>
        <w:instrText xml:space="preserve"> HYPERLINK "http://www.so.com/s?q=%E7%8E%AF%E5%A2%83%E6%B1%A1%E6%9F%93&amp;ie=utf-8&amp;src=internal_wenda_recommend_textn" \t "https://wenda.so.com/q/_blank" </w:instrText>
      </w:r>
      <w:r>
        <w:rPr>
          <w:rFonts w:hint="eastAsia" w:ascii="Times New Roman" w:hAnsi="Times New Roman" w:eastAsia="仿宋_GB2312" w:cs="Times New Roman"/>
          <w:snapToGrid w:val="0"/>
          <w:sz w:val="32"/>
          <w:szCs w:val="32"/>
          <w:highlight w:val="none"/>
          <w:lang w:eastAsia="zh-CN"/>
        </w:rPr>
        <w:fldChar w:fldCharType="separate"/>
      </w:r>
      <w:r>
        <w:rPr>
          <w:rFonts w:hint="eastAsia" w:ascii="Times New Roman" w:hAnsi="Times New Roman" w:eastAsia="仿宋_GB2312" w:cs="Times New Roman"/>
          <w:snapToGrid w:val="0"/>
          <w:sz w:val="32"/>
          <w:szCs w:val="32"/>
          <w:highlight w:val="none"/>
          <w:lang w:eastAsia="zh-CN"/>
        </w:rPr>
        <w:t>环境污染</w:t>
      </w:r>
      <w:r>
        <w:rPr>
          <w:rFonts w:hint="eastAsia" w:ascii="Times New Roman" w:hAnsi="Times New Roman" w:eastAsia="仿宋_GB2312" w:cs="Times New Roman"/>
          <w:snapToGrid w:val="0"/>
          <w:sz w:val="32"/>
          <w:szCs w:val="32"/>
          <w:highlight w:val="none"/>
          <w:lang w:eastAsia="zh-CN"/>
        </w:rPr>
        <w:fldChar w:fldCharType="end"/>
      </w:r>
      <w:r>
        <w:rPr>
          <w:rFonts w:hint="eastAsia" w:ascii="Times New Roman" w:hAnsi="Times New Roman" w:eastAsia="仿宋_GB2312" w:cs="Times New Roman"/>
          <w:snapToGrid w:val="0"/>
          <w:sz w:val="32"/>
          <w:szCs w:val="32"/>
          <w:highlight w:val="none"/>
          <w:lang w:eastAsia="zh-CN"/>
        </w:rPr>
        <w:t>，美化了</w:t>
      </w:r>
      <w:r>
        <w:rPr>
          <w:rFonts w:hint="eastAsia" w:ascii="Times New Roman" w:hAnsi="Times New Roman" w:eastAsia="仿宋_GB2312" w:cs="Times New Roman"/>
          <w:snapToGrid w:val="0"/>
          <w:sz w:val="32"/>
          <w:szCs w:val="32"/>
          <w:highlight w:val="none"/>
          <w:lang w:eastAsia="zh-CN"/>
        </w:rPr>
        <w:fldChar w:fldCharType="begin"/>
      </w:r>
      <w:r>
        <w:rPr>
          <w:rFonts w:hint="eastAsia" w:ascii="Times New Roman" w:hAnsi="Times New Roman" w:eastAsia="仿宋_GB2312" w:cs="Times New Roman"/>
          <w:snapToGrid w:val="0"/>
          <w:sz w:val="32"/>
          <w:szCs w:val="32"/>
          <w:highlight w:val="none"/>
          <w:lang w:eastAsia="zh-CN"/>
        </w:rPr>
        <w:instrText xml:space="preserve"> HYPERLINK "http://www.so.com/s?q=%E5%B8%82%E5%AE%B9&amp;ie=utf-8&amp;src=internal_wenda_recommend_textn" \t "https://wenda.so.com/q/_blank" </w:instrText>
      </w:r>
      <w:r>
        <w:rPr>
          <w:rFonts w:hint="eastAsia" w:ascii="Times New Roman" w:hAnsi="Times New Roman" w:eastAsia="仿宋_GB2312" w:cs="Times New Roman"/>
          <w:snapToGrid w:val="0"/>
          <w:sz w:val="32"/>
          <w:szCs w:val="32"/>
          <w:highlight w:val="none"/>
          <w:lang w:eastAsia="zh-CN"/>
        </w:rPr>
        <w:fldChar w:fldCharType="separate"/>
      </w:r>
      <w:r>
        <w:rPr>
          <w:rFonts w:hint="eastAsia" w:ascii="Times New Roman" w:hAnsi="Times New Roman" w:eastAsia="仿宋_GB2312" w:cs="Times New Roman"/>
          <w:snapToGrid w:val="0"/>
          <w:sz w:val="32"/>
          <w:szCs w:val="32"/>
          <w:highlight w:val="none"/>
          <w:lang w:eastAsia="zh-CN"/>
        </w:rPr>
        <w:t>市容</w:t>
      </w:r>
      <w:r>
        <w:rPr>
          <w:rFonts w:hint="eastAsia" w:ascii="Times New Roman" w:hAnsi="Times New Roman" w:eastAsia="仿宋_GB2312" w:cs="Times New Roman"/>
          <w:snapToGrid w:val="0"/>
          <w:sz w:val="32"/>
          <w:szCs w:val="32"/>
          <w:highlight w:val="none"/>
          <w:lang w:eastAsia="zh-CN"/>
        </w:rPr>
        <w:fldChar w:fldCharType="end"/>
      </w:r>
      <w:r>
        <w:rPr>
          <w:rFonts w:hint="eastAsia" w:ascii="Times New Roman" w:hAnsi="Times New Roman" w:eastAsia="仿宋_GB2312" w:cs="Times New Roman"/>
          <w:snapToGrid w:val="0"/>
          <w:sz w:val="32"/>
          <w:szCs w:val="32"/>
          <w:highlight w:val="none"/>
          <w:lang w:eastAsia="zh-CN"/>
        </w:rPr>
        <w:t>。</w:t>
      </w:r>
    </w:p>
    <w:p w14:paraId="2D142D0D">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p>
    <w:p w14:paraId="1B6DEFC1">
      <w:pPr>
        <w:pStyle w:val="5"/>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snapToGrid w:val="0"/>
          <w:sz w:val="32"/>
          <w:szCs w:val="32"/>
          <w:highlight w:val="none"/>
          <w:lang w:val="en-US" w:eastAsia="zh-CN"/>
        </w:rPr>
      </w:pPr>
      <w:r>
        <w:rPr>
          <w:rFonts w:hint="default" w:ascii="Times New Roman" w:hAnsi="Times New Roman" w:eastAsia="仿宋_GB2312" w:cs="Times New Roman"/>
          <w:snapToGrid w:val="0"/>
          <w:sz w:val="32"/>
          <w:szCs w:val="32"/>
          <w:highlight w:val="none"/>
          <w:lang w:val="en-US" w:eastAsia="zh-CN"/>
        </w:rPr>
        <w:t>重点民生项目积极回应了人民群众关切的问题，</w:t>
      </w:r>
      <w:r>
        <w:rPr>
          <w:rFonts w:hint="default" w:ascii="Times New Roman" w:hAnsi="Times New Roman" w:eastAsia="仿宋_GB2312" w:cs="Times New Roman"/>
          <w:kern w:val="0"/>
          <w:sz w:val="32"/>
          <w:szCs w:val="32"/>
          <w:lang w:bidi="zh-CN"/>
        </w:rPr>
        <w:t>在群众最关心处、最迫切时、最细微处</w:t>
      </w:r>
      <w:r>
        <w:rPr>
          <w:rFonts w:hint="default" w:ascii="Times New Roman" w:hAnsi="Times New Roman" w:eastAsia="仿宋_GB2312" w:cs="Times New Roman"/>
          <w:kern w:val="0"/>
          <w:sz w:val="32"/>
          <w:szCs w:val="32"/>
          <w:lang w:val="en-US" w:bidi="zh-CN"/>
        </w:rPr>
        <w:t>发力</w:t>
      </w:r>
      <w:r>
        <w:rPr>
          <w:rFonts w:hint="default" w:ascii="Times New Roman" w:hAnsi="Times New Roman" w:eastAsia="仿宋_GB2312" w:cs="Times New Roman"/>
          <w:kern w:val="0"/>
          <w:sz w:val="32"/>
          <w:szCs w:val="32"/>
          <w:lang w:bidi="zh-CN"/>
        </w:rPr>
        <w:t>，在发展中保障和改善民生，让发展更有温度，幸福更有质感。</w:t>
      </w:r>
      <w:r>
        <w:rPr>
          <w:rFonts w:hint="eastAsia" w:eastAsia="仿宋_GB2312" w:cs="Times New Roman"/>
          <w:kern w:val="0"/>
          <w:sz w:val="32"/>
          <w:szCs w:val="32"/>
          <w:lang w:bidi="zh-CN"/>
        </w:rPr>
        <w:t>所</w:t>
      </w:r>
      <w:r>
        <w:rPr>
          <w:rFonts w:hint="eastAsia" w:ascii="Times New Roman" w:hAnsi="Times New Roman" w:eastAsia="仿宋_GB2312" w:cs="Times New Roman"/>
          <w:snapToGrid w:val="0"/>
          <w:sz w:val="32"/>
          <w:szCs w:val="32"/>
          <w:highlight w:val="none"/>
          <w:lang w:val="en-US" w:eastAsia="zh-CN"/>
        </w:rPr>
        <w:t>项目的实施具有可持续影响，产生的可持续影响效益基本达到预期设定指标</w:t>
      </w:r>
      <w:r>
        <w:rPr>
          <w:rFonts w:hint="eastAsia" w:eastAsia="仿宋_GB2312" w:cs="Times New Roman"/>
          <w:snapToGrid w:val="0"/>
          <w:sz w:val="32"/>
          <w:szCs w:val="32"/>
          <w:highlight w:val="none"/>
          <w:lang w:val="en-US" w:eastAsia="zh-CN"/>
        </w:rPr>
        <w:t>。</w:t>
      </w:r>
      <w:r>
        <w:rPr>
          <w:rFonts w:hint="eastAsia" w:ascii="Times New Roman" w:hAnsi="Times New Roman" w:eastAsia="仿宋_GB2312" w:cs="Times New Roman"/>
          <w:snapToGrid w:val="0"/>
          <w:sz w:val="32"/>
          <w:szCs w:val="32"/>
          <w:highlight w:val="none"/>
          <w:lang w:val="en-US" w:eastAsia="zh-CN"/>
        </w:rPr>
        <w:t>部分项目在执行过程中缺乏跟踪过程和监管措施，针对绩效效果的数据汇总分析不够深入。</w:t>
      </w:r>
    </w:p>
    <w:p w14:paraId="7DFEA739">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p>
    <w:p w14:paraId="3A7455F2">
      <w:pPr>
        <w:pStyle w:val="5"/>
        <w:keepNext w:val="0"/>
        <w:keepLines w:val="0"/>
        <w:pageBreakBefore w:val="0"/>
        <w:kinsoku/>
        <w:wordWrap/>
        <w:overflowPunct/>
        <w:topLinePunct w:val="0"/>
        <w:autoSpaceDE/>
        <w:autoSpaceDN/>
        <w:bidi w:val="0"/>
        <w:adjustRightInd/>
        <w:snapToGrid/>
        <w:spacing w:line="560" w:lineRule="exact"/>
        <w:ind w:right="0" w:rightChars="0" w:firstLine="560"/>
        <w:textAlignment w:val="auto"/>
      </w:pPr>
      <w:r>
        <w:rPr>
          <w:rFonts w:hint="eastAsia" w:ascii="仿宋_GB2312" w:hAnsi="仿宋" w:eastAsia="仿宋_GB2312" w:cs="仿宋"/>
          <w:bCs/>
          <w:kern w:val="2"/>
          <w:sz w:val="32"/>
          <w:szCs w:val="32"/>
          <w:lang w:val="en-US" w:eastAsia="zh-CN" w:bidi="ar-SA"/>
        </w:rPr>
        <w:t>本部门针对基层党组织服务群众、公益事业、为民办实事活动等项目通过家庭走访、调查问卷等方式开展满意度调查，服务对象对</w:t>
      </w:r>
      <w:r>
        <w:rPr>
          <w:rFonts w:hint="default" w:ascii="仿宋_GB2312" w:hAnsi="仿宋" w:eastAsia="仿宋_GB2312" w:cs="仿宋"/>
          <w:bCs/>
          <w:kern w:val="2"/>
          <w:sz w:val="32"/>
          <w:szCs w:val="32"/>
          <w:lang w:val="en-US" w:eastAsia="zh-CN" w:bidi="ar-SA"/>
        </w:rPr>
        <w:t>参与</w:t>
      </w:r>
      <w:r>
        <w:rPr>
          <w:rFonts w:hint="eastAsia" w:ascii="仿宋_GB2312" w:hAnsi="仿宋" w:eastAsia="仿宋_GB2312" w:cs="仿宋"/>
          <w:bCs/>
          <w:kern w:val="2"/>
          <w:sz w:val="32"/>
          <w:szCs w:val="32"/>
          <w:lang w:val="en-US" w:eastAsia="zh-CN" w:bidi="ar-SA"/>
        </w:rPr>
        <w:t>积极性高，对项目的实施过程满意度较高。</w:t>
      </w:r>
    </w:p>
    <w:p w14:paraId="6BA005CC">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14:paraId="6D9F6B4A">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楷体_GB2312" w:eastAsia="楷体_GB2312"/>
          <w:sz w:val="32"/>
          <w:szCs w:val="32"/>
        </w:rPr>
      </w:pPr>
      <w:r>
        <w:rPr>
          <w:rFonts w:hint="eastAsia" w:ascii="楷体_GB2312" w:eastAsia="楷体_GB2312"/>
          <w:sz w:val="32"/>
          <w:szCs w:val="32"/>
        </w:rPr>
        <w:t>（一）财务管理</w:t>
      </w:r>
    </w:p>
    <w:p w14:paraId="4E942B5D">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14:paraId="414C85B0">
      <w:pPr>
        <w:pStyle w:val="2"/>
        <w:keepNext w:val="0"/>
        <w:keepLines w:val="0"/>
        <w:pageBreakBefore w:val="0"/>
        <w:kinsoku/>
        <w:wordWrap/>
        <w:overflowPunct/>
        <w:topLinePunct w:val="0"/>
        <w:bidi w:val="0"/>
        <w:snapToGrid/>
        <w:spacing w:beforeLines="0" w:afterLines="0" w:line="560" w:lineRule="exact"/>
        <w:ind w:left="0" w:leftChars="0" w:right="0" w:rightChars="0" w:firstLine="640" w:firstLineChars="200"/>
        <w:textAlignment w:val="auto"/>
        <w:rPr>
          <w:rFonts w:hint="default" w:ascii="Times New Roman" w:hAnsi="Times New Roman" w:cs="Times New Roman"/>
        </w:rPr>
      </w:pPr>
      <w:r>
        <w:rPr>
          <w:rFonts w:hint="eastAsia" w:ascii="仿宋_GB2312" w:hAnsi="仿宋" w:eastAsia="仿宋_GB2312" w:cs="仿宋"/>
          <w:bCs/>
          <w:kern w:val="2"/>
          <w:sz w:val="32"/>
          <w:szCs w:val="32"/>
          <w:lang w:val="en-US" w:eastAsia="zh-CN" w:bidi="ar-SA"/>
        </w:rPr>
        <w:t>本部门结合实际工作修订完善《内部控制规范手册》《预算绩效实施细则》等一系列规章制度，</w:t>
      </w:r>
      <w:r>
        <w:rPr>
          <w:rFonts w:hint="eastAsia" w:ascii="仿宋_GB2312" w:hAnsi="仿宋_GB2312" w:eastAsia="仿宋_GB2312" w:cs="仿宋_GB2312"/>
          <w:sz w:val="32"/>
          <w:szCs w:val="32"/>
        </w:rPr>
        <w:t>加强资金核算和管理，开展财务分析，加强财务监督检查，保障资金安全与完整，提高资金使用效率，</w:t>
      </w:r>
      <w:r>
        <w:rPr>
          <w:rFonts w:hint="eastAsia" w:ascii="仿宋_GB2312" w:hAnsi="仿宋_GB2312" w:eastAsia="仿宋_GB2312" w:cs="仿宋_GB2312"/>
          <w:sz w:val="32"/>
          <w:szCs w:val="32"/>
          <w:lang w:eastAsia="zh-CN"/>
        </w:rPr>
        <w:t>确</w:t>
      </w:r>
      <w:r>
        <w:rPr>
          <w:rFonts w:hint="eastAsia" w:ascii="仿宋_GB2312" w:hAnsi="仿宋_GB2312" w:eastAsia="仿宋_GB2312" w:cs="仿宋_GB2312"/>
          <w:sz w:val="32"/>
          <w:szCs w:val="32"/>
        </w:rPr>
        <w:t>保各项工作的正常开展。</w:t>
      </w:r>
    </w:p>
    <w:p w14:paraId="19D86E52">
      <w:pPr>
        <w:keepNext w:val="0"/>
        <w:keepLines w:val="0"/>
        <w:pageBreakBefore w:val="0"/>
        <w:numPr>
          <w:ilvl w:val="0"/>
          <w:numId w:val="4"/>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资金使用合规性</w:t>
      </w:r>
      <w:r>
        <w:rPr>
          <w:rFonts w:ascii="仿宋_GB2312" w:hAnsi="宋体" w:eastAsia="仿宋_GB2312" w:cs="宋体"/>
          <w:color w:val="000000"/>
          <w:kern w:val="0"/>
          <w:sz w:val="32"/>
          <w:szCs w:val="32"/>
        </w:rPr>
        <w:t>和安全性</w:t>
      </w:r>
    </w:p>
    <w:p w14:paraId="43E23BCB">
      <w:pPr>
        <w:pStyle w:val="2"/>
        <w:keepNext w:val="0"/>
        <w:keepLines w:val="0"/>
        <w:pageBreakBefore w:val="0"/>
        <w:kinsoku/>
        <w:wordWrap/>
        <w:overflowPunct/>
        <w:topLinePunct w:val="0"/>
        <w:bidi w:val="0"/>
        <w:snapToGrid/>
        <w:spacing w:beforeLines="0" w:afterLines="0"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 w:eastAsia="仿宋_GB2312" w:cs="仿宋"/>
          <w:bCs/>
          <w:kern w:val="2"/>
          <w:sz w:val="32"/>
          <w:szCs w:val="32"/>
          <w:lang w:val="en-US" w:eastAsia="zh-CN" w:bidi="ar-SA"/>
        </w:rPr>
        <w:t>在2024年部门预算管理中，</w:t>
      </w:r>
      <w:r>
        <w:rPr>
          <w:rFonts w:hint="default" w:ascii="Times New Roman" w:hAnsi="Times New Roman" w:eastAsia="仿宋_GB2312" w:cs="Times New Roman"/>
          <w:kern w:val="2"/>
          <w:sz w:val="32"/>
          <w:szCs w:val="32"/>
          <w:lang w:val="en-US" w:eastAsia="zh-CN" w:bidi="ar-SA"/>
        </w:rPr>
        <w:t>全面规范财政基础管理，</w:t>
      </w:r>
      <w:r>
        <w:rPr>
          <w:rFonts w:hint="eastAsia" w:ascii="仿宋_GB2312" w:hAnsi="仿宋_GB2312" w:eastAsia="仿宋_GB2312" w:cs="仿宋_GB2312"/>
          <w:color w:val="353535"/>
          <w:kern w:val="0"/>
          <w:sz w:val="32"/>
          <w:szCs w:val="32"/>
        </w:rPr>
        <w:t>厉行节约，</w:t>
      </w:r>
      <w:r>
        <w:rPr>
          <w:rFonts w:hint="default" w:ascii="Times New Roman" w:hAnsi="Times New Roman" w:cs="Times New Roman"/>
          <w:b w:val="0"/>
          <w:bCs w:val="0"/>
          <w:sz w:val="32"/>
          <w:szCs w:val="32"/>
          <w:lang w:val="en-US" w:eastAsia="zh-CN"/>
        </w:rPr>
        <w:t>着力提高单位内部控制水平和风险防范能力，确保财政资金安全，有效预防违规违纪行为发生</w:t>
      </w:r>
      <w:r>
        <w:rPr>
          <w:rFonts w:hint="default" w:ascii="Times New Roman" w:hAnsi="Times New Roman" w:cs="Times New Roman"/>
          <w:spacing w:val="9"/>
        </w:rPr>
        <w:t>。</w:t>
      </w:r>
      <w:r>
        <w:rPr>
          <w:rFonts w:hint="eastAsia" w:ascii="仿宋_GB2312" w:hAnsi="仿宋" w:eastAsia="仿宋_GB2312" w:cs="仿宋"/>
          <w:bCs/>
          <w:kern w:val="2"/>
          <w:sz w:val="32"/>
          <w:szCs w:val="32"/>
          <w:lang w:val="en-US" w:eastAsia="zh-CN" w:bidi="ar-SA"/>
        </w:rPr>
        <w:t>一是坚持统筹兼顾、</w:t>
      </w:r>
      <w:r>
        <w:rPr>
          <w:rFonts w:hint="default" w:ascii="Times New Roman" w:hAnsi="Times New Roman" w:eastAsia="仿宋_GB2312" w:cs="Times New Roman"/>
          <w:kern w:val="2"/>
          <w:sz w:val="32"/>
          <w:szCs w:val="32"/>
          <w:lang w:val="en-US" w:eastAsia="zh-CN" w:bidi="ar-SA"/>
        </w:rPr>
        <w:t>专款专用</w:t>
      </w:r>
      <w:r>
        <w:rPr>
          <w:rFonts w:hint="eastAsia" w:ascii="Times New Roman" w:hAnsi="Times New Roman" w:eastAsia="仿宋_GB2312" w:cs="Times New Roman"/>
          <w:kern w:val="2"/>
          <w:sz w:val="32"/>
          <w:szCs w:val="32"/>
          <w:lang w:val="en-US" w:eastAsia="zh-CN" w:bidi="ar-SA"/>
        </w:rPr>
        <w:t>、</w:t>
      </w:r>
      <w:r>
        <w:rPr>
          <w:rFonts w:hint="eastAsia" w:ascii="仿宋_GB2312" w:hAnsi="仿宋" w:eastAsia="仿宋_GB2312" w:cs="仿宋"/>
          <w:bCs/>
          <w:kern w:val="2"/>
          <w:sz w:val="32"/>
          <w:szCs w:val="32"/>
          <w:lang w:val="en-US" w:eastAsia="zh-CN" w:bidi="ar-SA"/>
        </w:rPr>
        <w:t>原则，严格执行预算，</w:t>
      </w:r>
      <w:r>
        <w:rPr>
          <w:rFonts w:hint="default" w:ascii="Times New Roman" w:hAnsi="Times New Roman" w:eastAsia="仿宋_GB2312" w:cs="Times New Roman"/>
          <w:kern w:val="2"/>
          <w:sz w:val="32"/>
          <w:szCs w:val="32"/>
          <w:lang w:val="en-US" w:eastAsia="zh-CN" w:bidi="ar-SA"/>
        </w:rPr>
        <w:t>严禁超</w:t>
      </w:r>
      <w:r>
        <w:rPr>
          <w:rFonts w:hint="eastAsia" w:eastAsia="仿宋_GB2312" w:cs="Times New Roman"/>
          <w:kern w:val="2"/>
          <w:sz w:val="32"/>
          <w:szCs w:val="32"/>
          <w:lang w:val="en-US" w:eastAsia="zh-CN" w:bidi="ar-SA"/>
        </w:rPr>
        <w:t>范围</w:t>
      </w:r>
      <w:r>
        <w:rPr>
          <w:rFonts w:hint="default" w:ascii="Times New Roman" w:hAnsi="Times New Roman" w:eastAsia="仿宋_GB2312" w:cs="Times New Roman"/>
          <w:kern w:val="2"/>
          <w:sz w:val="32"/>
          <w:szCs w:val="32"/>
          <w:lang w:val="en-US" w:eastAsia="zh-CN" w:bidi="ar-SA"/>
        </w:rPr>
        <w:t>开支</w:t>
      </w:r>
      <w:r>
        <w:rPr>
          <w:rFonts w:hint="eastAsia" w:ascii="Times New Roman" w:hAnsi="Times New Roman" w:eastAsia="仿宋_GB2312" w:cs="Times New Roman"/>
          <w:kern w:val="2"/>
          <w:sz w:val="32"/>
          <w:szCs w:val="32"/>
          <w:lang w:val="en-US" w:eastAsia="zh-CN" w:bidi="ar-SA"/>
        </w:rPr>
        <w:t>。二是</w:t>
      </w:r>
      <w:r>
        <w:rPr>
          <w:rFonts w:hint="eastAsia" w:ascii="仿宋_GB2312" w:hAnsi="仿宋" w:eastAsia="仿宋_GB2312" w:cs="仿宋"/>
          <w:bCs/>
          <w:kern w:val="2"/>
          <w:sz w:val="32"/>
          <w:szCs w:val="32"/>
          <w:lang w:val="en-US" w:eastAsia="zh-CN" w:bidi="ar-SA"/>
        </w:rPr>
        <w:t>履行“三重一大”程序，</w:t>
      </w:r>
      <w:r>
        <w:rPr>
          <w:rFonts w:hint="default" w:ascii="Times New Roman" w:hAnsi="Times New Roman" w:eastAsia="仿宋_GB2312" w:cs="Times New Roman"/>
          <w:kern w:val="2"/>
          <w:sz w:val="32"/>
          <w:szCs w:val="32"/>
          <w:lang w:val="en-US" w:eastAsia="zh-CN" w:bidi="ar-SA"/>
        </w:rPr>
        <w:t>强</w:t>
      </w:r>
      <w:r>
        <w:rPr>
          <w:rFonts w:hint="eastAsia" w:eastAsia="仿宋_GB2312" w:cs="Times New Roman"/>
          <w:kern w:val="2"/>
          <w:sz w:val="32"/>
          <w:szCs w:val="32"/>
          <w:lang w:val="en-US" w:eastAsia="zh-CN" w:bidi="ar-SA"/>
        </w:rPr>
        <w:t>化</w:t>
      </w:r>
      <w:r>
        <w:rPr>
          <w:rFonts w:hint="default" w:ascii="Times New Roman" w:hAnsi="Times New Roman" w:eastAsia="仿宋_GB2312" w:cs="Times New Roman"/>
          <w:kern w:val="2"/>
          <w:sz w:val="32"/>
          <w:szCs w:val="32"/>
          <w:lang w:val="en-US" w:eastAsia="zh-CN" w:bidi="ar-SA"/>
        </w:rPr>
        <w:t>资金监管，</w:t>
      </w:r>
      <w:r>
        <w:rPr>
          <w:rFonts w:hint="eastAsia" w:eastAsia="仿宋_GB2312" w:cs="Times New Roman"/>
          <w:kern w:val="2"/>
          <w:sz w:val="32"/>
          <w:szCs w:val="32"/>
          <w:lang w:val="en-US" w:eastAsia="zh-CN" w:bidi="ar-SA"/>
        </w:rPr>
        <w:t>严把</w:t>
      </w:r>
      <w:r>
        <w:rPr>
          <w:rFonts w:hint="default" w:ascii="Times New Roman" w:hAnsi="Times New Roman" w:eastAsia="仿宋_GB2312" w:cs="Times New Roman"/>
          <w:kern w:val="2"/>
          <w:sz w:val="32"/>
          <w:szCs w:val="32"/>
          <w:lang w:val="en-US" w:eastAsia="zh-CN" w:bidi="ar-SA"/>
        </w:rPr>
        <w:t>项目验收</w:t>
      </w:r>
      <w:r>
        <w:rPr>
          <w:rFonts w:hint="eastAsia" w:eastAsia="仿宋_GB2312" w:cs="Times New Roman"/>
          <w:kern w:val="2"/>
          <w:sz w:val="32"/>
          <w:szCs w:val="32"/>
          <w:lang w:val="en-US" w:eastAsia="zh-CN" w:bidi="ar-SA"/>
        </w:rPr>
        <w:t>、评审环节</w:t>
      </w:r>
      <w:r>
        <w:rPr>
          <w:rFonts w:hint="default" w:ascii="Times New Roman" w:hAnsi="Times New Roman" w:eastAsia="仿宋_GB2312" w:cs="Times New Roman"/>
          <w:kern w:val="2"/>
          <w:sz w:val="32"/>
          <w:szCs w:val="32"/>
          <w:lang w:val="en-US" w:eastAsia="zh-CN" w:bidi="ar-SA"/>
        </w:rPr>
        <w:t>，保质保量完成任务。</w:t>
      </w:r>
    </w:p>
    <w:p w14:paraId="3069DFD5">
      <w:pPr>
        <w:keepNext w:val="0"/>
        <w:keepLines w:val="0"/>
        <w:pageBreakBefore w:val="0"/>
        <w:numPr>
          <w:ilvl w:val="0"/>
          <w:numId w:val="4"/>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14:paraId="556F519D">
      <w:pPr>
        <w:pStyle w:val="5"/>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eastAsia="宋体"/>
          <w:lang w:val="en-US" w:eastAsia="zh-CN"/>
        </w:rPr>
      </w:pPr>
      <w:r>
        <w:rPr>
          <w:rFonts w:hint="eastAsia" w:ascii="仿宋_GB2312" w:hAnsi="仿宋" w:eastAsia="仿宋_GB2312" w:cs="仿宋"/>
          <w:bCs/>
          <w:kern w:val="2"/>
          <w:sz w:val="32"/>
          <w:szCs w:val="32"/>
          <w:lang w:val="en-US" w:eastAsia="zh-CN" w:bidi="ar-SA"/>
        </w:rPr>
        <w:t>本部门严格执行国家财经法规和财务管理制度规定，扎实做好会计核算基础工作，会计资料真实、准确、完整，</w:t>
      </w:r>
      <w:r>
        <w:rPr>
          <w:rFonts w:hint="default" w:ascii="Times New Roman" w:hAnsi="Times New Roman" w:eastAsia="仿宋_GB2312" w:cs="Times New Roman"/>
          <w:kern w:val="2"/>
          <w:sz w:val="32"/>
          <w:szCs w:val="32"/>
          <w:lang w:val="en-US" w:eastAsia="zh-CN" w:bidi="ar-SA"/>
        </w:rPr>
        <w:t>预算拨款不存在支出依据不合规、虚列支出、截留、挤占、挪用项目资金等情况。</w:t>
      </w:r>
    </w:p>
    <w:p w14:paraId="6113A7B9">
      <w:pPr>
        <w:keepNext w:val="0"/>
        <w:keepLines w:val="0"/>
        <w:pageBreakBefore w:val="0"/>
        <w:numPr>
          <w:ilvl w:val="0"/>
          <w:numId w:val="5"/>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楷体_GB2312" w:eastAsia="楷体_GB2312"/>
          <w:sz w:val="32"/>
          <w:szCs w:val="32"/>
        </w:rPr>
      </w:pPr>
      <w:r>
        <w:rPr>
          <w:rFonts w:hint="eastAsia" w:ascii="楷体_GB2312" w:eastAsia="楷体_GB2312"/>
          <w:sz w:val="32"/>
          <w:szCs w:val="32"/>
        </w:rPr>
        <w:t>资产管理</w:t>
      </w:r>
    </w:p>
    <w:p w14:paraId="43F9B409">
      <w:pPr>
        <w:pStyle w:val="15"/>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pPr>
      <w:r>
        <w:rPr>
          <w:rFonts w:hint="eastAsia" w:ascii="仿宋_GB2312" w:hAnsi="仿宋_GB2312" w:eastAsia="仿宋_GB2312" w:cs="仿宋_GB2312"/>
          <w:bCs/>
          <w:sz w:val="32"/>
          <w:szCs w:val="32"/>
        </w:rPr>
        <w:t>资产管理和使用坚持统一政策、统一领导、分级管理、责任到人、物尽其用的原则。</w:t>
      </w:r>
      <w:r>
        <w:rPr>
          <w:rFonts w:hint="eastAsia" w:ascii="仿宋_GB2312" w:hAnsi="仿宋" w:eastAsia="仿宋_GB2312" w:cs="仿宋"/>
          <w:bCs/>
          <w:kern w:val="2"/>
          <w:sz w:val="32"/>
          <w:szCs w:val="32"/>
          <w:lang w:val="en-US" w:eastAsia="zh-CN" w:bidi="ar-SA"/>
        </w:rPr>
        <w:t>严格执行</w:t>
      </w:r>
      <w:r>
        <w:rPr>
          <w:rFonts w:hint="default" w:ascii="Times New Roman" w:hAnsi="Times New Roman" w:eastAsia="仿宋_GB2312" w:cs="Times New Roman"/>
          <w:kern w:val="2"/>
          <w:sz w:val="32"/>
          <w:szCs w:val="32"/>
          <w:lang w:val="en-US" w:eastAsia="zh-CN" w:bidi="ar-SA"/>
        </w:rPr>
        <w:t>固定资产预算</w:t>
      </w:r>
      <w:r>
        <w:rPr>
          <w:rFonts w:hint="eastAsia" w:ascii="Times New Roman" w:hAnsi="Times New Roman" w:eastAsia="仿宋_GB2312" w:cs="Times New Roman"/>
          <w:kern w:val="2"/>
          <w:sz w:val="32"/>
          <w:szCs w:val="32"/>
          <w:lang w:val="en-US" w:eastAsia="zh-CN" w:bidi="ar-SA"/>
        </w:rPr>
        <w:t>申报、</w:t>
      </w:r>
      <w:r>
        <w:rPr>
          <w:rFonts w:hint="default" w:ascii="Times New Roman" w:hAnsi="Times New Roman" w:eastAsia="仿宋_GB2312" w:cs="Times New Roman"/>
          <w:kern w:val="2"/>
          <w:sz w:val="32"/>
          <w:szCs w:val="32"/>
          <w:lang w:val="en-US" w:eastAsia="zh-CN" w:bidi="ar-SA"/>
        </w:rPr>
        <w:t>资产购置</w:t>
      </w:r>
      <w:r>
        <w:rPr>
          <w:rFonts w:hint="eastAsia" w:ascii="Times New Roman" w:hAnsi="Times New Roman" w:eastAsia="仿宋_GB2312" w:cs="Times New Roman"/>
          <w:kern w:val="2"/>
          <w:sz w:val="32"/>
          <w:szCs w:val="32"/>
          <w:lang w:val="en-US" w:eastAsia="zh-CN" w:bidi="ar-SA"/>
        </w:rPr>
        <w:t>、资产处置</w:t>
      </w:r>
      <w:r>
        <w:rPr>
          <w:rFonts w:hint="default" w:ascii="Times New Roman" w:hAnsi="Times New Roman" w:eastAsia="仿宋_GB2312" w:cs="Times New Roman"/>
          <w:kern w:val="2"/>
          <w:sz w:val="32"/>
          <w:szCs w:val="32"/>
          <w:lang w:val="en-US" w:eastAsia="zh-CN" w:bidi="ar-SA"/>
        </w:rPr>
        <w:t>审批程序</w:t>
      </w:r>
      <w:r>
        <w:rPr>
          <w:rFonts w:hint="eastAsia" w:ascii="Times New Roman" w:hAnsi="Times New Roman" w:eastAsia="仿宋_GB2312" w:cs="Times New Roman"/>
          <w:kern w:val="2"/>
          <w:sz w:val="32"/>
          <w:szCs w:val="32"/>
          <w:lang w:val="en-US" w:eastAsia="zh-CN" w:bidi="ar-SA"/>
        </w:rPr>
        <w:t>；严格</w:t>
      </w:r>
      <w:r>
        <w:rPr>
          <w:rFonts w:hint="eastAsia" w:ascii="仿宋_GB2312" w:hAnsi="仿宋" w:eastAsia="仿宋_GB2312" w:cs="仿宋"/>
          <w:bCs/>
          <w:kern w:val="2"/>
          <w:sz w:val="32"/>
          <w:szCs w:val="32"/>
          <w:lang w:val="en-US" w:eastAsia="zh-CN" w:bidi="ar-SA"/>
        </w:rPr>
        <w:t>按照资产配置标准配置资产；严格做好</w:t>
      </w:r>
      <w:r>
        <w:rPr>
          <w:rFonts w:hint="eastAsia" w:ascii="仿宋_GB2312" w:hAnsi="仿宋_GB2312" w:eastAsia="仿宋_GB2312" w:cs="仿宋_GB2312"/>
          <w:bCs/>
          <w:sz w:val="32"/>
          <w:szCs w:val="32"/>
        </w:rPr>
        <w:t>资产日常核算工作</w:t>
      </w:r>
      <w:r>
        <w:rPr>
          <w:rFonts w:hint="eastAsia" w:ascii="仿宋_GB2312" w:hAnsi="仿宋_GB2312" w:eastAsia="仿宋_GB2312" w:cs="仿宋_GB2312"/>
          <w:bCs/>
          <w:sz w:val="32"/>
          <w:szCs w:val="32"/>
          <w:lang w:eastAsia="zh-CN"/>
        </w:rPr>
        <w:t>；资产使用部门</w:t>
      </w:r>
      <w:r>
        <w:rPr>
          <w:rFonts w:hint="eastAsia" w:ascii="仿宋_GB2312" w:hAnsi="仿宋_GB2312" w:eastAsia="仿宋_GB2312" w:cs="仿宋_GB2312"/>
          <w:bCs/>
          <w:sz w:val="32"/>
          <w:szCs w:val="32"/>
        </w:rPr>
        <w:t>合理、有效使用</w:t>
      </w:r>
      <w:r>
        <w:rPr>
          <w:rFonts w:hint="eastAsia" w:ascii="仿宋_GB2312" w:hAnsi="仿宋_GB2312" w:eastAsia="仿宋_GB2312" w:cs="仿宋_GB2312"/>
          <w:bCs/>
          <w:sz w:val="32"/>
          <w:szCs w:val="32"/>
          <w:lang w:eastAsia="zh-CN"/>
        </w:rPr>
        <w:t>，并做好</w:t>
      </w:r>
      <w:r>
        <w:rPr>
          <w:rFonts w:hint="eastAsia" w:ascii="仿宋_GB2312" w:hAnsi="仿宋_GB2312" w:eastAsia="仿宋_GB2312" w:cs="仿宋_GB2312"/>
          <w:bCs/>
          <w:sz w:val="32"/>
          <w:szCs w:val="32"/>
        </w:rPr>
        <w:t>日常维护管理</w:t>
      </w:r>
      <w:r>
        <w:rPr>
          <w:rFonts w:hint="eastAsia" w:ascii="仿宋_GB2312" w:hAnsi="仿宋_GB2312" w:eastAsia="仿宋_GB2312" w:cs="仿宋_GB2312"/>
          <w:bCs/>
          <w:sz w:val="32"/>
          <w:szCs w:val="32"/>
          <w:lang w:eastAsia="zh-CN"/>
        </w:rPr>
        <w:t>；</w:t>
      </w:r>
      <w:r>
        <w:rPr>
          <w:rFonts w:hint="default" w:ascii="Times New Roman" w:hAnsi="Times New Roman" w:eastAsia="仿宋_GB2312" w:cs="Times New Roman"/>
          <w:kern w:val="2"/>
          <w:sz w:val="32"/>
          <w:szCs w:val="32"/>
          <w:lang w:val="en-US" w:eastAsia="zh-CN" w:bidi="ar-SA"/>
        </w:rPr>
        <w:t>定期</w:t>
      </w:r>
      <w:r>
        <w:rPr>
          <w:rFonts w:hint="eastAsia" w:ascii="Times New Roman" w:hAnsi="Times New Roman" w:eastAsia="仿宋_GB2312" w:cs="Times New Roman"/>
          <w:kern w:val="2"/>
          <w:sz w:val="32"/>
          <w:szCs w:val="32"/>
          <w:lang w:val="en-US" w:eastAsia="zh-CN" w:bidi="ar-SA"/>
        </w:rPr>
        <w:t>组织</w:t>
      </w:r>
      <w:r>
        <w:rPr>
          <w:rFonts w:hint="default" w:ascii="Times New Roman" w:hAnsi="Times New Roman" w:eastAsia="仿宋_GB2312" w:cs="Times New Roman"/>
          <w:kern w:val="2"/>
          <w:sz w:val="32"/>
          <w:szCs w:val="32"/>
          <w:lang w:val="en-US" w:eastAsia="zh-CN" w:bidi="ar-SA"/>
        </w:rPr>
        <w:t>资产清查，</w:t>
      </w:r>
      <w:r>
        <w:rPr>
          <w:rFonts w:hint="eastAsia" w:ascii="仿宋_GB2312" w:hAnsi="仿宋" w:eastAsia="仿宋_GB2312" w:cs="仿宋"/>
          <w:bCs/>
          <w:kern w:val="2"/>
          <w:sz w:val="32"/>
          <w:szCs w:val="32"/>
          <w:lang w:val="en-US" w:eastAsia="zh-CN" w:bidi="ar-SA"/>
        </w:rPr>
        <w:t>做好</w:t>
      </w:r>
      <w:r>
        <w:rPr>
          <w:rFonts w:hint="default" w:ascii="Times New Roman" w:hAnsi="Times New Roman" w:eastAsia="仿宋_GB2312" w:cs="Times New Roman"/>
          <w:kern w:val="2"/>
          <w:sz w:val="32"/>
          <w:szCs w:val="32"/>
          <w:lang w:val="en-US" w:eastAsia="zh-CN" w:bidi="ar-SA"/>
        </w:rPr>
        <w:t>全乡统筹调配资产</w:t>
      </w:r>
      <w:r>
        <w:rPr>
          <w:rFonts w:hint="eastAsia" w:ascii="Times New Roman" w:hAnsi="Times New Roman" w:eastAsia="仿宋_GB2312" w:cs="Times New Roman"/>
          <w:kern w:val="2"/>
          <w:sz w:val="32"/>
          <w:szCs w:val="32"/>
          <w:lang w:val="en-US" w:eastAsia="zh-CN" w:bidi="ar-SA"/>
        </w:rPr>
        <w:t>工作</w:t>
      </w:r>
      <w:r>
        <w:rPr>
          <w:rFonts w:hint="default" w:ascii="Times New Roman" w:hAnsi="Times New Roman" w:eastAsia="仿宋_GB2312" w:cs="Times New Roman"/>
          <w:kern w:val="2"/>
          <w:sz w:val="32"/>
          <w:szCs w:val="32"/>
          <w:lang w:val="en-US" w:eastAsia="zh-CN" w:bidi="ar-SA"/>
        </w:rPr>
        <w:t>，</w:t>
      </w:r>
      <w:r>
        <w:rPr>
          <w:rFonts w:hint="eastAsia" w:ascii="仿宋_GB2312" w:hAnsi="仿宋_GB2312" w:eastAsia="仿宋_GB2312" w:cs="仿宋_GB2312"/>
          <w:bCs/>
          <w:sz w:val="32"/>
          <w:szCs w:val="32"/>
        </w:rPr>
        <w:t>保障</w:t>
      </w:r>
      <w:r>
        <w:rPr>
          <w:rFonts w:hint="eastAsia" w:ascii="仿宋_GB2312" w:hAnsi="仿宋_GB2312" w:eastAsia="仿宋_GB2312" w:cs="仿宋_GB2312"/>
          <w:bCs/>
          <w:sz w:val="32"/>
          <w:szCs w:val="32"/>
          <w:lang w:eastAsia="zh-CN"/>
        </w:rPr>
        <w:t>固定</w:t>
      </w:r>
      <w:r>
        <w:rPr>
          <w:rFonts w:hint="eastAsia" w:ascii="仿宋_GB2312" w:hAnsi="仿宋_GB2312" w:eastAsia="仿宋_GB2312" w:cs="仿宋_GB2312"/>
          <w:bCs/>
          <w:sz w:val="32"/>
          <w:szCs w:val="32"/>
        </w:rPr>
        <w:t>资产</w:t>
      </w:r>
      <w:r>
        <w:rPr>
          <w:rFonts w:hint="eastAsia" w:ascii="仿宋_GB2312" w:hAnsi="仿宋_GB2312" w:eastAsia="仿宋_GB2312" w:cs="仿宋_GB2312"/>
          <w:bCs/>
          <w:sz w:val="32"/>
          <w:szCs w:val="32"/>
          <w:lang w:eastAsia="zh-CN"/>
        </w:rPr>
        <w:t>和无形资产</w:t>
      </w:r>
      <w:r>
        <w:rPr>
          <w:rFonts w:hint="eastAsia" w:ascii="仿宋_GB2312" w:hAnsi="仿宋_GB2312" w:eastAsia="仿宋_GB2312" w:cs="仿宋_GB2312"/>
          <w:bCs/>
          <w:sz w:val="32"/>
          <w:szCs w:val="32"/>
        </w:rPr>
        <w:t>的安全和完整</w:t>
      </w:r>
      <w:r>
        <w:rPr>
          <w:rFonts w:hint="eastAsia" w:ascii="仿宋_GB2312" w:hAnsi="仿宋_GB2312" w:eastAsia="仿宋_GB2312" w:cs="仿宋_GB2312"/>
          <w:bCs/>
          <w:sz w:val="32"/>
          <w:szCs w:val="32"/>
          <w:lang w:eastAsia="zh-CN"/>
        </w:rPr>
        <w:t>，</w:t>
      </w:r>
      <w:r>
        <w:rPr>
          <w:rFonts w:hint="default" w:ascii="Times New Roman" w:hAnsi="Times New Roman" w:eastAsia="仿宋_GB2312" w:cs="Times New Roman"/>
          <w:kern w:val="2"/>
          <w:sz w:val="32"/>
          <w:szCs w:val="32"/>
          <w:lang w:val="en-US" w:eastAsia="zh-CN" w:bidi="ar-SA"/>
        </w:rPr>
        <w:t>避免资产闲置现象。</w:t>
      </w:r>
    </w:p>
    <w:p w14:paraId="47614BF2">
      <w:pPr>
        <w:keepNext w:val="0"/>
        <w:keepLines w:val="0"/>
        <w:pageBreakBefore w:val="0"/>
        <w:numPr>
          <w:ilvl w:val="0"/>
          <w:numId w:val="5"/>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14:paraId="7A3DDA56">
      <w:pPr>
        <w:pStyle w:val="5"/>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pPr>
      <w:r>
        <w:rPr>
          <w:rFonts w:hint="default" w:ascii="Times New Roman" w:hAnsi="Times New Roman" w:eastAsia="仿宋_GB2312" w:cs="Times New Roman"/>
          <w:b w:val="0"/>
          <w:bCs w:val="0"/>
          <w:color w:val="000000"/>
          <w:kern w:val="0"/>
          <w:sz w:val="32"/>
          <w:szCs w:val="32"/>
          <w:lang w:val="en-US" w:eastAsia="zh-CN" w:bidi="ar-SA"/>
        </w:rPr>
        <w:t>强化全过程预算绩效管理。项目执行前设定准确可行的目标，执行中对标开展绩效监控，执行后做好绩效自评，切实发挥绩效管理降本增效作用。</w:t>
      </w:r>
      <w:r>
        <w:rPr>
          <w:rFonts w:hint="eastAsia" w:ascii="Times New Roman" w:hAnsi="Times New Roman" w:eastAsia="仿宋_GB2312" w:cs="Times New Roman"/>
          <w:b w:val="0"/>
          <w:bCs w:val="0"/>
          <w:color w:val="000000"/>
          <w:kern w:val="0"/>
          <w:sz w:val="32"/>
          <w:szCs w:val="32"/>
          <w:lang w:val="en-US" w:eastAsia="zh-CN" w:bidi="ar-SA"/>
        </w:rPr>
        <w:t>结合2024年审计局反馈的审计数据分析疑点核查工作意见，结合财政局绩效培训及电话咨询，积极分析问题产生原因，组织了绩效填报业务培训，及时修正问题项目绩效目标，将整改落到了实处。</w:t>
      </w:r>
    </w:p>
    <w:p w14:paraId="28AE2DBF">
      <w:pPr>
        <w:keepNext w:val="0"/>
        <w:keepLines w:val="0"/>
        <w:pageBreakBefore w:val="0"/>
        <w:numPr>
          <w:ilvl w:val="0"/>
          <w:numId w:val="5"/>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楷体_GB2312" w:eastAsia="楷体_GB2312"/>
          <w:sz w:val="32"/>
          <w:szCs w:val="32"/>
        </w:rPr>
      </w:pPr>
      <w:r>
        <w:rPr>
          <w:rFonts w:hint="eastAsia" w:ascii="楷体_GB2312" w:eastAsia="楷体_GB2312"/>
          <w:sz w:val="32"/>
          <w:szCs w:val="32"/>
        </w:rPr>
        <w:t>结转结余率</w:t>
      </w:r>
    </w:p>
    <w:p w14:paraId="02E18044">
      <w:pPr>
        <w:pStyle w:val="5"/>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pPr>
      <w:r>
        <w:rPr>
          <w:rFonts w:hint="default" w:ascii="Times New Roman" w:hAnsi="Times New Roman" w:eastAsia="仿宋_GB2312" w:cs="Times New Roman"/>
          <w:kern w:val="2"/>
          <w:sz w:val="32"/>
          <w:szCs w:val="32"/>
          <w:lang w:val="en-US" w:eastAsia="zh-CN" w:bidi="ar-SA"/>
        </w:rPr>
        <w:t>本年无结转结余资金，结转结余率为0</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p>
    <w:p w14:paraId="54C2B5A7">
      <w:pPr>
        <w:keepNext w:val="0"/>
        <w:keepLines w:val="0"/>
        <w:pageBreakBefore w:val="0"/>
        <w:numPr>
          <w:ilvl w:val="0"/>
          <w:numId w:val="5"/>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ascii="楷体_GB2312" w:eastAsia="楷体_GB2312"/>
          <w:sz w:val="32"/>
          <w:szCs w:val="32"/>
        </w:rPr>
      </w:pPr>
      <w:r>
        <w:rPr>
          <w:rFonts w:hint="eastAsia" w:ascii="楷体_GB2312" w:eastAsia="楷体_GB2312"/>
          <w:sz w:val="32"/>
          <w:szCs w:val="32"/>
        </w:rPr>
        <w:t>部门</w:t>
      </w:r>
      <w:r>
        <w:rPr>
          <w:rFonts w:ascii="楷体_GB2312" w:eastAsia="楷体_GB2312"/>
          <w:sz w:val="32"/>
          <w:szCs w:val="32"/>
        </w:rPr>
        <w:t>预决算差异率</w:t>
      </w:r>
    </w:p>
    <w:p w14:paraId="582066DB">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本年部门预决算差异率为</w:t>
      </w:r>
      <w:r>
        <w:rPr>
          <w:rFonts w:hint="eastAsia" w:eastAsia="仿宋_GB2312" w:cs="Times New Roman"/>
          <w:kern w:val="2"/>
          <w:sz w:val="32"/>
          <w:szCs w:val="32"/>
          <w:lang w:val="en-US" w:eastAsia="zh-CN" w:bidi="ar-SA"/>
        </w:rPr>
        <w:t>-1.03</w:t>
      </w:r>
      <w:r>
        <w:rPr>
          <w:rFonts w:hint="default" w:ascii="Times New Roman" w:hAnsi="Times New Roman" w:eastAsia="仿宋_GB2312" w:cs="Times New Roman"/>
          <w:kern w:val="2"/>
          <w:sz w:val="32"/>
          <w:szCs w:val="32"/>
          <w:lang w:val="en-US" w:eastAsia="zh-CN" w:bidi="ar-SA"/>
        </w:rPr>
        <w:t>%。</w:t>
      </w:r>
    </w:p>
    <w:p w14:paraId="16ABA190">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14:paraId="3939C940">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14:paraId="5DC9B41E">
      <w:pPr>
        <w:pStyle w:val="5"/>
        <w:keepNext w:val="0"/>
        <w:keepLines w:val="0"/>
        <w:pageBreakBefore w:val="0"/>
        <w:kinsoku/>
        <w:wordWrap/>
        <w:overflowPunct/>
        <w:topLinePunct w:val="0"/>
        <w:autoSpaceDE/>
        <w:autoSpaceDN/>
        <w:bidi w:val="0"/>
        <w:adjustRightInd/>
        <w:snapToGrid/>
        <w:spacing w:line="560" w:lineRule="exact"/>
        <w:ind w:right="0" w:rightChars="0" w:firstLine="960" w:firstLineChars="3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综合全年绩效指标得分99</w:t>
      </w:r>
      <w:r>
        <w:rPr>
          <w:rFonts w:hint="eastAsia" w:eastAsia="仿宋_GB2312" w:cs="Times New Roman"/>
          <w:kern w:val="2"/>
          <w:sz w:val="32"/>
          <w:szCs w:val="32"/>
          <w:lang w:val="en-US" w:eastAsia="zh-CN" w:bidi="ar-SA"/>
        </w:rPr>
        <w:t>.94</w:t>
      </w:r>
      <w:r>
        <w:rPr>
          <w:rFonts w:hint="eastAsia" w:ascii="Times New Roman" w:hAnsi="Times New Roman" w:eastAsia="仿宋_GB2312" w:cs="Times New Roman"/>
          <w:kern w:val="2"/>
          <w:sz w:val="32"/>
          <w:szCs w:val="32"/>
          <w:lang w:val="en-US" w:eastAsia="zh-CN" w:bidi="ar-SA"/>
        </w:rPr>
        <w:t>分。</w:t>
      </w:r>
    </w:p>
    <w:p w14:paraId="6D283B0A">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楷体_GB2312" w:eastAsia="楷体_GB2312"/>
          <w:sz w:val="32"/>
          <w:szCs w:val="32"/>
        </w:rPr>
      </w:pPr>
      <w:r>
        <w:rPr>
          <w:rFonts w:hint="eastAsia" w:ascii="楷体_GB2312" w:eastAsia="楷体_GB2312"/>
          <w:sz w:val="32"/>
          <w:szCs w:val="32"/>
        </w:rPr>
        <w:t>（二）存在的问题及原因分析</w:t>
      </w:r>
    </w:p>
    <w:p w14:paraId="44B8F815">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仿宋_GB2312" w:hAnsi="仿宋" w:eastAsia="仿宋_GB2312" w:cs="仿宋"/>
          <w:bCs/>
          <w:kern w:val="2"/>
          <w:sz w:val="32"/>
          <w:szCs w:val="32"/>
          <w:lang w:val="en-US" w:eastAsia="zh-CN" w:bidi="ar-SA"/>
        </w:rPr>
      </w:pPr>
      <w:r>
        <w:rPr>
          <w:rFonts w:hint="default" w:ascii="Times New Roman" w:hAnsi="Times New Roman" w:eastAsia="黑体" w:cs="Times New Roman"/>
          <w:color w:val="000000"/>
          <w:kern w:val="0"/>
          <w:sz w:val="32"/>
          <w:szCs w:val="32"/>
          <w:lang w:val="en-US" w:eastAsia="zh-CN"/>
        </w:rPr>
        <w:t>1</w:t>
      </w:r>
      <w:r>
        <w:rPr>
          <w:rFonts w:hint="default" w:ascii="仿宋_GB2312" w:hAnsi="仿宋" w:eastAsia="仿宋_GB2312" w:cs="仿宋"/>
          <w:bCs/>
          <w:kern w:val="2"/>
          <w:sz w:val="32"/>
          <w:szCs w:val="32"/>
          <w:lang w:val="en-US" w:eastAsia="zh-CN" w:bidi="ar-SA"/>
        </w:rPr>
        <w:t>.</w:t>
      </w:r>
      <w:r>
        <w:rPr>
          <w:rFonts w:hint="eastAsia" w:ascii="仿宋_GB2312" w:hAnsi="仿宋" w:eastAsia="仿宋_GB2312" w:cs="仿宋"/>
          <w:bCs/>
          <w:kern w:val="2"/>
          <w:sz w:val="32"/>
          <w:szCs w:val="32"/>
          <w:lang w:val="en-US" w:eastAsia="zh-CN" w:bidi="ar-SA"/>
        </w:rPr>
        <w:t>预算目标编制不合理、不细化，绩效目标申报表填写不够科学合理，指标设置不完整；</w:t>
      </w:r>
    </w:p>
    <w:p w14:paraId="2BECEFA9">
      <w:pPr>
        <w:pStyle w:val="2"/>
        <w:ind w:firstLine="640" w:firstLineChars="200"/>
        <w:rPr>
          <w:rFonts w:hint="eastAsia"/>
          <w:lang w:val="en-US" w:eastAsia="zh-CN"/>
        </w:rPr>
      </w:pPr>
      <w:r>
        <w:rPr>
          <w:rFonts w:hint="eastAsia" w:ascii="仿宋_GB2312" w:hAnsi="仿宋" w:eastAsia="仿宋_GB2312" w:cs="仿宋"/>
          <w:bCs/>
          <w:kern w:val="2"/>
          <w:sz w:val="32"/>
          <w:szCs w:val="32"/>
          <w:lang w:val="en-US" w:eastAsia="zh-CN" w:bidi="ar-SA"/>
        </w:rPr>
        <w:t>2.</w:t>
      </w:r>
      <w:r>
        <w:rPr>
          <w:rFonts w:hint="eastAsia" w:hAnsi="仿宋" w:cs="仿宋"/>
          <w:bCs/>
          <w:kern w:val="2"/>
          <w:sz w:val="32"/>
          <w:szCs w:val="32"/>
          <w:lang w:val="en-US" w:eastAsia="zh-CN" w:bidi="ar-SA"/>
        </w:rPr>
        <w:t>绩效指标值为空或指标对应指标值未细化、未量化；</w:t>
      </w:r>
    </w:p>
    <w:p w14:paraId="5C317D44">
      <w:pPr>
        <w:pStyle w:val="2"/>
        <w:ind w:firstLine="640" w:firstLineChars="200"/>
        <w:rPr>
          <w:rFonts w:hint="eastAsia"/>
          <w:lang w:val="en-US" w:eastAsia="zh-CN"/>
        </w:rPr>
      </w:pPr>
      <w:r>
        <w:rPr>
          <w:rFonts w:hint="eastAsia" w:hAnsi="仿宋" w:cs="仿宋"/>
          <w:bCs/>
          <w:kern w:val="2"/>
          <w:sz w:val="32"/>
          <w:szCs w:val="32"/>
          <w:lang w:val="en-US" w:eastAsia="zh-CN" w:bidi="ar-SA"/>
        </w:rPr>
        <w:t>3.项目绩效自评与项目绩效申报中指标对应指标值不一致。</w:t>
      </w:r>
    </w:p>
    <w:p w14:paraId="3FEEFB58">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原因分析：项目预算编制人员</w:t>
      </w:r>
      <w:r>
        <w:rPr>
          <w:rFonts w:hint="eastAsia" w:eastAsia="仿宋_GB2312" w:cs="Times New Roman"/>
          <w:kern w:val="2"/>
          <w:sz w:val="32"/>
          <w:szCs w:val="32"/>
          <w:lang w:val="en-US" w:eastAsia="zh-CN" w:bidi="ar-SA"/>
        </w:rPr>
        <w:t>对</w:t>
      </w:r>
      <w:r>
        <w:rPr>
          <w:rFonts w:hint="default" w:ascii="Times New Roman" w:hAnsi="Times New Roman" w:eastAsia="仿宋_GB2312" w:cs="Times New Roman"/>
          <w:kern w:val="2"/>
          <w:sz w:val="32"/>
          <w:szCs w:val="32"/>
          <w:lang w:val="en-US" w:eastAsia="zh-CN" w:bidi="ar-SA"/>
        </w:rPr>
        <w:t>绩效</w:t>
      </w:r>
      <w:r>
        <w:rPr>
          <w:rFonts w:hint="eastAsia" w:ascii="Times New Roman" w:hAnsi="Times New Roman" w:eastAsia="仿宋_GB2312" w:cs="Times New Roman"/>
          <w:kern w:val="2"/>
          <w:sz w:val="32"/>
          <w:szCs w:val="32"/>
          <w:lang w:val="en-US" w:eastAsia="zh-CN" w:bidi="ar-SA"/>
        </w:rPr>
        <w:t>工作</w:t>
      </w:r>
      <w:r>
        <w:rPr>
          <w:rFonts w:hint="default" w:ascii="Times New Roman" w:hAnsi="Times New Roman" w:eastAsia="仿宋_GB2312" w:cs="Times New Roman"/>
          <w:kern w:val="2"/>
          <w:sz w:val="32"/>
          <w:szCs w:val="32"/>
          <w:lang w:val="en-US" w:eastAsia="zh-CN" w:bidi="ar-SA"/>
        </w:rPr>
        <w:t>专业知识</w:t>
      </w:r>
      <w:r>
        <w:rPr>
          <w:rFonts w:hint="eastAsia" w:eastAsia="仿宋_GB2312" w:cs="Times New Roman"/>
          <w:kern w:val="2"/>
          <w:sz w:val="32"/>
          <w:szCs w:val="32"/>
          <w:lang w:val="en-US" w:eastAsia="zh-CN" w:bidi="ar-SA"/>
        </w:rPr>
        <w:t>有所</w:t>
      </w:r>
      <w:r>
        <w:rPr>
          <w:rFonts w:hint="default" w:ascii="Times New Roman" w:hAnsi="Times New Roman" w:eastAsia="仿宋_GB2312" w:cs="Times New Roman"/>
          <w:kern w:val="2"/>
          <w:sz w:val="32"/>
          <w:szCs w:val="32"/>
          <w:lang w:val="en-US" w:eastAsia="zh-CN" w:bidi="ar-SA"/>
        </w:rPr>
        <w:t>欠缺</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对项目绩效目标的规范填写有待提高，绩效自评工作复核环节有待加强</w:t>
      </w:r>
      <w:r>
        <w:rPr>
          <w:rFonts w:hint="default" w:ascii="Times New Roman" w:hAnsi="Times New Roman" w:eastAsia="仿宋_GB2312" w:cs="Times New Roman"/>
          <w:kern w:val="2"/>
          <w:sz w:val="32"/>
          <w:szCs w:val="32"/>
          <w:lang w:val="en-US" w:eastAsia="zh-CN" w:bidi="ar-SA"/>
        </w:rPr>
        <w:t>。</w:t>
      </w:r>
    </w:p>
    <w:p w14:paraId="49094642">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14:paraId="159439D1">
      <w:pPr>
        <w:pStyle w:val="5"/>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仿宋_GB2312" w:hAnsi="仿宋" w:eastAsia="仿宋_GB2312" w:cs="仿宋"/>
          <w:bCs/>
          <w:kern w:val="2"/>
          <w:sz w:val="32"/>
          <w:szCs w:val="32"/>
          <w:lang w:val="en-US" w:eastAsia="zh-CN" w:bidi="ar-SA"/>
        </w:rPr>
      </w:pPr>
      <w:r>
        <w:rPr>
          <w:rFonts w:hint="eastAsia" w:ascii="楷体_GB2312" w:eastAsia="楷体_GB2312"/>
          <w:sz w:val="32"/>
          <w:szCs w:val="32"/>
        </w:rPr>
        <w:t>（</w:t>
      </w:r>
      <w:r>
        <w:rPr>
          <w:rFonts w:hint="eastAsia" w:ascii="楷体_GB2312" w:eastAsia="楷体_GB2312"/>
          <w:sz w:val="32"/>
          <w:szCs w:val="32"/>
          <w:lang w:eastAsia="zh-CN"/>
        </w:rPr>
        <w:t>一</w:t>
      </w:r>
      <w:r>
        <w:rPr>
          <w:rFonts w:hint="eastAsia" w:ascii="楷体_GB2312" w:eastAsia="楷体_GB2312"/>
          <w:sz w:val="32"/>
          <w:szCs w:val="32"/>
        </w:rPr>
        <w:t>）</w:t>
      </w:r>
      <w:r>
        <w:rPr>
          <w:rFonts w:hint="eastAsia" w:ascii="楷体_GB2312" w:eastAsia="楷体_GB2312"/>
          <w:sz w:val="32"/>
          <w:szCs w:val="32"/>
          <w:lang w:val="en-US" w:eastAsia="zh-CN"/>
        </w:rPr>
        <w:t>决策方面</w:t>
      </w:r>
    </w:p>
    <w:p w14:paraId="7924428E">
      <w:pPr>
        <w:pStyle w:val="5"/>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强化项目决策管理，注重项目立项前期可行性研究的充分性，科学合理设置绩效指标，</w:t>
      </w:r>
      <w:r>
        <w:rPr>
          <w:rFonts w:hint="eastAsia" w:ascii="仿宋_GB2312" w:hAnsi="仿宋_GB2312" w:eastAsia="仿宋_GB2312" w:cs="仿宋_GB2312"/>
          <w:sz w:val="32"/>
          <w:szCs w:val="32"/>
          <w:highlight w:val="none"/>
        </w:rPr>
        <w:t>提高预算编制的科学性、合理性、准确性和可控性</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b w:val="0"/>
          <w:bCs/>
          <w:kern w:val="2"/>
          <w:sz w:val="32"/>
          <w:szCs w:val="32"/>
          <w:lang w:val="en-US" w:eastAsia="zh-CN" w:bidi="ar-SA"/>
        </w:rPr>
        <w:t>优化资源配置</w:t>
      </w:r>
      <w:r>
        <w:rPr>
          <w:rFonts w:hint="eastAsia" w:ascii="Times New Roman" w:hAnsi="Times New Roman" w:eastAsia="仿宋_GB2312" w:cs="Times New Roman"/>
          <w:b w:val="0"/>
          <w:bCs/>
          <w:kern w:val="2"/>
          <w:sz w:val="32"/>
          <w:szCs w:val="32"/>
          <w:lang w:val="en-US" w:eastAsia="zh-CN" w:bidi="ar-SA"/>
        </w:rPr>
        <w:t>以</w:t>
      </w:r>
      <w:r>
        <w:rPr>
          <w:rFonts w:hint="default" w:ascii="Times New Roman" w:hAnsi="Times New Roman" w:eastAsia="仿宋_GB2312" w:cs="Times New Roman"/>
          <w:b w:val="0"/>
          <w:bCs/>
          <w:kern w:val="2"/>
          <w:sz w:val="32"/>
          <w:szCs w:val="32"/>
          <w:lang w:val="en-US" w:eastAsia="zh-CN" w:bidi="ar-SA"/>
        </w:rPr>
        <w:t>提高公共服务水平</w:t>
      </w:r>
      <w:r>
        <w:rPr>
          <w:rFonts w:hint="eastAsia" w:ascii="Times New Roman" w:hAnsi="Times New Roman" w:eastAsia="仿宋_GB2312" w:cs="Times New Roman"/>
          <w:b w:val="0"/>
          <w:bCs/>
          <w:kern w:val="2"/>
          <w:sz w:val="32"/>
          <w:szCs w:val="32"/>
          <w:lang w:val="en-US" w:eastAsia="zh-CN" w:bidi="ar-SA"/>
        </w:rPr>
        <w:t>，</w:t>
      </w:r>
      <w:r>
        <w:rPr>
          <w:rFonts w:hint="default" w:ascii="Times New Roman" w:hAnsi="Times New Roman" w:eastAsia="仿宋_GB2312" w:cs="Times New Roman"/>
          <w:sz w:val="32"/>
          <w:szCs w:val="32"/>
          <w:lang w:val="en-US" w:eastAsia="zh-CN"/>
        </w:rPr>
        <w:t>认真分析财务管理中存在的风险点和薄弱点，</w:t>
      </w:r>
      <w:r>
        <w:rPr>
          <w:rFonts w:hint="eastAsia" w:ascii="仿宋_GB2312" w:hAnsi="仿宋" w:eastAsia="仿宋_GB2312" w:cs="仿宋"/>
          <w:bCs/>
          <w:kern w:val="2"/>
          <w:sz w:val="32"/>
          <w:szCs w:val="32"/>
          <w:lang w:val="en-US" w:eastAsia="zh-CN" w:bidi="ar-SA"/>
        </w:rPr>
        <w:t>以保障财政资金投入与服务效益的实效性。</w:t>
      </w:r>
    </w:p>
    <w:p w14:paraId="6076260F">
      <w:pPr>
        <w:pStyle w:val="5"/>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楷体_GB2312" w:eastAsia="楷体_GB2312"/>
          <w:sz w:val="32"/>
          <w:szCs w:val="32"/>
          <w:lang w:val="en-US" w:eastAsia="zh-CN"/>
        </w:rPr>
      </w:pPr>
      <w:r>
        <w:rPr>
          <w:rFonts w:hint="eastAsia" w:ascii="楷体_GB2312" w:eastAsia="楷体_GB2312"/>
          <w:sz w:val="32"/>
          <w:szCs w:val="32"/>
        </w:rPr>
        <w:t>（二）</w:t>
      </w:r>
      <w:r>
        <w:rPr>
          <w:rFonts w:hint="eastAsia" w:ascii="楷体_GB2312" w:eastAsia="楷体_GB2312"/>
          <w:sz w:val="32"/>
          <w:szCs w:val="32"/>
          <w:lang w:val="en-US" w:eastAsia="zh-CN"/>
        </w:rPr>
        <w:t>管理方面</w:t>
      </w:r>
    </w:p>
    <w:p w14:paraId="20F591AB">
      <w:pPr>
        <w:keepNext w:val="0"/>
        <w:keepLines w:val="0"/>
        <w:pageBreakBefore w:val="0"/>
        <w:widowControl w:val="0"/>
        <w:kinsoku/>
        <w:wordWrap/>
        <w:overflowPunct/>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 w:eastAsia="仿宋_GB2312" w:cs="仿宋"/>
          <w:bCs/>
          <w:kern w:val="2"/>
          <w:sz w:val="32"/>
          <w:szCs w:val="32"/>
          <w:lang w:val="en-US" w:eastAsia="zh-CN" w:bidi="ar-SA"/>
        </w:rPr>
        <w:t>强化项目全过程管理，建立常态化监督管理机制</w:t>
      </w:r>
      <w:r>
        <w:rPr>
          <w:rFonts w:hint="eastAsia" w:ascii="仿宋_GB2312" w:hAnsi="仿宋_GB2312" w:eastAsia="仿宋_GB2312" w:cs="仿宋_GB2312"/>
          <w:sz w:val="32"/>
          <w:szCs w:val="32"/>
          <w:highlight w:val="none"/>
        </w:rPr>
        <w:t>。预算编制前多与有关各方做好沟通衔接，并重视对财政资金的追踪问效，提高财政资金的使用效益。</w:t>
      </w:r>
      <w:r>
        <w:rPr>
          <w:rFonts w:hint="default" w:ascii="Times New Roman" w:hAnsi="Times New Roman" w:eastAsia="仿宋_GB2312" w:cs="Times New Roman"/>
          <w:b w:val="0"/>
          <w:bCs/>
          <w:kern w:val="2"/>
          <w:sz w:val="32"/>
          <w:szCs w:val="32"/>
          <w:lang w:val="en-US" w:eastAsia="zh-CN" w:bidi="ar-SA"/>
        </w:rPr>
        <w:t>对存在问题及时纠偏纠错，提升整体绩效管理水平</w:t>
      </w:r>
      <w:r>
        <w:rPr>
          <w:rFonts w:hint="eastAsia" w:eastAsia="仿宋_GB2312" w:cs="Times New Roman"/>
          <w:b w:val="0"/>
          <w:bCs/>
          <w:kern w:val="2"/>
          <w:sz w:val="32"/>
          <w:szCs w:val="32"/>
          <w:lang w:val="en-US" w:eastAsia="zh-CN" w:bidi="ar-SA"/>
        </w:rPr>
        <w:t>，</w:t>
      </w:r>
      <w:r>
        <w:rPr>
          <w:rFonts w:hint="eastAsia" w:ascii="仿宋_GB2312" w:hAnsi="仿宋_GB2312" w:eastAsia="仿宋_GB2312" w:cs="仿宋_GB2312"/>
          <w:sz w:val="32"/>
          <w:szCs w:val="32"/>
          <w:highlight w:val="none"/>
        </w:rPr>
        <w:t>加强对</w:t>
      </w:r>
      <w:r>
        <w:rPr>
          <w:rFonts w:hint="eastAsia" w:ascii="仿宋_GB2312" w:hAnsi="仿宋_GB2312" w:eastAsia="仿宋_GB2312" w:cs="仿宋_GB2312"/>
          <w:sz w:val="32"/>
          <w:szCs w:val="32"/>
          <w:highlight w:val="none"/>
          <w:lang w:eastAsia="zh-CN"/>
        </w:rPr>
        <w:t>财</w:t>
      </w:r>
      <w:r>
        <w:rPr>
          <w:rFonts w:hint="eastAsia" w:ascii="仿宋_GB2312" w:hAnsi="仿宋_GB2312" w:eastAsia="仿宋_GB2312" w:cs="仿宋_GB2312"/>
          <w:sz w:val="32"/>
          <w:szCs w:val="32"/>
          <w:highlight w:val="none"/>
        </w:rPr>
        <w:t>政预算资金方面制度的培训学习，不断提高</w:t>
      </w:r>
      <w:r>
        <w:rPr>
          <w:rFonts w:hint="eastAsia" w:ascii="仿宋_GB2312" w:hAnsi="仿宋_GB2312" w:eastAsia="仿宋_GB2312" w:cs="仿宋_GB2312"/>
          <w:sz w:val="32"/>
          <w:szCs w:val="32"/>
          <w:highlight w:val="none"/>
          <w:lang w:eastAsia="zh-CN"/>
        </w:rPr>
        <w:t>科室</w:t>
      </w:r>
      <w:r>
        <w:rPr>
          <w:rFonts w:hint="eastAsia" w:ascii="仿宋_GB2312" w:hAnsi="仿宋_GB2312" w:eastAsia="仿宋_GB2312" w:cs="仿宋_GB2312"/>
          <w:sz w:val="32"/>
          <w:szCs w:val="32"/>
          <w:highlight w:val="none"/>
        </w:rPr>
        <w:t>业务能力。</w:t>
      </w:r>
    </w:p>
    <w:p w14:paraId="50173D40">
      <w:pPr>
        <w:pStyle w:val="5"/>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仿宋_GB2312" w:hAnsi="仿宋" w:eastAsia="仿宋_GB2312" w:cs="仿宋"/>
          <w:bCs/>
          <w:kern w:val="2"/>
          <w:sz w:val="32"/>
          <w:szCs w:val="32"/>
          <w:lang w:val="en-US" w:eastAsia="zh-CN" w:bidi="ar-SA"/>
        </w:rPr>
      </w:pPr>
      <w:r>
        <w:rPr>
          <w:rFonts w:hint="eastAsia" w:ascii="楷体_GB2312" w:eastAsia="楷体_GB2312"/>
          <w:sz w:val="32"/>
          <w:szCs w:val="32"/>
        </w:rPr>
        <w:t>（</w:t>
      </w:r>
      <w:r>
        <w:rPr>
          <w:rFonts w:hint="eastAsia" w:ascii="楷体_GB2312" w:eastAsia="楷体_GB2312"/>
          <w:sz w:val="32"/>
          <w:szCs w:val="32"/>
          <w:lang w:eastAsia="zh-CN"/>
        </w:rPr>
        <w:t>三</w:t>
      </w:r>
      <w:r>
        <w:rPr>
          <w:rFonts w:hint="eastAsia" w:ascii="楷体_GB2312" w:eastAsia="楷体_GB2312"/>
          <w:sz w:val="32"/>
          <w:szCs w:val="32"/>
        </w:rPr>
        <w:t>）</w:t>
      </w:r>
      <w:r>
        <w:rPr>
          <w:rFonts w:hint="eastAsia" w:ascii="楷体_GB2312" w:eastAsia="楷体_GB2312"/>
          <w:sz w:val="32"/>
          <w:szCs w:val="32"/>
          <w:lang w:val="en-US" w:eastAsia="zh-CN"/>
        </w:rPr>
        <w:t>绩效方面</w:t>
      </w:r>
    </w:p>
    <w:p w14:paraId="3EA43043">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 w:eastAsia="仿宋_GB2312" w:cs="仿宋"/>
          <w:bCs/>
          <w:kern w:val="2"/>
          <w:sz w:val="32"/>
          <w:szCs w:val="32"/>
          <w:lang w:val="en-US" w:eastAsia="zh-CN" w:bidi="ar-SA"/>
        </w:rPr>
        <w:t>强化项目预算绩效管理理念，</w:t>
      </w:r>
      <w:r>
        <w:rPr>
          <w:rFonts w:hint="eastAsia" w:ascii="仿宋_GB2312" w:hAnsi="仿宋_GB2312" w:eastAsia="仿宋_GB2312" w:cs="仿宋_GB2312"/>
          <w:sz w:val="32"/>
          <w:szCs w:val="32"/>
          <w:highlight w:val="none"/>
        </w:rPr>
        <w:t>设定预算绩效目标符合“指向明确、具体细化、合理可行”的要求，结合工作实际情况，科学合理设置可量化、可考核的经济效益指标和可评估的社会效益指标。高度重视预算绩效管理评价工作，明确各职能</w:t>
      </w:r>
      <w:r>
        <w:rPr>
          <w:rFonts w:hint="eastAsia" w:ascii="仿宋_GB2312" w:hAnsi="仿宋_GB2312" w:eastAsia="仿宋_GB2312" w:cs="仿宋_GB2312"/>
          <w:sz w:val="32"/>
          <w:szCs w:val="32"/>
          <w:highlight w:val="none"/>
          <w:lang w:eastAsia="zh-CN"/>
        </w:rPr>
        <w:t>科室</w:t>
      </w:r>
      <w:r>
        <w:rPr>
          <w:rFonts w:hint="eastAsia" w:ascii="仿宋_GB2312" w:hAnsi="仿宋_GB2312" w:eastAsia="仿宋_GB2312" w:cs="仿宋_GB2312"/>
          <w:sz w:val="32"/>
          <w:szCs w:val="32"/>
          <w:highlight w:val="none"/>
        </w:rPr>
        <w:t>评价责任，进一步强化财政预算支出绩效管理意识。</w:t>
      </w:r>
    </w:p>
    <w:p w14:paraId="64FDB014">
      <w:pPr>
        <w:keepNext w:val="0"/>
        <w:keepLines w:val="0"/>
        <w:pageBreakBefore w:val="0"/>
        <w:widowControl w:val="0"/>
        <w:kinsoku/>
        <w:wordWrap/>
        <w:overflowPunct/>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p>
    <w:p w14:paraId="5F87E75D">
      <w:pPr>
        <w:keepNext w:val="0"/>
        <w:keepLines w:val="0"/>
        <w:pageBreakBefore w:val="0"/>
        <w:widowControl w:val="0"/>
        <w:kinsoku/>
        <w:wordWrap/>
        <w:overflowPunct/>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3312A">
    <w:pPr>
      <w:pStyle w:val="7"/>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E5E72">
                          <w:pPr>
                            <w:pStyle w:val="7"/>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14E5E72">
                    <w:pPr>
                      <w:pStyle w:val="7"/>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14:paraId="3D49C692">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258F8"/>
    <w:multiLevelType w:val="singleLevel"/>
    <w:tmpl w:val="82F258F8"/>
    <w:lvl w:ilvl="0" w:tentative="0">
      <w:start w:val="1"/>
      <w:numFmt w:val="decimal"/>
      <w:suff w:val="nothing"/>
      <w:lvlText w:val="%1、"/>
      <w:lvlJc w:val="left"/>
    </w:lvl>
  </w:abstractNum>
  <w:abstractNum w:abstractNumId="1">
    <w:nsid w:val="99E936E4"/>
    <w:multiLevelType w:val="singleLevel"/>
    <w:tmpl w:val="99E936E4"/>
    <w:lvl w:ilvl="0" w:tentative="0">
      <w:start w:val="2"/>
      <w:numFmt w:val="chineseCounting"/>
      <w:suff w:val="nothing"/>
      <w:lvlText w:val="（%1）"/>
      <w:lvlJc w:val="left"/>
      <w:rPr>
        <w:rFonts w:hint="eastAsia"/>
      </w:rPr>
    </w:lvl>
  </w:abstractNum>
  <w:abstractNum w:abstractNumId="2">
    <w:nsid w:val="65FBFC0B"/>
    <w:multiLevelType w:val="singleLevel"/>
    <w:tmpl w:val="65FBFC0B"/>
    <w:lvl w:ilvl="0" w:tentative="0">
      <w:start w:val="2"/>
      <w:numFmt w:val="decimal"/>
      <w:suff w:val="nothing"/>
      <w:lvlText w:val="%1."/>
      <w:lvlJc w:val="left"/>
    </w:lvl>
  </w:abstractNum>
  <w:abstractNum w:abstractNumId="3">
    <w:nsid w:val="65FC01A2"/>
    <w:multiLevelType w:val="singleLevel"/>
    <w:tmpl w:val="65FC01A2"/>
    <w:lvl w:ilvl="0" w:tentative="0">
      <w:start w:val="2"/>
      <w:numFmt w:val="chineseCounting"/>
      <w:suff w:val="nothing"/>
      <w:lvlText w:val="（%1）"/>
      <w:lvlJc w:val="left"/>
    </w:lvl>
  </w:abstractNum>
  <w:abstractNum w:abstractNumId="4">
    <w:nsid w:val="65FC3ECF"/>
    <w:multiLevelType w:val="singleLevel"/>
    <w:tmpl w:val="65FC3ECF"/>
    <w:lvl w:ilvl="0" w:tentative="0">
      <w:start w:val="2"/>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370023"/>
    <w:rsid w:val="00465181"/>
    <w:rsid w:val="0057202C"/>
    <w:rsid w:val="005E3946"/>
    <w:rsid w:val="0060746B"/>
    <w:rsid w:val="00826643"/>
    <w:rsid w:val="00954F6E"/>
    <w:rsid w:val="00B03B70"/>
    <w:rsid w:val="00CF07EE"/>
    <w:rsid w:val="00E617B2"/>
    <w:rsid w:val="00F42C33"/>
    <w:rsid w:val="012D4A69"/>
    <w:rsid w:val="059871D7"/>
    <w:rsid w:val="088242F9"/>
    <w:rsid w:val="0BE445AC"/>
    <w:rsid w:val="0E3C5CCC"/>
    <w:rsid w:val="0ECF3DD9"/>
    <w:rsid w:val="0EF15AA1"/>
    <w:rsid w:val="0F32736D"/>
    <w:rsid w:val="0F5B0668"/>
    <w:rsid w:val="10D41C08"/>
    <w:rsid w:val="117A5078"/>
    <w:rsid w:val="153D275E"/>
    <w:rsid w:val="16A53C0F"/>
    <w:rsid w:val="170C0A54"/>
    <w:rsid w:val="195B03F9"/>
    <w:rsid w:val="1C3A4E9F"/>
    <w:rsid w:val="1DA845C2"/>
    <w:rsid w:val="1F585539"/>
    <w:rsid w:val="1FA16543"/>
    <w:rsid w:val="20AB4C6A"/>
    <w:rsid w:val="238C0271"/>
    <w:rsid w:val="23942E62"/>
    <w:rsid w:val="254B418C"/>
    <w:rsid w:val="2B710488"/>
    <w:rsid w:val="2F9B27E9"/>
    <w:rsid w:val="307F74C3"/>
    <w:rsid w:val="30B70FAA"/>
    <w:rsid w:val="313F6043"/>
    <w:rsid w:val="31C52FA6"/>
    <w:rsid w:val="31EF15C2"/>
    <w:rsid w:val="334D46BC"/>
    <w:rsid w:val="33AF4D5C"/>
    <w:rsid w:val="35DB50F4"/>
    <w:rsid w:val="3B346290"/>
    <w:rsid w:val="41F44A09"/>
    <w:rsid w:val="4416729C"/>
    <w:rsid w:val="45582CBF"/>
    <w:rsid w:val="4C52321F"/>
    <w:rsid w:val="4EF67CE0"/>
    <w:rsid w:val="514F316C"/>
    <w:rsid w:val="52846590"/>
    <w:rsid w:val="53B160BE"/>
    <w:rsid w:val="53B97DFE"/>
    <w:rsid w:val="53E104EE"/>
    <w:rsid w:val="562A0321"/>
    <w:rsid w:val="567A3D6E"/>
    <w:rsid w:val="57843F10"/>
    <w:rsid w:val="57A16206"/>
    <w:rsid w:val="5B1D39DF"/>
    <w:rsid w:val="5FBF3BE2"/>
    <w:rsid w:val="61294B40"/>
    <w:rsid w:val="613815FF"/>
    <w:rsid w:val="61CA23DC"/>
    <w:rsid w:val="65DA669B"/>
    <w:rsid w:val="66DF592E"/>
    <w:rsid w:val="67083E7C"/>
    <w:rsid w:val="67113CE7"/>
    <w:rsid w:val="680649AE"/>
    <w:rsid w:val="688C12AE"/>
    <w:rsid w:val="699546A5"/>
    <w:rsid w:val="6E0E5CF7"/>
    <w:rsid w:val="707268E5"/>
    <w:rsid w:val="721B7C14"/>
    <w:rsid w:val="736F3490"/>
    <w:rsid w:val="75945716"/>
    <w:rsid w:val="77E72F7B"/>
    <w:rsid w:val="79135CA4"/>
    <w:rsid w:val="799B1C75"/>
    <w:rsid w:val="7B420D04"/>
    <w:rsid w:val="7BC4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ind w:firstLine="0" w:firstLineChars="0"/>
      <w:jc w:val="center"/>
      <w:outlineLvl w:val="1"/>
    </w:pPr>
    <w:rPr>
      <w:rFonts w:ascii="Cambria" w:hAnsi="Cambria" w:cs="Cambria"/>
      <w:sz w:val="36"/>
      <w:szCs w:val="36"/>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uiPriority w:val="0"/>
    <w:pPr>
      <w:spacing w:line="620" w:lineRule="exact"/>
    </w:pPr>
    <w:rPr>
      <w:rFonts w:ascii="仿宋_GB2312" w:eastAsia="仿宋_GB2312"/>
      <w:sz w:val="32"/>
    </w:rPr>
  </w:style>
  <w:style w:type="paragraph" w:customStyle="1" w:styleId="3">
    <w:name w:val="toc 11"/>
    <w:next w:val="1"/>
    <w:qFormat/>
    <w:uiPriority w:val="0"/>
    <w:pPr>
      <w:wordWrap w:val="0"/>
      <w:jc w:val="both"/>
    </w:pPr>
    <w:rPr>
      <w:rFonts w:ascii="Calibri" w:hAnsi="Calibri" w:eastAsia="宋体" w:cs="Times New Roman"/>
      <w:sz w:val="21"/>
      <w:szCs w:val="22"/>
      <w:lang w:val="en-US" w:eastAsia="zh-CN" w:bidi="ar-SA"/>
    </w:rPr>
  </w:style>
  <w:style w:type="paragraph" w:styleId="5">
    <w:name w:val="Normal Indent"/>
    <w:basedOn w:val="1"/>
    <w:unhideWhenUsed/>
    <w:uiPriority w:val="0"/>
    <w:pPr>
      <w:ind w:firstLine="420"/>
    </w:pPr>
  </w:style>
  <w:style w:type="paragraph" w:styleId="6">
    <w:name w:val="Balloon Text"/>
    <w:basedOn w:val="1"/>
    <w:link w:val="14"/>
    <w:unhideWhenUsed/>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0"/>
    <w:pPr>
      <w:spacing w:before="0" w:beforeAutospacing="1" w:after="0" w:afterAutospacing="1"/>
      <w:ind w:left="0" w:right="0"/>
      <w:jc w:val="left"/>
    </w:pPr>
    <w:rPr>
      <w:kern w:val="0"/>
      <w:sz w:val="24"/>
      <w:lang w:val="en-US" w:eastAsia="zh-CN" w:bidi="ar"/>
    </w:rPr>
  </w:style>
  <w:style w:type="character" w:styleId="12">
    <w:name w:val="Hyperlink"/>
    <w:basedOn w:val="11"/>
    <w:unhideWhenUsed/>
    <w:qFormat/>
    <w:uiPriority w:val="0"/>
    <w:rPr>
      <w:color w:val="0000FF"/>
      <w:u w:val="single"/>
    </w:rPr>
  </w:style>
  <w:style w:type="character" w:customStyle="1" w:styleId="13">
    <w:name w:val="页眉 字符"/>
    <w:basedOn w:val="11"/>
    <w:link w:val="8"/>
    <w:qFormat/>
    <w:uiPriority w:val="0"/>
    <w:rPr>
      <w:rFonts w:ascii="Times New Roman" w:hAnsi="Times New Roman" w:eastAsia="宋体" w:cs="Times New Roman"/>
      <w:kern w:val="2"/>
      <w:sz w:val="18"/>
      <w:szCs w:val="18"/>
    </w:rPr>
  </w:style>
  <w:style w:type="character" w:customStyle="1" w:styleId="14">
    <w:name w:val="批注框文本 字符"/>
    <w:basedOn w:val="11"/>
    <w:link w:val="6"/>
    <w:semiHidden/>
    <w:qFormat/>
    <w:uiPriority w:val="0"/>
    <w:rPr>
      <w:rFonts w:ascii="Times New Roman" w:hAnsi="Times New Roman" w:eastAsia="宋体" w:cs="Times New Roman"/>
      <w:kern w:val="2"/>
      <w:sz w:val="18"/>
      <w:szCs w:val="18"/>
    </w:rPr>
  </w:style>
  <w:style w:type="paragraph" w:customStyle="1" w:styleId="15">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78</Words>
  <Characters>448</Characters>
  <Lines>3</Lines>
  <Paragraphs>1</Paragraphs>
  <TotalTime>0</TotalTime>
  <ScaleCrop>false</ScaleCrop>
  <LinksUpToDate>false</LinksUpToDate>
  <CharactersWithSpaces>525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john</cp:lastModifiedBy>
  <cp:lastPrinted>2025-02-17T00:42:00Z</cp:lastPrinted>
  <dcterms:modified xsi:type="dcterms:W3CDTF">2025-09-05T03:47:57Z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1EAA751A2C734D3781E05CF457BBF7DA_12</vt:lpwstr>
  </property>
</Properties>
</file>