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朝阳区商品房销售情况</w:t>
      </w:r>
    </w:p>
    <w:tbl>
      <w:tblPr>
        <w:tblStyle w:val="3"/>
        <w:tblW w:w="8362" w:type="dxa"/>
        <w:tblInd w:w="25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417"/>
        <w:gridCol w:w="2127"/>
        <w:gridCol w:w="18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  目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2025年1-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84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同比增长(%)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77" w:type="dxa"/>
            <w:vAlign w:val="center"/>
          </w:tcPr>
          <w:p>
            <w:pPr>
              <w:spacing w:after="0" w:line="24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房屋施工面积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万平方米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68.9</w:t>
            </w:r>
          </w:p>
        </w:tc>
        <w:tc>
          <w:tcPr>
            <w:tcW w:w="1841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-1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77" w:type="dxa"/>
            <w:vAlign w:val="center"/>
          </w:tcPr>
          <w:p>
            <w:pPr>
              <w:spacing w:after="0" w:line="240" w:lineRule="auto"/>
              <w:ind w:firstLine="280" w:firstLineChars="1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#住宅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万平方米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76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  <w:lang w:eastAsia="zh-CN"/>
              </w:rPr>
              <w:t>.6</w:t>
            </w:r>
          </w:p>
        </w:tc>
        <w:tc>
          <w:tcPr>
            <w:tcW w:w="1841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>
              <w:rPr>
                <w:rFonts w:hint="eastAsia"/>
                <w:sz w:val="28"/>
                <w:szCs w:val="28"/>
                <w:lang w:eastAsia="zh-CN"/>
              </w:rPr>
              <w:t>16.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77" w:type="dxa"/>
            <w:vAlign w:val="center"/>
          </w:tcPr>
          <w:p>
            <w:pPr>
              <w:spacing w:after="0" w:line="240" w:lineRule="auto"/>
              <w:rPr>
                <w:rFonts w:hint="eastAsia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商品房销售面积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万平方米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64.5</w:t>
            </w:r>
          </w:p>
        </w:tc>
        <w:tc>
          <w:tcPr>
            <w:tcW w:w="1841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77" w:type="dxa"/>
            <w:vAlign w:val="center"/>
          </w:tcPr>
          <w:p>
            <w:pPr>
              <w:spacing w:after="0" w:line="24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#住宅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万平方米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40.3</w:t>
            </w:r>
          </w:p>
        </w:tc>
        <w:tc>
          <w:tcPr>
            <w:tcW w:w="1841" w:type="dxa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0.0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after="0"/>
        <w:jc w:val="center"/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商品房销售领域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统计范围、采集渠道和主要指标解释</w:t>
      </w:r>
    </w:p>
    <w:p>
      <w:pPr>
        <w:spacing w:before="156" w:beforeLines="50" w:after="0" w:line="480" w:lineRule="auto"/>
        <w:ind w:firstLine="562" w:firstLineChars="200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一、统计范围</w:t>
      </w:r>
    </w:p>
    <w:p>
      <w:pPr>
        <w:spacing w:after="0" w:line="480" w:lineRule="auto"/>
        <w:ind w:firstLine="570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有开发经营活动的房地产开发经营业法人单位。</w:t>
      </w:r>
    </w:p>
    <w:p>
      <w:pPr>
        <w:spacing w:after="0" w:line="480" w:lineRule="auto"/>
        <w:ind w:firstLine="570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二、采集渠道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br w:type="textWrapping"/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　　纳入统计范围的房地产开发企业按照《房地产开发统计报表制度》要求，通过统计云联网直报平台上报统计数据。</w:t>
      </w:r>
    </w:p>
    <w:p>
      <w:pPr>
        <w:spacing w:after="0" w:line="480" w:lineRule="auto"/>
        <w:ind w:firstLine="570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三、指标解释</w:t>
      </w:r>
    </w:p>
    <w:p>
      <w:pPr>
        <w:spacing w:after="0" w:line="480" w:lineRule="auto"/>
        <w:ind w:firstLine="570"/>
        <w:rPr>
          <w:rFonts w:hint="eastAsia" w:ascii="宋体" w:hAnsi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房屋施工面积：</w:t>
      </w:r>
      <w:r>
        <w:rPr>
          <w:rFonts w:hint="eastAsia" w:ascii="宋体" w:hAnsi="宋体"/>
          <w:bCs/>
          <w:color w:val="000000"/>
          <w:sz w:val="28"/>
          <w:szCs w:val="28"/>
          <w:lang w:eastAsia="zh-CN"/>
        </w:rPr>
        <w:t>指报告期内施工的全部房屋建筑面积。包括本期新开工的房屋建筑面积、上期跨入本期继续施工的房屋建筑面积、上期停缓建在本期恢复施工的房屋建筑面积、本期竣工的房屋建筑面积以及本期施工后又停缓建的房屋建筑面积。多层建筑应填各层建筑面积之和。</w:t>
      </w:r>
    </w:p>
    <w:p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商品房销售面积：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 xml:space="preserve">指报告期内出售商品房屋的合同总面积(即双方签署的正式买卖合同中所确定的建筑面积)。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64BDF"/>
    <w:rsid w:val="59A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2025-08-19T01:51:00Z</dcterms:created>
  <dc:creator>lei</dc:creator>
  <cp:lastModifiedBy>lei</cp:lastModifiedBy>
  <dcterms:modified xsi:type="dcterms:W3CDTF">2025-08-19T01:55:14Z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