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63" w:rsidRPr="00994C02" w:rsidRDefault="00140263" w:rsidP="00140263">
      <w:pPr>
        <w:spacing w:line="560" w:lineRule="exact"/>
        <w:rPr>
          <w:rFonts w:ascii="黑体" w:eastAsia="黑体" w:hAnsi="黑体"/>
          <w:b w:val="0"/>
          <w:bCs w:val="0"/>
          <w:sz w:val="32"/>
          <w:szCs w:val="32"/>
        </w:rPr>
      </w:pPr>
      <w:r w:rsidRPr="00994C02">
        <w:rPr>
          <w:rFonts w:ascii="黑体" w:eastAsia="黑体" w:hAnsi="黑体" w:hint="eastAsia"/>
          <w:b w:val="0"/>
          <w:bCs w:val="0"/>
          <w:sz w:val="32"/>
          <w:szCs w:val="32"/>
        </w:rPr>
        <w:t>附件2:</w:t>
      </w:r>
    </w:p>
    <w:p w:rsidR="00140263" w:rsidRPr="00994C02" w:rsidRDefault="00140263" w:rsidP="00140263">
      <w:pPr>
        <w:jc w:val="center"/>
        <w:rPr>
          <w:rFonts w:ascii="宋体" w:hAnsi="宋体" w:cs="宋体"/>
          <w:sz w:val="36"/>
          <w:szCs w:val="36"/>
        </w:rPr>
      </w:pPr>
      <w:r w:rsidRPr="00994C02">
        <w:rPr>
          <w:rFonts w:ascii="宋体" w:hAnsi="宋体" w:cs="宋体" w:hint="eastAsia"/>
          <w:sz w:val="36"/>
          <w:szCs w:val="36"/>
        </w:rPr>
        <w:t>项目支出绩效评价报告</w:t>
      </w:r>
    </w:p>
    <w:p w:rsidR="00140263" w:rsidRPr="00994C02" w:rsidRDefault="00140263" w:rsidP="00140263">
      <w:pPr>
        <w:spacing w:line="600" w:lineRule="exact"/>
        <w:ind w:firstLineChars="200" w:firstLine="64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一、基本情况</w:t>
      </w:r>
    </w:p>
    <w:p w:rsidR="00CC57F0" w:rsidRDefault="00140263" w:rsidP="00C1675D">
      <w:pPr>
        <w:spacing w:line="600" w:lineRule="exact"/>
        <w:ind w:firstLineChars="200" w:firstLine="640"/>
        <w:outlineLvl w:val="0"/>
        <w:rPr>
          <w:rFonts w:ascii="仿宋_GB2312" w:eastAsia="仿宋_GB2312" w:hAnsi="仿宋_GB2312" w:cs="仿宋_GB2312" w:hint="eastAsia"/>
          <w:b w:val="0"/>
          <w:bCs w:val="0"/>
          <w:color w:val="000000"/>
          <w:kern w:val="0"/>
          <w:sz w:val="32"/>
          <w:szCs w:val="32"/>
        </w:rPr>
      </w:pPr>
      <w:r w:rsidRPr="00994C02">
        <w:rPr>
          <w:rFonts w:ascii="仿宋_GB2312" w:eastAsia="仿宋_GB2312" w:hAnsi="仿宋_GB2312" w:cs="仿宋_GB2312" w:hint="eastAsia"/>
          <w:b w:val="0"/>
          <w:bCs w:val="0"/>
          <w:color w:val="000000"/>
          <w:kern w:val="0"/>
          <w:sz w:val="32"/>
          <w:szCs w:val="32"/>
        </w:rPr>
        <w:t>（一）项目概况。</w:t>
      </w:r>
    </w:p>
    <w:p w:rsidR="00C1675D" w:rsidRPr="00C1675D" w:rsidRDefault="00C1675D" w:rsidP="00C1675D">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C1675D">
        <w:rPr>
          <w:rFonts w:ascii="仿宋_GB2312" w:eastAsia="仿宋_GB2312" w:hAnsi="仿宋_GB2312" w:cs="仿宋_GB2312" w:hint="eastAsia"/>
          <w:b w:val="0"/>
          <w:bCs w:val="0"/>
          <w:color w:val="000000"/>
          <w:kern w:val="0"/>
          <w:sz w:val="32"/>
          <w:szCs w:val="32"/>
        </w:rPr>
        <w:t>2020年义务兵优待金项目执行支出, 根据朝退役军人局发﹝2019﹞1号关于调整部分优抚对象抚恤补助金标准和义务兵优待金标准的通知，2019年义务兵家庭优待金标准调整为每人每年42926元。由</w:t>
      </w:r>
      <w:r w:rsidR="00623684">
        <w:rPr>
          <w:rFonts w:ascii="仿宋_GB2312" w:eastAsia="仿宋_GB2312" w:hAnsi="仿宋_GB2312" w:cs="仿宋_GB2312" w:hint="eastAsia"/>
          <w:b w:val="0"/>
          <w:bCs w:val="0"/>
          <w:color w:val="000000"/>
          <w:kern w:val="0"/>
          <w:sz w:val="32"/>
          <w:szCs w:val="32"/>
        </w:rPr>
        <w:t>麦子店</w:t>
      </w:r>
      <w:r w:rsidRPr="00C1675D">
        <w:rPr>
          <w:rFonts w:ascii="仿宋_GB2312" w:eastAsia="仿宋_GB2312" w:hAnsi="仿宋_GB2312" w:cs="仿宋_GB2312" w:hint="eastAsia"/>
          <w:b w:val="0"/>
          <w:bCs w:val="0"/>
          <w:color w:val="000000"/>
          <w:kern w:val="0"/>
          <w:sz w:val="32"/>
          <w:szCs w:val="32"/>
        </w:rPr>
        <w:t>街道民政科负责统计人员并申请，财政科根据申请发放到</w:t>
      </w:r>
      <w:r w:rsidR="00623684">
        <w:rPr>
          <w:rFonts w:ascii="仿宋_GB2312" w:eastAsia="仿宋_GB2312" w:hAnsi="仿宋_GB2312" w:cs="仿宋_GB2312" w:hint="eastAsia"/>
          <w:b w:val="0"/>
          <w:bCs w:val="0"/>
          <w:color w:val="000000"/>
          <w:kern w:val="0"/>
          <w:sz w:val="32"/>
          <w:szCs w:val="32"/>
        </w:rPr>
        <w:t>1</w:t>
      </w:r>
      <w:r w:rsidRPr="00C1675D">
        <w:rPr>
          <w:rFonts w:ascii="仿宋_GB2312" w:eastAsia="仿宋_GB2312" w:hAnsi="仿宋_GB2312" w:cs="仿宋_GB2312" w:hint="eastAsia"/>
          <w:b w:val="0"/>
          <w:bCs w:val="0"/>
          <w:color w:val="000000"/>
          <w:kern w:val="0"/>
          <w:sz w:val="32"/>
          <w:szCs w:val="32"/>
        </w:rPr>
        <w:t>名义务兵的个人银行账户中。</w:t>
      </w:r>
    </w:p>
    <w:p w:rsidR="00CC57F0" w:rsidRDefault="00140263" w:rsidP="00623684">
      <w:pPr>
        <w:spacing w:line="520" w:lineRule="exact"/>
        <w:ind w:firstLineChars="200" w:firstLine="640"/>
        <w:rPr>
          <w:rFonts w:ascii="仿宋_GB2312" w:eastAsia="仿宋_GB2312" w:hAnsi="仿宋_GB2312" w:cs="仿宋_GB2312" w:hint="eastAsia"/>
          <w:b w:val="0"/>
          <w:bCs w:val="0"/>
          <w:color w:val="000000"/>
          <w:kern w:val="0"/>
          <w:sz w:val="32"/>
          <w:szCs w:val="32"/>
        </w:rPr>
      </w:pPr>
      <w:r w:rsidRPr="00994C02">
        <w:rPr>
          <w:rFonts w:ascii="仿宋_GB2312" w:eastAsia="仿宋_GB2312" w:hAnsi="仿宋_GB2312" w:cs="仿宋_GB2312" w:hint="eastAsia"/>
          <w:b w:val="0"/>
          <w:bCs w:val="0"/>
          <w:color w:val="000000"/>
          <w:kern w:val="0"/>
          <w:sz w:val="32"/>
          <w:szCs w:val="32"/>
        </w:rPr>
        <w:t>（二）项目绩效目标。</w:t>
      </w:r>
    </w:p>
    <w:p w:rsidR="00623684" w:rsidRPr="002B62F3" w:rsidRDefault="00623684" w:rsidP="00623684">
      <w:pPr>
        <w:spacing w:line="520" w:lineRule="exact"/>
        <w:ind w:firstLineChars="200" w:firstLine="640"/>
        <w:rPr>
          <w:rFonts w:ascii="仿宋_GB2312" w:eastAsia="仿宋_GB2312" w:hAnsi="宋体"/>
          <w:b w:val="0"/>
          <w:bCs w:val="0"/>
          <w:sz w:val="32"/>
          <w:szCs w:val="32"/>
        </w:rPr>
      </w:pPr>
      <w:r w:rsidRPr="002B62F3">
        <w:rPr>
          <w:rFonts w:ascii="仿宋_GB2312" w:eastAsia="仿宋_GB2312" w:hAnsi="宋体" w:hint="eastAsia"/>
          <w:b w:val="0"/>
          <w:bCs w:val="0"/>
          <w:sz w:val="32"/>
          <w:szCs w:val="32"/>
        </w:rPr>
        <w:t>2020年义务兵优待金项目按照朝阳区退役军人事务军的要求，为</w:t>
      </w:r>
      <w:r>
        <w:rPr>
          <w:rFonts w:ascii="仿宋_GB2312" w:eastAsia="仿宋_GB2312" w:hAnsi="宋体" w:hint="eastAsia"/>
          <w:b w:val="0"/>
          <w:bCs w:val="0"/>
          <w:sz w:val="32"/>
          <w:szCs w:val="32"/>
        </w:rPr>
        <w:t>1</w:t>
      </w:r>
      <w:r w:rsidRPr="002B62F3">
        <w:rPr>
          <w:rFonts w:ascii="仿宋_GB2312" w:eastAsia="仿宋_GB2312" w:hAnsi="宋体" w:hint="eastAsia"/>
          <w:b w:val="0"/>
          <w:bCs w:val="0"/>
          <w:sz w:val="32"/>
          <w:szCs w:val="32"/>
        </w:rPr>
        <w:t>名义务兵，发放2020年义务兵优待金，</w:t>
      </w:r>
      <w:r>
        <w:rPr>
          <w:rFonts w:ascii="仿宋_GB2312" w:eastAsia="仿宋_GB2312" w:hAnsi="宋体" w:hint="eastAsia"/>
          <w:b w:val="0"/>
          <w:bCs w:val="0"/>
          <w:sz w:val="32"/>
          <w:szCs w:val="32"/>
        </w:rPr>
        <w:t>发放金额42926元</w:t>
      </w:r>
      <w:r w:rsidRPr="002B62F3">
        <w:rPr>
          <w:rFonts w:ascii="仿宋_GB2312" w:eastAsia="仿宋_GB2312" w:hAnsi="宋体" w:hint="eastAsia"/>
          <w:b w:val="0"/>
          <w:bCs w:val="0"/>
          <w:sz w:val="32"/>
          <w:szCs w:val="32"/>
        </w:rPr>
        <w:t>。于2020年八一前夕全额及时的成功发放到</w:t>
      </w:r>
      <w:r>
        <w:rPr>
          <w:rFonts w:ascii="仿宋_GB2312" w:eastAsia="仿宋_GB2312" w:hAnsi="宋体" w:hint="eastAsia"/>
          <w:b w:val="0"/>
          <w:bCs w:val="0"/>
          <w:sz w:val="32"/>
          <w:szCs w:val="32"/>
        </w:rPr>
        <w:t>1</w:t>
      </w:r>
      <w:r w:rsidRPr="002B62F3">
        <w:rPr>
          <w:rFonts w:ascii="仿宋_GB2312" w:eastAsia="仿宋_GB2312" w:hAnsi="宋体" w:hint="eastAsia"/>
          <w:b w:val="0"/>
          <w:bCs w:val="0"/>
          <w:sz w:val="32"/>
          <w:szCs w:val="32"/>
        </w:rPr>
        <w:t>名义务兵的个人银行账户中，</w:t>
      </w:r>
      <w:r>
        <w:rPr>
          <w:rFonts w:ascii="仿宋_GB2312" w:eastAsia="仿宋_GB2312" w:hAnsi="宋体" w:hint="eastAsia"/>
          <w:b w:val="0"/>
          <w:bCs w:val="0"/>
          <w:sz w:val="32"/>
          <w:szCs w:val="32"/>
        </w:rPr>
        <w:t>1</w:t>
      </w:r>
      <w:r w:rsidRPr="002B62F3">
        <w:rPr>
          <w:rFonts w:ascii="仿宋_GB2312" w:eastAsia="仿宋_GB2312" w:hAnsi="宋体" w:hint="eastAsia"/>
          <w:b w:val="0"/>
          <w:bCs w:val="0"/>
          <w:sz w:val="32"/>
          <w:szCs w:val="32"/>
        </w:rPr>
        <w:t>名义务兵均已确认查收</w:t>
      </w:r>
      <w:r>
        <w:rPr>
          <w:rFonts w:ascii="仿宋_GB2312" w:eastAsia="仿宋_GB2312" w:hAnsi="宋体" w:hint="eastAsia"/>
          <w:b w:val="0"/>
          <w:bCs w:val="0"/>
          <w:sz w:val="32"/>
          <w:szCs w:val="32"/>
        </w:rPr>
        <w:t>，未有结余</w:t>
      </w:r>
      <w:r w:rsidRPr="002B62F3">
        <w:rPr>
          <w:rFonts w:ascii="仿宋_GB2312" w:eastAsia="仿宋_GB2312" w:hAnsi="宋体" w:hint="eastAsia"/>
          <w:b w:val="0"/>
          <w:bCs w:val="0"/>
          <w:sz w:val="32"/>
          <w:szCs w:val="32"/>
        </w:rPr>
        <w:t>。</w:t>
      </w:r>
    </w:p>
    <w:p w:rsidR="00140263" w:rsidRPr="00994C02" w:rsidRDefault="00140263" w:rsidP="00623684">
      <w:pPr>
        <w:spacing w:line="600" w:lineRule="exact"/>
        <w:ind w:firstLineChars="200" w:firstLine="640"/>
        <w:outlineLvl w:val="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二、绩效评价工作开展情况</w:t>
      </w:r>
    </w:p>
    <w:p w:rsidR="00140263" w:rsidRPr="004B7322"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4B7322">
        <w:rPr>
          <w:rFonts w:ascii="仿宋_GB2312" w:eastAsia="仿宋_GB2312" w:hAnsi="仿宋_GB2312" w:cs="仿宋_GB2312" w:hint="eastAsia"/>
          <w:b w:val="0"/>
          <w:bCs w:val="0"/>
          <w:color w:val="000000"/>
          <w:kern w:val="0"/>
          <w:sz w:val="32"/>
          <w:szCs w:val="32"/>
        </w:rPr>
        <w:t>（一）</w:t>
      </w:r>
      <w:r w:rsidR="006E6B9D" w:rsidRPr="004B7322">
        <w:rPr>
          <w:rFonts w:ascii="仿宋_GB2312" w:eastAsia="仿宋_GB2312" w:hAnsi="仿宋_GB2312" w:cs="仿宋_GB2312" w:hint="eastAsia"/>
          <w:b w:val="0"/>
          <w:bCs w:val="0"/>
          <w:color w:val="000000"/>
          <w:kern w:val="0"/>
          <w:sz w:val="32"/>
          <w:szCs w:val="32"/>
        </w:rPr>
        <w:t>2020年义务兵优待金项目针对的是</w:t>
      </w:r>
      <w:r w:rsidR="00DE58BF" w:rsidRPr="004B7322">
        <w:rPr>
          <w:rFonts w:ascii="仿宋_GB2312" w:eastAsia="仿宋_GB2312" w:hAnsi="仿宋_GB2312" w:cs="仿宋_GB2312" w:hint="eastAsia"/>
          <w:b w:val="0"/>
          <w:bCs w:val="0"/>
          <w:color w:val="000000"/>
          <w:kern w:val="0"/>
          <w:sz w:val="32"/>
          <w:szCs w:val="32"/>
        </w:rPr>
        <w:t>从</w:t>
      </w:r>
      <w:r w:rsidR="00623684">
        <w:rPr>
          <w:rFonts w:ascii="仿宋_GB2312" w:eastAsia="仿宋_GB2312" w:hAnsi="仿宋_GB2312" w:cs="仿宋_GB2312" w:hint="eastAsia"/>
          <w:b w:val="0"/>
          <w:bCs w:val="0"/>
          <w:color w:val="000000"/>
          <w:kern w:val="0"/>
          <w:sz w:val="32"/>
          <w:szCs w:val="32"/>
        </w:rPr>
        <w:t>麦子店</w:t>
      </w:r>
      <w:r w:rsidR="00DE58BF" w:rsidRPr="004B7322">
        <w:rPr>
          <w:rFonts w:ascii="仿宋_GB2312" w:eastAsia="仿宋_GB2312" w:hAnsi="仿宋_GB2312" w:cs="仿宋_GB2312" w:hint="eastAsia"/>
          <w:b w:val="0"/>
          <w:bCs w:val="0"/>
          <w:color w:val="000000"/>
          <w:kern w:val="0"/>
          <w:sz w:val="32"/>
          <w:szCs w:val="32"/>
        </w:rPr>
        <w:t>街道参军入伍且正在服役的</w:t>
      </w:r>
      <w:r w:rsidR="00623684">
        <w:rPr>
          <w:rFonts w:ascii="仿宋_GB2312" w:eastAsia="仿宋_GB2312" w:hAnsi="仿宋_GB2312" w:cs="仿宋_GB2312" w:hint="eastAsia"/>
          <w:b w:val="0"/>
          <w:bCs w:val="0"/>
          <w:color w:val="000000"/>
          <w:kern w:val="0"/>
          <w:sz w:val="32"/>
          <w:szCs w:val="32"/>
        </w:rPr>
        <w:t>1</w:t>
      </w:r>
      <w:r w:rsidR="00DE58BF" w:rsidRPr="004B7322">
        <w:rPr>
          <w:rFonts w:ascii="仿宋_GB2312" w:eastAsia="仿宋_GB2312" w:hAnsi="仿宋_GB2312" w:cs="仿宋_GB2312" w:hint="eastAsia"/>
          <w:b w:val="0"/>
          <w:bCs w:val="0"/>
          <w:color w:val="000000"/>
          <w:kern w:val="0"/>
          <w:sz w:val="32"/>
          <w:szCs w:val="32"/>
        </w:rPr>
        <w:t>名义务兵。</w:t>
      </w:r>
    </w:p>
    <w:p w:rsidR="00140263" w:rsidRPr="004B7322"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4B7322">
        <w:rPr>
          <w:rFonts w:ascii="仿宋_GB2312" w:eastAsia="仿宋_GB2312" w:hAnsi="仿宋_GB2312" w:cs="仿宋_GB2312" w:hint="eastAsia"/>
          <w:b w:val="0"/>
          <w:bCs w:val="0"/>
          <w:color w:val="000000"/>
          <w:kern w:val="0"/>
          <w:sz w:val="32"/>
          <w:szCs w:val="32"/>
        </w:rPr>
        <w:t>（二）</w:t>
      </w:r>
      <w:r w:rsidR="00DE58BF" w:rsidRPr="004B7322">
        <w:rPr>
          <w:rFonts w:ascii="仿宋_GB2312" w:eastAsia="仿宋_GB2312" w:hAnsi="仿宋_GB2312" w:cs="仿宋_GB2312" w:hint="eastAsia"/>
          <w:b w:val="0"/>
          <w:bCs w:val="0"/>
          <w:color w:val="000000"/>
          <w:kern w:val="0"/>
          <w:sz w:val="32"/>
          <w:szCs w:val="32"/>
        </w:rPr>
        <w:t>本次直达资金两个项目的</w:t>
      </w:r>
      <w:r w:rsidR="001D1996" w:rsidRPr="004B7322">
        <w:rPr>
          <w:rFonts w:ascii="仿宋_GB2312" w:eastAsia="仿宋_GB2312" w:hAnsi="仿宋_GB2312" w:cs="仿宋_GB2312" w:hint="eastAsia"/>
          <w:b w:val="0"/>
          <w:bCs w:val="0"/>
          <w:color w:val="000000"/>
          <w:kern w:val="0"/>
          <w:sz w:val="32"/>
          <w:szCs w:val="32"/>
        </w:rPr>
        <w:t>绩效评价</w:t>
      </w:r>
      <w:r w:rsidR="00DE58BF" w:rsidRPr="004B7322">
        <w:rPr>
          <w:rFonts w:ascii="仿宋_GB2312" w:eastAsia="仿宋_GB2312" w:hAnsi="仿宋_GB2312" w:cs="仿宋_GB2312" w:hint="eastAsia"/>
          <w:b w:val="0"/>
          <w:bCs w:val="0"/>
          <w:color w:val="000000"/>
          <w:kern w:val="0"/>
          <w:sz w:val="32"/>
          <w:szCs w:val="32"/>
        </w:rPr>
        <w:t>秉持</w:t>
      </w:r>
      <w:r w:rsidR="001D1996" w:rsidRPr="004B7322">
        <w:rPr>
          <w:rFonts w:ascii="仿宋_GB2312" w:eastAsia="仿宋_GB2312" w:hint="eastAsia"/>
          <w:b w:val="0"/>
          <w:sz w:val="32"/>
          <w:szCs w:val="32"/>
        </w:rPr>
        <w:t>科学公正、统筹兼顾、激励约束、公开透明</w:t>
      </w:r>
      <w:r w:rsidR="00DE58BF" w:rsidRPr="004B7322">
        <w:rPr>
          <w:rFonts w:ascii="仿宋_GB2312" w:eastAsia="仿宋_GB2312" w:hint="eastAsia"/>
          <w:b w:val="0"/>
          <w:sz w:val="32"/>
          <w:szCs w:val="32"/>
        </w:rPr>
        <w:t>的原则</w:t>
      </w:r>
      <w:r w:rsidR="001D1996" w:rsidRPr="004B7322">
        <w:rPr>
          <w:rFonts w:ascii="仿宋_GB2312" w:eastAsia="仿宋_GB2312" w:hint="eastAsia"/>
          <w:b w:val="0"/>
          <w:sz w:val="32"/>
          <w:szCs w:val="32"/>
        </w:rPr>
        <w:t>；</w:t>
      </w:r>
      <w:r w:rsidR="003720F5" w:rsidRPr="004B7322">
        <w:rPr>
          <w:rFonts w:ascii="仿宋_GB2312" w:eastAsia="仿宋_GB2312" w:hint="eastAsia"/>
          <w:b w:val="0"/>
          <w:sz w:val="32"/>
          <w:szCs w:val="32"/>
        </w:rPr>
        <w:t>评价指标体系</w:t>
      </w:r>
      <w:r w:rsidR="00DE58BF" w:rsidRPr="004B7322">
        <w:rPr>
          <w:rFonts w:ascii="仿宋_GB2312" w:eastAsia="仿宋_GB2312" w:hint="eastAsia"/>
          <w:b w:val="0"/>
          <w:sz w:val="32"/>
          <w:szCs w:val="32"/>
        </w:rPr>
        <w:t>根据立项依据充分、立项程序规范、</w:t>
      </w:r>
      <w:r w:rsidR="00C6294F" w:rsidRPr="004B7322">
        <w:rPr>
          <w:rFonts w:ascii="仿宋_GB2312" w:eastAsia="仿宋_GB2312" w:hint="eastAsia"/>
          <w:b w:val="0"/>
          <w:sz w:val="32"/>
          <w:szCs w:val="32"/>
        </w:rPr>
        <w:t>绩效目标合理、绩效指标明确性、预算编制具有科学性、资金分配具备合理性、资金到位及时、按计划进行预算执行、资金使用合规、财务和业务管理制度健全、有效执行相关管理制度、项目实施的完成度、质量达标、完工及时和成本节约达到计划规定、实施效益及群众满意度达到目标的要求</w:t>
      </w:r>
      <w:r w:rsidR="00C6294F" w:rsidRPr="004B7322">
        <w:rPr>
          <w:rFonts w:ascii="仿宋_GB2312" w:eastAsia="仿宋_GB2312" w:hint="eastAsia"/>
          <w:b w:val="0"/>
          <w:sz w:val="32"/>
          <w:szCs w:val="32"/>
        </w:rPr>
        <w:lastRenderedPageBreak/>
        <w:t>确立</w:t>
      </w:r>
      <w:r w:rsidR="001D1996" w:rsidRPr="004B7322">
        <w:rPr>
          <w:rFonts w:ascii="仿宋_GB2312" w:eastAsia="仿宋_GB2312" w:hint="eastAsia"/>
          <w:b w:val="0"/>
          <w:sz w:val="32"/>
          <w:szCs w:val="32"/>
        </w:rPr>
        <w:t>；评价方法</w:t>
      </w:r>
      <w:r w:rsidR="004B7322" w:rsidRPr="004B7322">
        <w:rPr>
          <w:rFonts w:ascii="仿宋_GB2312" w:eastAsia="仿宋_GB2312" w:hint="eastAsia"/>
          <w:b w:val="0"/>
          <w:sz w:val="32"/>
          <w:szCs w:val="32"/>
        </w:rPr>
        <w:t>根据最初计划实现目标与最终完成情况对比进行绩效评价</w:t>
      </w:r>
      <w:r w:rsidR="001D1996" w:rsidRPr="004B7322">
        <w:rPr>
          <w:rFonts w:ascii="仿宋_GB2312" w:eastAsia="仿宋_GB2312" w:hint="eastAsia"/>
          <w:b w:val="0"/>
          <w:sz w:val="32"/>
          <w:szCs w:val="32"/>
        </w:rPr>
        <w:t>；绩效评价标准通</w:t>
      </w:r>
      <w:r w:rsidR="004B7322" w:rsidRPr="004B7322">
        <w:rPr>
          <w:rFonts w:ascii="仿宋_GB2312" w:eastAsia="仿宋_GB2312" w:hint="eastAsia"/>
          <w:b w:val="0"/>
          <w:sz w:val="32"/>
          <w:szCs w:val="32"/>
        </w:rPr>
        <w:t>过对比工程项目前后情况进行。</w:t>
      </w:r>
    </w:p>
    <w:p w:rsidR="00140263" w:rsidRPr="00427E9F"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427E9F">
        <w:rPr>
          <w:rFonts w:ascii="仿宋_GB2312" w:eastAsia="仿宋_GB2312" w:hAnsi="仿宋_GB2312" w:cs="仿宋_GB2312" w:hint="eastAsia"/>
          <w:b w:val="0"/>
          <w:bCs w:val="0"/>
          <w:color w:val="000000"/>
          <w:kern w:val="0"/>
          <w:sz w:val="32"/>
          <w:szCs w:val="32"/>
        </w:rPr>
        <w:t>（三）绩效评价工作过程。</w:t>
      </w:r>
    </w:p>
    <w:p w:rsidR="00427E9F" w:rsidRDefault="00427E9F" w:rsidP="00427E9F">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427E9F">
        <w:rPr>
          <w:rFonts w:ascii="仿宋_GB2312" w:eastAsia="仿宋_GB2312" w:hAnsi="仿宋_GB2312" w:cs="仿宋_GB2312" w:hint="eastAsia"/>
          <w:b w:val="0"/>
          <w:bCs w:val="0"/>
          <w:color w:val="000000"/>
          <w:kern w:val="0"/>
          <w:sz w:val="32"/>
          <w:szCs w:val="32"/>
        </w:rPr>
        <w:t>2020年义务兵优待金项目按照朝阳区退役军人事务军的要求，为从</w:t>
      </w:r>
      <w:r w:rsidR="00623684">
        <w:rPr>
          <w:rFonts w:ascii="仿宋_GB2312" w:eastAsia="仿宋_GB2312" w:hAnsi="仿宋_GB2312" w:cs="仿宋_GB2312" w:hint="eastAsia"/>
          <w:b w:val="0"/>
          <w:bCs w:val="0"/>
          <w:color w:val="000000"/>
          <w:kern w:val="0"/>
          <w:sz w:val="32"/>
          <w:szCs w:val="32"/>
        </w:rPr>
        <w:t>麦子店</w:t>
      </w:r>
      <w:r w:rsidRPr="00427E9F">
        <w:rPr>
          <w:rFonts w:ascii="仿宋_GB2312" w:eastAsia="仿宋_GB2312" w:hAnsi="仿宋_GB2312" w:cs="仿宋_GB2312" w:hint="eastAsia"/>
          <w:b w:val="0"/>
          <w:bCs w:val="0"/>
          <w:color w:val="000000"/>
          <w:kern w:val="0"/>
          <w:sz w:val="32"/>
          <w:szCs w:val="32"/>
        </w:rPr>
        <w:t>街道参军入伍且正在服役的</w:t>
      </w:r>
      <w:r w:rsidR="00623684">
        <w:rPr>
          <w:rFonts w:ascii="仿宋_GB2312" w:eastAsia="仿宋_GB2312" w:hAnsi="仿宋_GB2312" w:cs="仿宋_GB2312" w:hint="eastAsia"/>
          <w:b w:val="0"/>
          <w:bCs w:val="0"/>
          <w:color w:val="000000"/>
          <w:kern w:val="0"/>
          <w:sz w:val="32"/>
          <w:szCs w:val="32"/>
        </w:rPr>
        <w:t>1</w:t>
      </w:r>
      <w:r w:rsidRPr="00427E9F">
        <w:rPr>
          <w:rFonts w:ascii="仿宋_GB2312" w:eastAsia="仿宋_GB2312" w:hAnsi="仿宋_GB2312" w:cs="仿宋_GB2312" w:hint="eastAsia"/>
          <w:b w:val="0"/>
          <w:bCs w:val="0"/>
          <w:color w:val="000000"/>
          <w:kern w:val="0"/>
          <w:sz w:val="32"/>
          <w:szCs w:val="32"/>
        </w:rPr>
        <w:t>名义务兵，发放2020年义务兵优待金。</w:t>
      </w:r>
    </w:p>
    <w:p w:rsidR="00140263" w:rsidRPr="00427E9F" w:rsidRDefault="00140263" w:rsidP="00140263">
      <w:pPr>
        <w:spacing w:line="600" w:lineRule="exact"/>
        <w:ind w:firstLineChars="200" w:firstLine="640"/>
        <w:rPr>
          <w:rFonts w:ascii="黑体" w:eastAsia="黑体" w:hAnsi="黑体" w:cs="黑体"/>
          <w:b w:val="0"/>
          <w:color w:val="000000"/>
          <w:kern w:val="0"/>
          <w:sz w:val="32"/>
          <w:szCs w:val="32"/>
        </w:rPr>
      </w:pPr>
      <w:r w:rsidRPr="00427E9F">
        <w:rPr>
          <w:rFonts w:ascii="黑体" w:eastAsia="黑体" w:hAnsi="黑体" w:cs="黑体" w:hint="eastAsia"/>
          <w:b w:val="0"/>
          <w:color w:val="000000"/>
          <w:kern w:val="0"/>
          <w:sz w:val="32"/>
          <w:szCs w:val="32"/>
        </w:rPr>
        <w:t>三、综合评价情况及评价结论</w:t>
      </w:r>
    </w:p>
    <w:p w:rsidR="00623684" w:rsidRPr="00CC57F0" w:rsidRDefault="00B44FDD" w:rsidP="00CC57F0">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B44FDD">
        <w:rPr>
          <w:rFonts w:ascii="仿宋_GB2312" w:eastAsia="仿宋_GB2312" w:hAnsi="仿宋_GB2312" w:cs="仿宋_GB2312" w:hint="eastAsia"/>
          <w:b w:val="0"/>
          <w:bCs w:val="0"/>
          <w:color w:val="000000"/>
          <w:kern w:val="0"/>
          <w:sz w:val="32"/>
          <w:szCs w:val="32"/>
        </w:rPr>
        <w:t>2020年义务兵优待金项目按照朝阳区退役军人事务军的要求，经民政科核对发放金额准确后，于2020年7月向街道财政科提交申请，发放到</w:t>
      </w:r>
      <w:r w:rsidR="00623684">
        <w:rPr>
          <w:rFonts w:ascii="仿宋_GB2312" w:eastAsia="仿宋_GB2312" w:hAnsi="仿宋_GB2312" w:cs="仿宋_GB2312" w:hint="eastAsia"/>
          <w:b w:val="0"/>
          <w:bCs w:val="0"/>
          <w:color w:val="000000"/>
          <w:kern w:val="0"/>
          <w:sz w:val="32"/>
          <w:szCs w:val="32"/>
        </w:rPr>
        <w:t>1</w:t>
      </w:r>
      <w:r w:rsidRPr="00B44FDD">
        <w:rPr>
          <w:rFonts w:ascii="仿宋_GB2312" w:eastAsia="仿宋_GB2312" w:hAnsi="仿宋_GB2312" w:cs="仿宋_GB2312" w:hint="eastAsia"/>
          <w:b w:val="0"/>
          <w:bCs w:val="0"/>
          <w:color w:val="000000"/>
          <w:kern w:val="0"/>
          <w:sz w:val="32"/>
          <w:szCs w:val="32"/>
        </w:rPr>
        <w:t>名义务兵的个人银行账户中，</w:t>
      </w:r>
      <w:r w:rsidR="00623684">
        <w:rPr>
          <w:rFonts w:ascii="仿宋_GB2312" w:eastAsia="仿宋_GB2312" w:hAnsi="仿宋_GB2312" w:cs="仿宋_GB2312" w:hint="eastAsia"/>
          <w:b w:val="0"/>
          <w:bCs w:val="0"/>
          <w:color w:val="000000"/>
          <w:kern w:val="0"/>
          <w:sz w:val="32"/>
          <w:szCs w:val="32"/>
        </w:rPr>
        <w:t>1</w:t>
      </w:r>
      <w:r w:rsidRPr="00B44FDD">
        <w:rPr>
          <w:rFonts w:ascii="仿宋_GB2312" w:eastAsia="仿宋_GB2312" w:hAnsi="仿宋_GB2312" w:cs="仿宋_GB2312" w:hint="eastAsia"/>
          <w:b w:val="0"/>
          <w:bCs w:val="0"/>
          <w:color w:val="000000"/>
          <w:kern w:val="0"/>
          <w:sz w:val="32"/>
          <w:szCs w:val="32"/>
        </w:rPr>
        <w:t>名义务兵均已确认查收。</w:t>
      </w:r>
      <w:bookmarkStart w:id="0" w:name="_GoBack"/>
      <w:bookmarkEnd w:id="0"/>
    </w:p>
    <w:p w:rsidR="00140263" w:rsidRPr="006E6B9D" w:rsidRDefault="00140263" w:rsidP="00140263">
      <w:pPr>
        <w:spacing w:line="600" w:lineRule="exact"/>
        <w:ind w:firstLineChars="200" w:firstLine="640"/>
        <w:rPr>
          <w:rFonts w:ascii="黑体" w:eastAsia="黑体" w:hAnsi="黑体" w:cs="黑体"/>
          <w:b w:val="0"/>
          <w:color w:val="000000"/>
          <w:kern w:val="0"/>
          <w:sz w:val="32"/>
          <w:szCs w:val="32"/>
        </w:rPr>
      </w:pPr>
      <w:r w:rsidRPr="006E6B9D">
        <w:rPr>
          <w:rFonts w:ascii="黑体" w:eastAsia="黑体" w:hAnsi="黑体" w:cs="黑体" w:hint="eastAsia"/>
          <w:b w:val="0"/>
          <w:color w:val="000000"/>
          <w:kern w:val="0"/>
          <w:sz w:val="32"/>
          <w:szCs w:val="32"/>
        </w:rPr>
        <w:t>四、绩效评价指标分析</w:t>
      </w:r>
    </w:p>
    <w:p w:rsidR="006E6B9D"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t>（一）项目决策情况。</w:t>
      </w:r>
    </w:p>
    <w:p w:rsidR="00C75678" w:rsidRDefault="00C75678"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Pr>
          <w:rFonts w:ascii="仿宋_GB2312" w:eastAsia="仿宋_GB2312" w:hAnsi="仿宋_GB2312" w:cs="仿宋_GB2312" w:hint="eastAsia"/>
          <w:b w:val="0"/>
          <w:bCs w:val="0"/>
          <w:color w:val="000000"/>
          <w:kern w:val="0"/>
          <w:sz w:val="32"/>
          <w:szCs w:val="32"/>
        </w:rPr>
        <w:t>2</w:t>
      </w:r>
      <w:r w:rsidRPr="00C1675D">
        <w:rPr>
          <w:rFonts w:ascii="仿宋_GB2312" w:eastAsia="仿宋_GB2312" w:hAnsi="仿宋_GB2312" w:cs="仿宋_GB2312" w:hint="eastAsia"/>
          <w:b w:val="0"/>
          <w:bCs w:val="0"/>
          <w:color w:val="000000"/>
          <w:kern w:val="0"/>
          <w:sz w:val="32"/>
          <w:szCs w:val="32"/>
        </w:rPr>
        <w:t>020年义务兵优待金项目</w:t>
      </w:r>
      <w:r>
        <w:rPr>
          <w:rFonts w:ascii="仿宋_GB2312" w:eastAsia="仿宋_GB2312" w:hAnsi="仿宋_GB2312" w:cs="仿宋_GB2312" w:hint="eastAsia"/>
          <w:b w:val="0"/>
          <w:bCs w:val="0"/>
          <w:color w:val="000000"/>
          <w:kern w:val="0"/>
          <w:sz w:val="32"/>
          <w:szCs w:val="32"/>
        </w:rPr>
        <w:t>，</w:t>
      </w:r>
      <w:r w:rsidRPr="00C1675D">
        <w:rPr>
          <w:rFonts w:ascii="仿宋_GB2312" w:eastAsia="仿宋_GB2312" w:hAnsi="仿宋_GB2312" w:cs="仿宋_GB2312" w:hint="eastAsia"/>
          <w:b w:val="0"/>
          <w:bCs w:val="0"/>
          <w:color w:val="000000"/>
          <w:kern w:val="0"/>
          <w:sz w:val="32"/>
          <w:szCs w:val="32"/>
        </w:rPr>
        <w:t>根据朝退役军人局发﹝2019﹞1号关于调整部分优抚对象抚恤补助金标准和义务兵优待金标准的通知</w:t>
      </w:r>
      <w:r>
        <w:rPr>
          <w:rFonts w:ascii="仿宋_GB2312" w:eastAsia="仿宋_GB2312" w:hAnsi="仿宋_GB2312" w:cs="仿宋_GB2312" w:hint="eastAsia"/>
          <w:b w:val="0"/>
          <w:bCs w:val="0"/>
          <w:color w:val="000000"/>
          <w:kern w:val="0"/>
          <w:sz w:val="32"/>
          <w:szCs w:val="32"/>
        </w:rPr>
        <w:t>进行发放。</w:t>
      </w:r>
    </w:p>
    <w:p w:rsidR="006E6B9D"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t>（二）项目过程情况。</w:t>
      </w:r>
    </w:p>
    <w:p w:rsidR="00623684" w:rsidRPr="002B62F3" w:rsidRDefault="00623684" w:rsidP="00623684">
      <w:pPr>
        <w:spacing w:line="520" w:lineRule="exact"/>
        <w:ind w:firstLineChars="200" w:firstLine="640"/>
        <w:rPr>
          <w:rFonts w:ascii="仿宋_GB2312" w:eastAsia="仿宋_GB2312" w:hAnsi="宋体"/>
          <w:b w:val="0"/>
          <w:bCs w:val="0"/>
          <w:sz w:val="32"/>
          <w:szCs w:val="32"/>
        </w:rPr>
      </w:pPr>
      <w:r w:rsidRPr="002B62F3">
        <w:rPr>
          <w:rFonts w:ascii="仿宋_GB2312" w:eastAsia="仿宋_GB2312" w:hAnsi="宋体" w:hint="eastAsia"/>
          <w:b w:val="0"/>
          <w:bCs w:val="0"/>
          <w:sz w:val="32"/>
          <w:szCs w:val="32"/>
        </w:rPr>
        <w:t>2020年义务兵优待金预算资金共计</w:t>
      </w:r>
      <w:r>
        <w:rPr>
          <w:rFonts w:ascii="仿宋_GB2312" w:eastAsia="仿宋_GB2312" w:hAnsi="宋体" w:hint="eastAsia"/>
          <w:b w:val="0"/>
          <w:bCs w:val="0"/>
          <w:sz w:val="32"/>
          <w:szCs w:val="32"/>
        </w:rPr>
        <w:t>42926</w:t>
      </w:r>
      <w:r w:rsidRPr="002B62F3">
        <w:rPr>
          <w:rFonts w:ascii="仿宋_GB2312" w:eastAsia="仿宋_GB2312" w:hAnsi="宋体" w:hint="eastAsia"/>
          <w:b w:val="0"/>
          <w:bCs w:val="0"/>
          <w:sz w:val="32"/>
          <w:szCs w:val="32"/>
        </w:rPr>
        <w:t>元。街道民政科按照朝阳区退役军人事务局要求于2020年八一前夕全额及时的成功发放到</w:t>
      </w:r>
      <w:r>
        <w:rPr>
          <w:rFonts w:ascii="仿宋_GB2312" w:eastAsia="仿宋_GB2312" w:hAnsi="宋体" w:hint="eastAsia"/>
          <w:b w:val="0"/>
          <w:bCs w:val="0"/>
          <w:sz w:val="32"/>
          <w:szCs w:val="32"/>
        </w:rPr>
        <w:t>1</w:t>
      </w:r>
      <w:r w:rsidRPr="002B62F3">
        <w:rPr>
          <w:rFonts w:ascii="仿宋_GB2312" w:eastAsia="仿宋_GB2312" w:hAnsi="宋体" w:hint="eastAsia"/>
          <w:b w:val="0"/>
          <w:bCs w:val="0"/>
          <w:sz w:val="32"/>
          <w:szCs w:val="32"/>
        </w:rPr>
        <w:t>名义务兵的个人银行账户中，</w:t>
      </w:r>
      <w:r>
        <w:rPr>
          <w:rFonts w:ascii="仿宋_GB2312" w:eastAsia="仿宋_GB2312" w:hAnsi="宋体" w:hint="eastAsia"/>
          <w:b w:val="0"/>
          <w:bCs w:val="0"/>
          <w:sz w:val="32"/>
          <w:szCs w:val="32"/>
        </w:rPr>
        <w:t>1</w:t>
      </w:r>
      <w:r w:rsidRPr="002B62F3">
        <w:rPr>
          <w:rFonts w:ascii="仿宋_GB2312" w:eastAsia="仿宋_GB2312" w:hAnsi="宋体" w:hint="eastAsia"/>
          <w:b w:val="0"/>
          <w:bCs w:val="0"/>
          <w:sz w:val="32"/>
          <w:szCs w:val="32"/>
        </w:rPr>
        <w:t>名义务兵均已确认查收，未有退款及结余。</w:t>
      </w:r>
    </w:p>
    <w:p w:rsidR="006E6B9D" w:rsidRPr="006E6B9D"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t>（三）项目产出情况。</w:t>
      </w:r>
    </w:p>
    <w:p w:rsidR="00140263" w:rsidRPr="006E6B9D" w:rsidRDefault="00C75678"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t>2020年义务兵优待金，</w:t>
      </w:r>
      <w:r w:rsidR="00623684">
        <w:rPr>
          <w:rFonts w:ascii="仿宋_GB2312" w:eastAsia="仿宋_GB2312" w:hAnsi="仿宋_GB2312" w:cs="仿宋_GB2312" w:hint="eastAsia"/>
          <w:b w:val="0"/>
          <w:bCs w:val="0"/>
          <w:color w:val="000000"/>
          <w:kern w:val="0"/>
          <w:sz w:val="32"/>
          <w:szCs w:val="32"/>
        </w:rPr>
        <w:t>1</w:t>
      </w:r>
      <w:r w:rsidRPr="006E6B9D">
        <w:rPr>
          <w:rFonts w:ascii="仿宋_GB2312" w:eastAsia="仿宋_GB2312" w:hAnsi="仿宋_GB2312" w:cs="仿宋_GB2312" w:hint="eastAsia"/>
          <w:b w:val="0"/>
          <w:bCs w:val="0"/>
          <w:color w:val="000000"/>
          <w:kern w:val="0"/>
          <w:sz w:val="32"/>
          <w:szCs w:val="32"/>
        </w:rPr>
        <w:t>名义务兵均已确认查收。</w:t>
      </w:r>
    </w:p>
    <w:p w:rsidR="006E6B9D" w:rsidRPr="006E6B9D" w:rsidRDefault="00140263"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lastRenderedPageBreak/>
        <w:t>（四）项目效益情况。</w:t>
      </w:r>
    </w:p>
    <w:p w:rsidR="00140263" w:rsidRDefault="006E6B9D" w:rsidP="00140263">
      <w:pPr>
        <w:spacing w:line="600" w:lineRule="exact"/>
        <w:ind w:firstLineChars="200" w:firstLine="640"/>
        <w:outlineLvl w:val="0"/>
        <w:rPr>
          <w:rFonts w:ascii="仿宋_GB2312" w:eastAsia="仿宋_GB2312" w:hAnsi="仿宋_GB2312" w:cs="仿宋_GB2312"/>
          <w:b w:val="0"/>
          <w:bCs w:val="0"/>
          <w:color w:val="000000"/>
          <w:kern w:val="0"/>
          <w:sz w:val="32"/>
          <w:szCs w:val="32"/>
        </w:rPr>
      </w:pPr>
      <w:r w:rsidRPr="006E6B9D">
        <w:rPr>
          <w:rFonts w:ascii="仿宋_GB2312" w:eastAsia="仿宋_GB2312" w:hAnsi="仿宋_GB2312" w:cs="仿宋_GB2312" w:hint="eastAsia"/>
          <w:b w:val="0"/>
          <w:bCs w:val="0"/>
          <w:color w:val="000000"/>
          <w:kern w:val="0"/>
          <w:sz w:val="32"/>
          <w:szCs w:val="32"/>
        </w:rPr>
        <w:t>2020年义务兵优待金，</w:t>
      </w:r>
      <w:r w:rsidR="00623684">
        <w:rPr>
          <w:rFonts w:ascii="仿宋_GB2312" w:eastAsia="仿宋_GB2312" w:hAnsi="仿宋_GB2312" w:cs="仿宋_GB2312" w:hint="eastAsia"/>
          <w:b w:val="0"/>
          <w:bCs w:val="0"/>
          <w:color w:val="000000"/>
          <w:kern w:val="0"/>
          <w:sz w:val="32"/>
          <w:szCs w:val="32"/>
        </w:rPr>
        <w:t>1</w:t>
      </w:r>
      <w:r w:rsidRPr="006E6B9D">
        <w:rPr>
          <w:rFonts w:ascii="仿宋_GB2312" w:eastAsia="仿宋_GB2312" w:hAnsi="仿宋_GB2312" w:cs="仿宋_GB2312" w:hint="eastAsia"/>
          <w:b w:val="0"/>
          <w:bCs w:val="0"/>
          <w:color w:val="000000"/>
          <w:kern w:val="0"/>
          <w:sz w:val="32"/>
          <w:szCs w:val="32"/>
        </w:rPr>
        <w:t>名义务兵均已确认查收。及时准确完成了2020年义务兵优待金</w:t>
      </w:r>
      <w:r>
        <w:rPr>
          <w:rFonts w:ascii="仿宋_GB2312" w:eastAsia="仿宋_GB2312" w:hAnsi="仿宋_GB2312" w:cs="仿宋_GB2312" w:hint="eastAsia"/>
          <w:b w:val="0"/>
          <w:bCs w:val="0"/>
          <w:color w:val="000000"/>
          <w:kern w:val="0"/>
          <w:sz w:val="32"/>
          <w:szCs w:val="32"/>
        </w:rPr>
        <w:t>发放任务。</w:t>
      </w:r>
    </w:p>
    <w:p w:rsidR="00140263" w:rsidRDefault="00140263" w:rsidP="00140263">
      <w:pPr>
        <w:spacing w:line="600" w:lineRule="exact"/>
        <w:ind w:firstLineChars="200" w:firstLine="64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五、主要经验及做法、存在的问题及原因分析</w:t>
      </w:r>
    </w:p>
    <w:p w:rsidR="00042B86" w:rsidRPr="00042B86" w:rsidRDefault="00042B86" w:rsidP="00042B86">
      <w:pPr>
        <w:spacing w:line="520" w:lineRule="exact"/>
        <w:ind w:firstLineChars="200" w:firstLine="640"/>
        <w:rPr>
          <w:rFonts w:ascii="仿宋_GB2312" w:eastAsia="仿宋_GB2312" w:hAnsi="宋体"/>
          <w:b w:val="0"/>
          <w:bCs w:val="0"/>
          <w:sz w:val="32"/>
          <w:szCs w:val="32"/>
        </w:rPr>
      </w:pPr>
      <w:r w:rsidRPr="00042B86">
        <w:rPr>
          <w:rFonts w:ascii="仿宋_GB2312" w:eastAsia="仿宋_GB2312" w:hAnsi="宋体" w:hint="eastAsia"/>
          <w:b w:val="0"/>
          <w:bCs w:val="0"/>
          <w:sz w:val="32"/>
          <w:szCs w:val="32"/>
        </w:rPr>
        <w:t>项目支出绩效目标执行中未发现问题，预算执行绩效与绩效目标无偏离。项目资金根据文件要求已按时完成支付。</w:t>
      </w:r>
    </w:p>
    <w:p w:rsidR="00140263" w:rsidRDefault="00140263" w:rsidP="00140263">
      <w:pPr>
        <w:spacing w:line="600" w:lineRule="exact"/>
        <w:ind w:firstLineChars="200" w:firstLine="64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六、有关建议</w:t>
      </w:r>
    </w:p>
    <w:p w:rsidR="00042B86" w:rsidRDefault="00042B86" w:rsidP="00042B86">
      <w:pPr>
        <w:spacing w:line="520" w:lineRule="exact"/>
        <w:ind w:firstLineChars="200" w:firstLine="640"/>
        <w:rPr>
          <w:rFonts w:ascii="仿宋_GB2312" w:eastAsia="仿宋_GB2312" w:hAnsi="宋体"/>
          <w:b w:val="0"/>
          <w:bCs w:val="0"/>
          <w:sz w:val="32"/>
          <w:szCs w:val="32"/>
        </w:rPr>
      </w:pPr>
      <w:r w:rsidRPr="00042B86">
        <w:rPr>
          <w:rFonts w:ascii="仿宋_GB2312" w:eastAsia="仿宋_GB2312" w:hAnsi="宋体" w:hint="eastAsia"/>
          <w:b w:val="0"/>
          <w:bCs w:val="0"/>
          <w:sz w:val="32"/>
          <w:szCs w:val="32"/>
        </w:rPr>
        <w:t>项目支出绩效目标执行过程中未发现问题，保持了申报经费年度内正常运转。</w:t>
      </w:r>
    </w:p>
    <w:p w:rsidR="00140263" w:rsidRDefault="00140263" w:rsidP="00140263">
      <w:pPr>
        <w:spacing w:line="600" w:lineRule="exact"/>
        <w:ind w:firstLineChars="200" w:firstLine="64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七、其他需要说明的问题</w:t>
      </w:r>
    </w:p>
    <w:p w:rsidR="00042B86" w:rsidRPr="005144F9" w:rsidRDefault="00042B86" w:rsidP="00140263">
      <w:pPr>
        <w:spacing w:line="600" w:lineRule="exact"/>
        <w:ind w:firstLineChars="200" w:firstLine="640"/>
        <w:rPr>
          <w:rFonts w:ascii="仿宋_GB2312" w:eastAsia="仿宋_GB2312" w:hAnsi="宋体"/>
          <w:b w:val="0"/>
          <w:bCs w:val="0"/>
          <w:sz w:val="32"/>
          <w:szCs w:val="32"/>
        </w:rPr>
      </w:pPr>
      <w:r w:rsidRPr="005144F9">
        <w:rPr>
          <w:rFonts w:ascii="仿宋_GB2312" w:eastAsia="仿宋_GB2312" w:hAnsi="宋体" w:hint="eastAsia"/>
          <w:b w:val="0"/>
          <w:bCs w:val="0"/>
          <w:sz w:val="32"/>
          <w:szCs w:val="32"/>
        </w:rPr>
        <w:t>无</w:t>
      </w:r>
    </w:p>
    <w:p w:rsidR="000867E1" w:rsidRPr="00994C02" w:rsidRDefault="000867E1" w:rsidP="00140263">
      <w:pPr>
        <w:spacing w:line="600" w:lineRule="exact"/>
        <w:ind w:firstLineChars="200" w:firstLine="640"/>
        <w:rPr>
          <w:rFonts w:ascii="黑体" w:eastAsia="黑体" w:hAnsi="黑体" w:cs="黑体"/>
          <w:b w:val="0"/>
          <w:color w:val="000000"/>
          <w:kern w:val="0"/>
          <w:sz w:val="32"/>
          <w:szCs w:val="32"/>
        </w:rPr>
      </w:pPr>
      <w:r w:rsidRPr="00994C02">
        <w:rPr>
          <w:rFonts w:ascii="黑体" w:eastAsia="黑体" w:hAnsi="黑体" w:cs="黑体" w:hint="eastAsia"/>
          <w:b w:val="0"/>
          <w:color w:val="000000"/>
          <w:kern w:val="0"/>
          <w:sz w:val="32"/>
          <w:szCs w:val="32"/>
        </w:rPr>
        <w:t>八、项目支出绩效评价评分表</w:t>
      </w:r>
    </w:p>
    <w:p w:rsidR="008766D7" w:rsidRPr="00994C02" w:rsidRDefault="001C6B51" w:rsidP="000867E1">
      <w:pPr>
        <w:widowControl/>
        <w:jc w:val="center"/>
        <w:rPr>
          <w:b w:val="0"/>
          <w:bCs w:val="0"/>
          <w:color w:val="FF0000"/>
          <w:szCs w:val="24"/>
        </w:rPr>
      </w:pPr>
      <w:r w:rsidRPr="00994C02">
        <w:rPr>
          <w:b w:val="0"/>
          <w:bCs w:val="0"/>
          <w:color w:val="FF0000"/>
          <w:szCs w:val="24"/>
        </w:rPr>
        <w:br w:type="page"/>
      </w:r>
      <w:r w:rsidR="008766D7" w:rsidRPr="00994C02">
        <w:rPr>
          <w:rFonts w:ascii="宋体" w:hAnsi="宋体" w:cs="宋体" w:hint="eastAsia"/>
          <w:color w:val="000000"/>
          <w:kern w:val="0"/>
          <w:sz w:val="36"/>
          <w:szCs w:val="36"/>
        </w:rPr>
        <w:lastRenderedPageBreak/>
        <w:t>项目支出绩效评价评分表</w:t>
      </w:r>
    </w:p>
    <w:tbl>
      <w:tblPr>
        <w:tblW w:w="9259" w:type="dxa"/>
        <w:tblInd w:w="118" w:type="dxa"/>
        <w:tblLayout w:type="fixed"/>
        <w:tblLook w:val="0000"/>
      </w:tblPr>
      <w:tblGrid>
        <w:gridCol w:w="719"/>
        <w:gridCol w:w="700"/>
        <w:gridCol w:w="720"/>
        <w:gridCol w:w="720"/>
        <w:gridCol w:w="700"/>
        <w:gridCol w:w="3200"/>
        <w:gridCol w:w="900"/>
        <w:gridCol w:w="1600"/>
      </w:tblGrid>
      <w:tr w:rsidR="001C6B51" w:rsidRPr="00994C02" w:rsidTr="001C6B51">
        <w:trPr>
          <w:trHeight w:val="612"/>
        </w:trPr>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一级指标</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二级指标</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分值</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三级指标</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分值</w:t>
            </w:r>
          </w:p>
        </w:tc>
        <w:tc>
          <w:tcPr>
            <w:tcW w:w="32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指标解释</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得分</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color w:val="000000"/>
                <w:kern w:val="0"/>
                <w:sz w:val="22"/>
                <w:szCs w:val="24"/>
              </w:rPr>
            </w:pPr>
            <w:r w:rsidRPr="00994C02">
              <w:rPr>
                <w:rFonts w:ascii="宋体" w:hAnsi="宋体" w:cs="宋体" w:hint="eastAsia"/>
                <w:color w:val="000000"/>
                <w:kern w:val="0"/>
                <w:sz w:val="22"/>
                <w:szCs w:val="24"/>
              </w:rPr>
              <w:t>扣分理由</w:t>
            </w:r>
          </w:p>
        </w:tc>
      </w:tr>
      <w:tr w:rsidR="001C6B51" w:rsidRPr="00994C02" w:rsidTr="001C6B51">
        <w:trPr>
          <w:trHeight w:val="540"/>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决策</w:t>
            </w:r>
          </w:p>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(15分)　</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项目立项　</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5</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立项依据充分性</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3</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3</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32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12"/>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612"/>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2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72"/>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立项程序规范性</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2</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项目申请、设立过程是否符合相关要求，用以反映和考核项目立项的规范情况。</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2</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32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534"/>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1661"/>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绩效目标　</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5</w:t>
            </w:r>
          </w:p>
        </w:tc>
        <w:tc>
          <w:tcPr>
            <w:tcW w:w="720" w:type="dxa"/>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绩效目标合理性</w:t>
            </w:r>
          </w:p>
        </w:tc>
        <w:tc>
          <w:tcPr>
            <w:tcW w:w="700" w:type="dxa"/>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3</w:t>
            </w:r>
          </w:p>
        </w:tc>
        <w:tc>
          <w:tcPr>
            <w:tcW w:w="3200" w:type="dxa"/>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3</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1357"/>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绩效指标明确性</w:t>
            </w:r>
          </w:p>
        </w:tc>
        <w:tc>
          <w:tcPr>
            <w:tcW w:w="700" w:type="dxa"/>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2</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依据绩效目标设定的绩效指标是否清晰、细化、可衡量等，用以反映和考核项目绩效目标的明细化情况。</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5144F9" w:rsidP="003F3CB0">
            <w:pPr>
              <w:widowControl/>
              <w:ind w:firstLineChars="100" w:firstLine="180"/>
              <w:jc w:val="left"/>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2</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资金投入</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5　</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预算编制科学性</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3</w:t>
            </w:r>
          </w:p>
        </w:tc>
        <w:tc>
          <w:tcPr>
            <w:tcW w:w="3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3</w:t>
            </w:r>
            <w:r w:rsidR="001C6B51" w:rsidRPr="00994C02">
              <w:rPr>
                <w:rFonts w:ascii="宋体" w:hAnsi="宋体" w:cs="宋体" w:hint="eastAsia"/>
                <w:b w:val="0"/>
                <w:bCs w:val="0"/>
                <w:color w:val="000000"/>
                <w:kern w:val="0"/>
                <w:sz w:val="18"/>
                <w:szCs w:val="18"/>
              </w:rPr>
              <w:t xml:space="preserve">　</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69"/>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50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资金分配合理性</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2</w:t>
            </w:r>
          </w:p>
        </w:tc>
        <w:tc>
          <w:tcPr>
            <w:tcW w:w="3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2</w:t>
            </w:r>
            <w:r w:rsidR="001C6B51" w:rsidRPr="00994C02">
              <w:rPr>
                <w:rFonts w:ascii="宋体" w:hAnsi="宋体" w:cs="宋体" w:hint="eastAsia"/>
                <w:b w:val="0"/>
                <w:bCs w:val="0"/>
                <w:color w:val="000000"/>
                <w:kern w:val="0"/>
                <w:sz w:val="18"/>
                <w:szCs w:val="18"/>
              </w:rPr>
              <w:t xml:space="preserve">　</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89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528"/>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过程</w:t>
            </w:r>
          </w:p>
          <w:p w:rsidR="001C6B51" w:rsidRPr="00994C02" w:rsidRDefault="001C6B51" w:rsidP="008766D7">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（30分）</w:t>
            </w:r>
          </w:p>
        </w:tc>
        <w:tc>
          <w:tcPr>
            <w:tcW w:w="700" w:type="dxa"/>
            <w:vMerge w:val="restart"/>
            <w:tcBorders>
              <w:top w:val="nil"/>
              <w:left w:val="single" w:sz="4" w:space="0" w:color="auto"/>
              <w:right w:val="single" w:sz="4" w:space="0" w:color="auto"/>
            </w:tcBorders>
            <w:shd w:val="clear" w:color="000000" w:fill="FFFFFF"/>
            <w:vAlign w:val="center"/>
          </w:tcPr>
          <w:p w:rsidR="001C6B51" w:rsidRPr="00994C02" w:rsidRDefault="001C6B51" w:rsidP="008766D7">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资金管理</w:t>
            </w:r>
          </w:p>
        </w:tc>
        <w:tc>
          <w:tcPr>
            <w:tcW w:w="720" w:type="dxa"/>
            <w:vMerge w:val="restart"/>
            <w:tcBorders>
              <w:top w:val="nil"/>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15</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资金到位率</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5</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5</w:t>
            </w:r>
            <w:r w:rsidR="001C6B51" w:rsidRPr="00994C02">
              <w:rPr>
                <w:rFonts w:ascii="宋体" w:hAnsi="宋体" w:cs="宋体" w:hint="eastAsia"/>
                <w:b w:val="0"/>
                <w:bCs w:val="0"/>
                <w:color w:val="000000"/>
                <w:kern w:val="0"/>
                <w:sz w:val="18"/>
                <w:szCs w:val="18"/>
              </w:rPr>
              <w:t xml:space="preserve">　</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612"/>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709"/>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28"/>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预算执行率</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5</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项目预算资金是否按照计划执行，用以反映或考核项目预算执行情况。</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5</w:t>
            </w:r>
            <w:r w:rsidR="001C6B51" w:rsidRPr="00994C02">
              <w:rPr>
                <w:rFonts w:ascii="宋体" w:hAnsi="宋体" w:cs="宋体" w:hint="eastAsia"/>
                <w:b w:val="0"/>
                <w:bCs w:val="0"/>
                <w:color w:val="000000"/>
                <w:kern w:val="0"/>
                <w:sz w:val="18"/>
                <w:szCs w:val="18"/>
              </w:rPr>
              <w:t xml:space="preserve">　</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8766D7">
        <w:trPr>
          <w:trHeight w:val="424"/>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8766D7">
        <w:trPr>
          <w:trHeight w:val="68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资金使用合规性</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5</w:t>
            </w:r>
          </w:p>
        </w:tc>
        <w:tc>
          <w:tcPr>
            <w:tcW w:w="3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项目资金使用是否符合相关的财务管理制度规定，用以反映和考核项目资金的规范运行情况。</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5</w:t>
            </w:r>
            <w:r w:rsidR="001C6B51" w:rsidRPr="00994C02">
              <w:rPr>
                <w:rFonts w:ascii="宋体" w:hAnsi="宋体" w:cs="宋体" w:hint="eastAsia"/>
                <w:b w:val="0"/>
                <w:bCs w:val="0"/>
                <w:color w:val="000000"/>
                <w:kern w:val="0"/>
                <w:sz w:val="18"/>
                <w:szCs w:val="18"/>
              </w:rPr>
              <w:t xml:space="preserve">　</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8766D7">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8766D7">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8766D7">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8766D7">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组织实施</w:t>
            </w:r>
          </w:p>
        </w:tc>
        <w:tc>
          <w:tcPr>
            <w:tcW w:w="720" w:type="dxa"/>
            <w:vMerge w:val="restart"/>
            <w:tcBorders>
              <w:top w:val="nil"/>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15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管理制度健全性</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5　</w:t>
            </w:r>
          </w:p>
        </w:tc>
        <w:tc>
          <w:tcPr>
            <w:tcW w:w="3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5</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610"/>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4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制度执行有效性</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10　</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项目实施是否符合相关管理规定，用以反映和考核相关管理制度的有效执行情况。</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10</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32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18"/>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45"/>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000000"/>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43"/>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产出</w:t>
            </w:r>
          </w:p>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（30分）</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产出数量</w:t>
            </w:r>
          </w:p>
        </w:tc>
        <w:tc>
          <w:tcPr>
            <w:tcW w:w="72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10</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实际完成率</w:t>
            </w:r>
          </w:p>
        </w:tc>
        <w:tc>
          <w:tcPr>
            <w:tcW w:w="70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10</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10</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563"/>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12"/>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399"/>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产出质量</w:t>
            </w:r>
          </w:p>
        </w:tc>
        <w:tc>
          <w:tcPr>
            <w:tcW w:w="72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10</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质量达标率</w:t>
            </w:r>
          </w:p>
        </w:tc>
        <w:tc>
          <w:tcPr>
            <w:tcW w:w="70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10</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10</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1185"/>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nil"/>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468"/>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val="restart"/>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产出时效</w:t>
            </w:r>
          </w:p>
        </w:tc>
        <w:tc>
          <w:tcPr>
            <w:tcW w:w="72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5</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完成及时性</w:t>
            </w:r>
          </w:p>
        </w:tc>
        <w:tc>
          <w:tcPr>
            <w:tcW w:w="70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5</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项目实际完成时间与计划完成时间的比较，用以反映和考核项目产出时效目标的实现程度。</w:t>
            </w:r>
          </w:p>
        </w:tc>
        <w:tc>
          <w:tcPr>
            <w:tcW w:w="900" w:type="dxa"/>
            <w:vMerge w:val="restart"/>
            <w:tcBorders>
              <w:top w:val="nil"/>
              <w:left w:val="nil"/>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5</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345"/>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nil"/>
              <w:left w:val="nil"/>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3200"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900" w:type="dxa"/>
            <w:vMerge/>
            <w:tcBorders>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tcPr>
          <w:p w:rsidR="001C6B51" w:rsidRPr="00994C02" w:rsidRDefault="001C6B51" w:rsidP="001C6B51">
            <w:pPr>
              <w:widowControl/>
              <w:jc w:val="left"/>
              <w:rPr>
                <w:rFonts w:ascii="宋体" w:hAnsi="宋体" w:cs="宋体"/>
                <w:b w:val="0"/>
                <w:bCs w:val="0"/>
                <w:color w:val="000000"/>
                <w:kern w:val="0"/>
                <w:sz w:val="18"/>
                <w:szCs w:val="18"/>
              </w:rPr>
            </w:pPr>
          </w:p>
        </w:tc>
      </w:tr>
      <w:tr w:rsidR="001C6B51" w:rsidRPr="00994C02" w:rsidTr="001C6B51">
        <w:trPr>
          <w:trHeight w:val="1606"/>
        </w:trPr>
        <w:tc>
          <w:tcPr>
            <w:tcW w:w="719" w:type="dxa"/>
            <w:vMerge/>
            <w:tcBorders>
              <w:top w:val="nil"/>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产出成本</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5</w:t>
            </w:r>
          </w:p>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c>
          <w:tcPr>
            <w:tcW w:w="720" w:type="dxa"/>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成本节约率</w:t>
            </w:r>
          </w:p>
        </w:tc>
        <w:tc>
          <w:tcPr>
            <w:tcW w:w="700" w:type="dxa"/>
            <w:tcBorders>
              <w:top w:val="nil"/>
              <w:left w:val="single" w:sz="4" w:space="0" w:color="auto"/>
              <w:bottom w:val="single" w:sz="4" w:space="0" w:color="auto"/>
              <w:right w:val="nil"/>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5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完成项目计划工作目标的实际节约成本与计划成本的比率，用以反映和考核项目的成本节约程度。</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5</w:t>
            </w:r>
          </w:p>
        </w:tc>
        <w:tc>
          <w:tcPr>
            <w:tcW w:w="1600" w:type="dxa"/>
            <w:tcBorders>
              <w:top w:val="nil"/>
              <w:left w:val="single" w:sz="4" w:space="0" w:color="auto"/>
              <w:bottom w:val="single" w:sz="4" w:space="0" w:color="000000"/>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583"/>
        </w:trPr>
        <w:tc>
          <w:tcPr>
            <w:tcW w:w="719" w:type="dxa"/>
            <w:vMerge w:val="restart"/>
            <w:tcBorders>
              <w:top w:val="nil"/>
              <w:left w:val="single" w:sz="8" w:space="0" w:color="000000"/>
              <w:bottom w:val="single" w:sz="4" w:space="0" w:color="auto"/>
              <w:right w:val="nil"/>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效益</w:t>
            </w:r>
          </w:p>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（25分）　</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项目效益　</w:t>
            </w:r>
          </w:p>
        </w:tc>
        <w:tc>
          <w:tcPr>
            <w:tcW w:w="720" w:type="dxa"/>
            <w:vMerge w:val="restart"/>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8766D7">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25　</w:t>
            </w:r>
          </w:p>
        </w:tc>
        <w:tc>
          <w:tcPr>
            <w:tcW w:w="720" w:type="dxa"/>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实施效益</w:t>
            </w:r>
          </w:p>
        </w:tc>
        <w:tc>
          <w:tcPr>
            <w:tcW w:w="700" w:type="dxa"/>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20　</w:t>
            </w:r>
          </w:p>
        </w:tc>
        <w:tc>
          <w:tcPr>
            <w:tcW w:w="3200" w:type="dxa"/>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left"/>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项目实施所产生的效益。</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20</w:t>
            </w:r>
            <w:r w:rsidR="001C6B51" w:rsidRPr="00994C02">
              <w:rPr>
                <w:rFonts w:ascii="宋体" w:hAnsi="宋体" w:cs="宋体" w:hint="eastAsia"/>
                <w:b w:val="0"/>
                <w:bCs w:val="0"/>
                <w:color w:val="000000"/>
                <w:kern w:val="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1C6B51" w:rsidRPr="00994C02" w:rsidTr="001C6B51">
        <w:trPr>
          <w:trHeight w:val="624"/>
        </w:trPr>
        <w:tc>
          <w:tcPr>
            <w:tcW w:w="719" w:type="dxa"/>
            <w:vMerge/>
            <w:tcBorders>
              <w:top w:val="single" w:sz="4" w:space="0" w:color="auto"/>
              <w:left w:val="single" w:sz="4" w:space="0" w:color="auto"/>
              <w:bottom w:val="single" w:sz="4" w:space="0" w:color="auto"/>
              <w:right w:val="nil"/>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B51" w:rsidRPr="00994C02" w:rsidRDefault="001C6B51" w:rsidP="001C6B51">
            <w:pPr>
              <w:widowControl/>
              <w:jc w:val="left"/>
              <w:rPr>
                <w:rFonts w:ascii="宋体" w:hAnsi="宋体" w:cs="宋体"/>
                <w:b w:val="0"/>
                <w:bCs w:val="0"/>
                <w:color w:val="000000"/>
                <w:kern w:val="0"/>
                <w:sz w:val="18"/>
                <w:szCs w:val="18"/>
              </w:rPr>
            </w:pPr>
          </w:p>
        </w:tc>
        <w:tc>
          <w:tcPr>
            <w:tcW w:w="720" w:type="dxa"/>
            <w:vMerge/>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满意度</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5　</w:t>
            </w:r>
          </w:p>
        </w:tc>
        <w:tc>
          <w:tcPr>
            <w:tcW w:w="32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社会公众或服务对象对项目实施效果的满意程度。</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5144F9">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r w:rsidR="005144F9">
              <w:rPr>
                <w:rFonts w:ascii="宋体" w:hAnsi="宋体" w:cs="宋体" w:hint="eastAsia"/>
                <w:b w:val="0"/>
                <w:bCs w:val="0"/>
                <w:color w:val="000000"/>
                <w:kern w:val="0"/>
                <w:sz w:val="18"/>
                <w:szCs w:val="18"/>
              </w:rPr>
              <w:t>5</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1C6B51" w:rsidRPr="00994C02" w:rsidRDefault="001C6B51"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 xml:space="preserve">　</w:t>
            </w:r>
          </w:p>
        </w:tc>
      </w:tr>
      <w:tr w:rsidR="008766D7" w:rsidRPr="00994C02" w:rsidTr="001A2612">
        <w:trPr>
          <w:trHeight w:val="624"/>
        </w:trPr>
        <w:tc>
          <w:tcPr>
            <w:tcW w:w="67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66D7" w:rsidRPr="00994C02" w:rsidRDefault="008766D7" w:rsidP="001C6B51">
            <w:pPr>
              <w:widowControl/>
              <w:jc w:val="center"/>
              <w:rPr>
                <w:rFonts w:ascii="宋体" w:hAnsi="宋体" w:cs="宋体"/>
                <w:b w:val="0"/>
                <w:bCs w:val="0"/>
                <w:color w:val="000000"/>
                <w:kern w:val="0"/>
                <w:sz w:val="18"/>
                <w:szCs w:val="18"/>
              </w:rPr>
            </w:pPr>
            <w:r w:rsidRPr="00994C02">
              <w:rPr>
                <w:rFonts w:ascii="宋体" w:hAnsi="宋体" w:cs="宋体" w:hint="eastAsia"/>
                <w:b w:val="0"/>
                <w:bCs w:val="0"/>
                <w:color w:val="000000"/>
                <w:kern w:val="0"/>
                <w:sz w:val="18"/>
                <w:szCs w:val="18"/>
              </w:rPr>
              <w:t>合计（100分）</w:t>
            </w:r>
          </w:p>
        </w:tc>
        <w:tc>
          <w:tcPr>
            <w:tcW w:w="2500" w:type="dxa"/>
            <w:gridSpan w:val="2"/>
            <w:tcBorders>
              <w:top w:val="single" w:sz="4" w:space="0" w:color="auto"/>
              <w:left w:val="nil"/>
              <w:bottom w:val="single" w:sz="4" w:space="0" w:color="auto"/>
              <w:right w:val="single" w:sz="4" w:space="0" w:color="auto"/>
            </w:tcBorders>
            <w:shd w:val="clear" w:color="000000" w:fill="FFFFFF"/>
            <w:vAlign w:val="center"/>
          </w:tcPr>
          <w:p w:rsidR="008766D7" w:rsidRPr="00994C02" w:rsidRDefault="005144F9" w:rsidP="001C6B51">
            <w:pPr>
              <w:widowControl/>
              <w:jc w:val="center"/>
              <w:rPr>
                <w:rFonts w:ascii="宋体" w:hAnsi="宋体" w:cs="宋体"/>
                <w:b w:val="0"/>
                <w:bCs w:val="0"/>
                <w:color w:val="000000"/>
                <w:kern w:val="0"/>
                <w:sz w:val="18"/>
                <w:szCs w:val="18"/>
              </w:rPr>
            </w:pPr>
            <w:r>
              <w:rPr>
                <w:rFonts w:ascii="宋体" w:hAnsi="宋体" w:cs="宋体" w:hint="eastAsia"/>
                <w:b w:val="0"/>
                <w:bCs w:val="0"/>
                <w:color w:val="000000"/>
                <w:kern w:val="0"/>
                <w:sz w:val="18"/>
                <w:szCs w:val="18"/>
              </w:rPr>
              <w:t>100</w:t>
            </w:r>
          </w:p>
        </w:tc>
      </w:tr>
    </w:tbl>
    <w:p w:rsidR="00140263" w:rsidRPr="00994C02" w:rsidRDefault="00140263" w:rsidP="00140263">
      <w:pPr>
        <w:spacing w:line="360" w:lineRule="auto"/>
        <w:rPr>
          <w:b w:val="0"/>
          <w:bCs w:val="0"/>
          <w:szCs w:val="24"/>
        </w:rPr>
      </w:pPr>
    </w:p>
    <w:p w:rsidR="0045775B" w:rsidRPr="00994C02" w:rsidRDefault="0045775B">
      <w:pPr>
        <w:widowControl/>
        <w:jc w:val="left"/>
        <w:rPr>
          <w:sz w:val="32"/>
          <w:szCs w:val="32"/>
        </w:rPr>
      </w:pPr>
    </w:p>
    <w:sectPr w:rsidR="0045775B" w:rsidRPr="00994C02" w:rsidSect="001C6B51">
      <w:pgSz w:w="11906" w:h="16838"/>
      <w:pgMar w:top="141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245" w:rsidRDefault="00751245" w:rsidP="00391044">
      <w:r>
        <w:separator/>
      </w:r>
    </w:p>
  </w:endnote>
  <w:endnote w:type="continuationSeparator" w:id="1">
    <w:p w:rsidR="00751245" w:rsidRDefault="00751245" w:rsidP="00391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245" w:rsidRDefault="00751245" w:rsidP="00391044">
      <w:r>
        <w:separator/>
      </w:r>
    </w:p>
  </w:footnote>
  <w:footnote w:type="continuationSeparator" w:id="1">
    <w:p w:rsidR="00751245" w:rsidRDefault="00751245" w:rsidP="00391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1"/>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B81"/>
    <w:rsid w:val="00042B86"/>
    <w:rsid w:val="000465D0"/>
    <w:rsid w:val="000867E1"/>
    <w:rsid w:val="000A072A"/>
    <w:rsid w:val="000A2DD7"/>
    <w:rsid w:val="000E350A"/>
    <w:rsid w:val="001056A2"/>
    <w:rsid w:val="00114092"/>
    <w:rsid w:val="00127DDC"/>
    <w:rsid w:val="00140263"/>
    <w:rsid w:val="00145A7F"/>
    <w:rsid w:val="00163E20"/>
    <w:rsid w:val="0016405C"/>
    <w:rsid w:val="0018244C"/>
    <w:rsid w:val="001A62C1"/>
    <w:rsid w:val="001C0326"/>
    <w:rsid w:val="001C6B51"/>
    <w:rsid w:val="001D1996"/>
    <w:rsid w:val="00203B81"/>
    <w:rsid w:val="00264FAA"/>
    <w:rsid w:val="002F0166"/>
    <w:rsid w:val="00313158"/>
    <w:rsid w:val="00352360"/>
    <w:rsid w:val="003720F5"/>
    <w:rsid w:val="00376B71"/>
    <w:rsid w:val="00391044"/>
    <w:rsid w:val="003D6286"/>
    <w:rsid w:val="003F3CB0"/>
    <w:rsid w:val="003F4CCC"/>
    <w:rsid w:val="00427E9F"/>
    <w:rsid w:val="0045775B"/>
    <w:rsid w:val="004B7322"/>
    <w:rsid w:val="004D69EF"/>
    <w:rsid w:val="00511D83"/>
    <w:rsid w:val="005144F9"/>
    <w:rsid w:val="00522440"/>
    <w:rsid w:val="00550F8E"/>
    <w:rsid w:val="005A234A"/>
    <w:rsid w:val="005B01CC"/>
    <w:rsid w:val="00621510"/>
    <w:rsid w:val="00621C9C"/>
    <w:rsid w:val="00623684"/>
    <w:rsid w:val="00625DFC"/>
    <w:rsid w:val="00682D7F"/>
    <w:rsid w:val="006A3203"/>
    <w:rsid w:val="006E6B9D"/>
    <w:rsid w:val="0073505B"/>
    <w:rsid w:val="00751245"/>
    <w:rsid w:val="00753570"/>
    <w:rsid w:val="007918E4"/>
    <w:rsid w:val="007A0B89"/>
    <w:rsid w:val="007A3104"/>
    <w:rsid w:val="007E00F5"/>
    <w:rsid w:val="007E11EF"/>
    <w:rsid w:val="007F20D9"/>
    <w:rsid w:val="00811202"/>
    <w:rsid w:val="0081709E"/>
    <w:rsid w:val="00824CFD"/>
    <w:rsid w:val="008418F8"/>
    <w:rsid w:val="00865E55"/>
    <w:rsid w:val="008766D7"/>
    <w:rsid w:val="0089661F"/>
    <w:rsid w:val="008F649A"/>
    <w:rsid w:val="00994C02"/>
    <w:rsid w:val="009A78D5"/>
    <w:rsid w:val="009B4DB8"/>
    <w:rsid w:val="009D2F76"/>
    <w:rsid w:val="009F6C31"/>
    <w:rsid w:val="00A3235D"/>
    <w:rsid w:val="00A54F72"/>
    <w:rsid w:val="00A559D3"/>
    <w:rsid w:val="00A5737C"/>
    <w:rsid w:val="00AB34E8"/>
    <w:rsid w:val="00AD4096"/>
    <w:rsid w:val="00B44FDD"/>
    <w:rsid w:val="00B52845"/>
    <w:rsid w:val="00B635E5"/>
    <w:rsid w:val="00B90A93"/>
    <w:rsid w:val="00B927C3"/>
    <w:rsid w:val="00BC7E5D"/>
    <w:rsid w:val="00BE51A1"/>
    <w:rsid w:val="00BF20B7"/>
    <w:rsid w:val="00C1675D"/>
    <w:rsid w:val="00C6294F"/>
    <w:rsid w:val="00C727AA"/>
    <w:rsid w:val="00C75678"/>
    <w:rsid w:val="00CC57F0"/>
    <w:rsid w:val="00DA06CB"/>
    <w:rsid w:val="00DE442D"/>
    <w:rsid w:val="00DE58BF"/>
    <w:rsid w:val="00DF5C6C"/>
    <w:rsid w:val="00E012BC"/>
    <w:rsid w:val="00E661CF"/>
    <w:rsid w:val="00E753FE"/>
    <w:rsid w:val="00E916C9"/>
    <w:rsid w:val="00EB47F0"/>
    <w:rsid w:val="00F03E1D"/>
    <w:rsid w:val="00F31138"/>
    <w:rsid w:val="00F3582B"/>
    <w:rsid w:val="00F77A2F"/>
    <w:rsid w:val="00F92AFB"/>
    <w:rsid w:val="00FD2D40"/>
    <w:rsid w:val="00FD2F20"/>
    <w:rsid w:val="00FF3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44"/>
    <w:pPr>
      <w:widowControl w:val="0"/>
      <w:jc w:val="both"/>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04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sz w:val="18"/>
      <w:szCs w:val="18"/>
    </w:rPr>
  </w:style>
  <w:style w:type="character" w:customStyle="1" w:styleId="Char">
    <w:name w:val="页眉 Char"/>
    <w:basedOn w:val="a0"/>
    <w:link w:val="a3"/>
    <w:uiPriority w:val="99"/>
    <w:rsid w:val="00391044"/>
    <w:rPr>
      <w:sz w:val="18"/>
      <w:szCs w:val="18"/>
    </w:rPr>
  </w:style>
  <w:style w:type="paragraph" w:styleId="a4">
    <w:name w:val="footer"/>
    <w:basedOn w:val="a"/>
    <w:link w:val="Char0"/>
    <w:uiPriority w:val="99"/>
    <w:unhideWhenUsed/>
    <w:rsid w:val="00391044"/>
    <w:pPr>
      <w:tabs>
        <w:tab w:val="center" w:pos="4153"/>
        <w:tab w:val="right" w:pos="8306"/>
      </w:tabs>
      <w:snapToGrid w:val="0"/>
      <w:jc w:val="left"/>
    </w:pPr>
    <w:rPr>
      <w:rFonts w:asciiTheme="minorHAnsi" w:eastAsiaTheme="minorEastAsia" w:hAnsiTheme="minorHAnsi" w:cstheme="minorBidi"/>
      <w:b w:val="0"/>
      <w:bCs w:val="0"/>
      <w:sz w:val="18"/>
      <w:szCs w:val="18"/>
    </w:rPr>
  </w:style>
  <w:style w:type="character" w:customStyle="1" w:styleId="Char0">
    <w:name w:val="页脚 Char"/>
    <w:basedOn w:val="a0"/>
    <w:link w:val="a4"/>
    <w:uiPriority w:val="99"/>
    <w:rsid w:val="003910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44"/>
    <w:pPr>
      <w:widowControl w:val="0"/>
      <w:jc w:val="both"/>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04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sz w:val="18"/>
      <w:szCs w:val="18"/>
    </w:rPr>
  </w:style>
  <w:style w:type="character" w:customStyle="1" w:styleId="Char">
    <w:name w:val="页眉 Char"/>
    <w:basedOn w:val="a0"/>
    <w:link w:val="a3"/>
    <w:uiPriority w:val="99"/>
    <w:rsid w:val="00391044"/>
    <w:rPr>
      <w:sz w:val="18"/>
      <w:szCs w:val="18"/>
    </w:rPr>
  </w:style>
  <w:style w:type="paragraph" w:styleId="a4">
    <w:name w:val="footer"/>
    <w:basedOn w:val="a"/>
    <w:link w:val="Char0"/>
    <w:uiPriority w:val="99"/>
    <w:unhideWhenUsed/>
    <w:rsid w:val="00391044"/>
    <w:pPr>
      <w:tabs>
        <w:tab w:val="center" w:pos="4153"/>
        <w:tab w:val="right" w:pos="8306"/>
      </w:tabs>
      <w:snapToGrid w:val="0"/>
      <w:jc w:val="left"/>
    </w:pPr>
    <w:rPr>
      <w:rFonts w:asciiTheme="minorHAnsi" w:eastAsiaTheme="minorEastAsia" w:hAnsiTheme="minorHAnsi" w:cstheme="minorBidi"/>
      <w:b w:val="0"/>
      <w:bCs w:val="0"/>
      <w:sz w:val="18"/>
      <w:szCs w:val="18"/>
    </w:rPr>
  </w:style>
  <w:style w:type="character" w:customStyle="1" w:styleId="Char0">
    <w:name w:val="页脚 Char"/>
    <w:basedOn w:val="a0"/>
    <w:link w:val="a4"/>
    <w:uiPriority w:val="99"/>
    <w:rsid w:val="00391044"/>
    <w:rPr>
      <w:sz w:val="18"/>
      <w:szCs w:val="18"/>
    </w:rPr>
  </w:style>
</w:styles>
</file>

<file path=word/webSettings.xml><?xml version="1.0" encoding="utf-8"?>
<w:webSettings xmlns:r="http://schemas.openxmlformats.org/officeDocument/2006/relationships" xmlns:w="http://schemas.openxmlformats.org/wordprocessingml/2006/main">
  <w:divs>
    <w:div w:id="19601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394</Words>
  <Characters>2248</Characters>
  <Application>Microsoft Office Word</Application>
  <DocSecurity>0</DocSecurity>
  <Lines>18</Lines>
  <Paragraphs>5</Paragraphs>
  <ScaleCrop>false</ScaleCrop>
  <Company>China</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北京市朝阳区麦子店街道社区服务中心</cp:lastModifiedBy>
  <cp:revision>2</cp:revision>
  <dcterms:created xsi:type="dcterms:W3CDTF">2021-08-10T06:41:00Z</dcterms:created>
  <dcterms:modified xsi:type="dcterms:W3CDTF">2021-08-10T06:41:00Z</dcterms:modified>
</cp:coreProperties>
</file>