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19EBF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朝阳区财政局行政处罚立案依据</w:t>
      </w:r>
    </w:p>
    <w:p w14:paraId="78C631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880" w:firstLineChars="20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6AB7EC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朝阳</w:t>
      </w:r>
      <w:r>
        <w:rPr>
          <w:rFonts w:hint="eastAsia" w:ascii="仿宋_GB2312" w:hAnsi="仿宋_GB2312" w:eastAsia="仿宋_GB2312" w:cs="仿宋_GB2312"/>
          <w:sz w:val="32"/>
          <w:szCs w:val="32"/>
        </w:rPr>
        <w:t>区财政局行政处罚立案依据是《中华人民共和国行政处罚法》第五十四条“行政机关发现公民、法人、或者其他组织有依法应当给予行政处罚的行为的，必须全面、客观、公正地调查，收集有关证据；必要时，依照法律、法规的规定，可以进行检查。符合立案标准的，行政机关应当及时立案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decorative"/>
    <w:pitch w:val="default"/>
    <w:sig w:usb0="E0000AFF" w:usb1="00007843" w:usb2="00000001" w:usb3="00000000" w:csb0="400001BF" w:csb1="DFF7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FangSong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FZXiaoBiaoSong-B05S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KaiTi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0D4BF9"/>
    <w:rsid w:val="70DA2701"/>
    <w:rsid w:val="7E53109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Office_6.8.1.8848_F1E327BC-269C-435d-A152-05C5408002CA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申轩宇</cp:lastModifiedBy>
  <dcterms:modified xsi:type="dcterms:W3CDTF">2025-04-15T17:11:31Z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2052-6.8.1.8848</vt:lpwstr>
  </property>
  <property fmtid="{D5CDD505-2E9C-101B-9397-08002B2CF9AE}" pid="3" name="ICV">
    <vt:lpwstr>6913D6323A1723B6C322FE67C08A7E69_42</vt:lpwstr>
  </property>
</Properties>
</file>