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中国银保监会办公厅关于</w:t>
      </w:r>
    </w:p>
    <w:p>
      <w:pPr>
        <w:pStyle w:val="2"/>
        <w:rPr>
          <w:rFonts w:hint="eastAsia"/>
        </w:rPr>
      </w:pPr>
      <w:r>
        <w:rPr>
          <w:rFonts w:hint="eastAsia"/>
        </w:rPr>
        <w:t>加强商业保理企业监督管理的通知</w:t>
      </w:r>
    </w:p>
    <w:p>
      <w:pPr>
        <w:pStyle w:val="2"/>
        <w:rPr>
          <w:rFonts w:hint="eastAsia"/>
        </w:rPr>
      </w:pPr>
    </w:p>
    <w:p>
      <w:pPr>
        <w:ind w:left="0" w:leftChars="0" w:firstLine="0" w:firstLineChars="0"/>
        <w:rPr>
          <w:rFonts w:hint="eastAsia"/>
        </w:rPr>
      </w:pPr>
      <w:bookmarkStart w:id="0" w:name="_GoBack"/>
      <w:bookmarkEnd w:id="0"/>
      <w:r>
        <w:rPr>
          <w:rFonts w:hint="eastAsia"/>
        </w:rPr>
        <w:t>各省、自治区、直辖市、计划单列市、新疆生产建设兵团地方金融监督管理局：</w:t>
      </w:r>
    </w:p>
    <w:p>
      <w:pPr>
        <w:ind w:left="0" w:leftChars="0" w:firstLine="0" w:firstLineChars="0"/>
        <w:rPr>
          <w:rFonts w:hint="eastAsia"/>
        </w:rPr>
      </w:pPr>
    </w:p>
    <w:p>
      <w:pPr>
        <w:ind w:left="0" w:leftChars="0" w:firstLine="640" w:firstLineChars="200"/>
        <w:rPr>
          <w:rFonts w:hint="eastAsia"/>
        </w:rPr>
      </w:pPr>
      <w:r>
        <w:rPr>
          <w:rFonts w:hint="eastAsia"/>
        </w:rPr>
        <w:t>为规范商业保理企业经营行为，加强监督管理，压实监管责任，防范化解风险，促进商业保理行业健康发展，现就有关事项通知如下：</w:t>
      </w:r>
    </w:p>
    <w:p>
      <w:pPr>
        <w:ind w:left="0" w:leftChars="0" w:firstLine="0" w:firstLineChars="0"/>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一、依法合规经营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（一）商业保理企业开展业务，应遵守《合同法》等法律法规的有关规定，回归本源，专注主业，诚实守信，合规经营，不断提升服务实体经济质效。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（二）商业保理企业应完善公司治理，健全内部控制制度和风险管理体系，防范化解各类风险，保障安全稳健运行。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（三）商业保理业务是供应商将其基于真实交易的应收账款转让给商业保理企业，由商业保理企业向其提供的以下服务：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1.保理融资；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2.销售分户（分类）账管理；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3.应收账款催收；</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4.非商业性坏账担保。</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商业保理企业应主要经营商业保理业务，同时还可经营客户资信调查与评估、与商业保理相关的咨询服务。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（四）商业保理企业不得有以下行为或经营以下业务：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1.吸收或变相吸收公众存款；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2.通过网络借贷信息中介机构、地方各类交易场所、资产管理机构以及私募投资基金等机构融入资金；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3.与其他商业保理企业拆借或变相拆借资金；</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4.发放贷款或受托发放贷款；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5.专门从事或受托开展与商业保理无关的催收业务、讨债业务；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6.基于不合法基础交易合同、寄售合同、权属不清的应收账款、因票据或其他有价证券而产生的付款请求权等开展保理融资业务；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7.国家规定不得从事的其他活动。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（五）商业保理企业可以向银保监会监管的银行和非银行金融机构融资，也可以通过股东借款、发行债券、再保理等渠道融资。融资来源必须符合国家相关法律法规规定。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六）商业保理企业应积极转变业务模式，逐步提高正向保理业务比重，惠及更多供应链上下游中小企业；重点支持符合国家产业政策方向、主业集中于实体经济、技术先进、有市场竞争力的产业链上下游中小企业，助力实体经济和中小企业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二、加强监督管理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（七）商业保理企业应遵守以下监管要求：</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1.受让同一债务人的应收账款，不得超过风险资产总额的50%；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2.受让以其关联企业为债务人的应收账款，不得超过风险资产总额的40%；</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3.将逾期90天未收回或未实现的保理融资款纳入不良资产管理；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4.计提的风险准备金，不得低于融资保理业务期末余额的1%；</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5.风险资产不得超过净资产的10倍。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（八）各地方金融监督管理局（以下简称金融监管局）要重点分析商业保理企业的财务状况、业务开展情况及经营风险，评价公司治理、内部控制、风险管理措施有效性，关注风险的外溢和交叉传染。</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（九）各金融监管局要全面持续收集商业保理企业的经营管理和风险信息，清晰连续地了解和掌握企业基本状况，要求其定期报送报表资料，包括财务会计、统计报表、经营管理资料及其他资料。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（十）各金融监管局要结合非现场监管发现的问题和风险监管要求，加大现场检查的力度，提升现场检查的深度和广度，提高检查的质量和效率。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现场检查可采取询问商业保理企业工作人员、查阅复制与检查事项相关的文件、资料、系统数据等方式，并可委托第三方中介机构实施。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（十一）商业保理企业应在下列事项发生后10个工作日内向金融监管局报告：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1.单笔金额超过净资产5%的重大关联交易；</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2.单笔金额超过净资产10%的重大债务；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3.单笔金额超过净资产20%的或有负债；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4.超过净资产10%的重大损失或赔偿责任；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5.重大待决诉讼、仲裁。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（十二）各金融监管局可根据风险监管需要，采取窗口指导、提高信息报送频率、督促开展自查、做出风险提示和通报、进行监管约谈、开展现场检查等常规性监管措施。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三、稳妥推进分类处置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（十三）各金融监管局要通过信息交叉比对、实地走访、接受信访投诉等方式，继续核查辖内商业保理企业的数量和风险底数，按照经营风险、违法违规情形划分为正常经营、非正常经营和违法违规经营等三类。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四）正常经营类是指依法合规经营的企业。各金融监管局要对正常经营类商业保理企业按注册地审核其营业执照、公司章程、股东名单、高级管理人员名单和简历、经审计的近两年的资产负债表、利润表、现金流量表及规定的其他资料。对于接受并配合监管、在注册地有经营场所且登录“商业保理信息管理系统”或金融监管局指定信息系统完整填报信息的企业，各金融监管局要在报银保监会审核后分批分次进行公示，纳入监管名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五）非正常经营类主要是指“失联”和“空壳”等经营异常的企业。其中，“失联”企业是指满足以下条件之一的企业：无法取得联系；在企业登记住所实地排查无法找到；虽然可以联系到企业工作人员，但其并不知情也不能联系到企业实际控制人；连续3个月未按监管要求报送月报。“空壳”企业是指满足以下条件之一的企业：上一年度市场监管部门年度报告显示无经营；近6个月监管月报显示无经营；近6个月无纳税记录或“零申报”；近6个月无社保缴纳记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各金融监管局要督促非正常经营类和违法违规经营类企业整改。非正常经营类企业整改验收合格的，可纳入监管名单；拒绝整改或整改验收不合格的，各金融监管局要协调市场监管部门将其纳入异常经营名录，劝导其申请变更企业名称和业务范围、自愿注销或依法吊销营业执照。</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六）违法违规经营类是指经营行为违反法律法规和本通知规定的企业。违法违规情节较轻且整改验收合格的，可纳入监管名单；整改验收不合格或违法违规情节严重的，各金融监管局要依法处罚或取缔，涉嫌违法犯罪的及时移送公安机关依法查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四、严把市场准入关</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七）在商业保理企业市场准入管理办法出台前，各金融监管局要协调市场监管部门严控商业保理企业登记注册。确有必要新设的，要与市场监管部门建立会商机制。严格控制商业保理企业变更注册地址，禁止跨省、自治区、直辖市、计划单列市变更注册地址。</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（十八）各金融监管局要严格审核监管名单内商业保理企业股权变更申请，对新股东的背景实力、入股动机、入股资金来源等加强审查，严禁新股东以债务资金或委托资金等非自有资金入股商业保理企业。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五、压实监管责任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十九）银保监会负责制定商业保理企业业务经营和监管规则。各省（区、市）人民政府负责对辖内商业保理企业实施监督管理。各金融监管局具体负责统一归口监管。除新设审批和行政处罚外，各金融监管局可授权省级以下地方金融监管部门负责其他监管工作。建立专职监管员制度，专职监管员的人数、能力要与被监管对象数量相匹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各金融监管局要推动成立商业保理行业清理规范工作领导小组，组长由省（区、市）人民政府分管负责人担任，办公室设在金融监管局，成员单位包括市场监管、公安、人民银行、银保监、税务等部门。主要职责是：研究解决辖内商业保理行业重大问题，制定相关政策措施，加强工作指导，确保2020年6月末前完成存量商业保理企业清理规范工作，并向银保监会报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一）商业保理企业住所地金融监管局要牵头负责跨区域经营商业保理企业的监管，加强与分支机构所在地金融监管局的协调配合，定期共享跨区域经营的商业保理企业分支机构名单和经营信息，避免重复监管和监管真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六、优化营商环境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（二十二）各金融监管局要推动出台风险补偿、奖励、贴息等政策，引导商业保理企业更好为中小微企业提供融资服务。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自由贸易试验区内的商业保理企业可以按照有关规定享受自由贸易试验区关于商业保理企业和支持企业发展的各项优惠政策。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（二十三）鼓励和支持银行保险机构与监管名单内商业保理企业进行合作，按照平等、自愿、公平和诚实信用原则提供融资。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鼓励银行业金融机构向商业保理企业提供境外合作渠道支持，助力商业保理企业拓展国际业务。支持保险公司在风险可控前提下，研究探索与商业保理企业加强业务合作，提供保险保障服务，增强商业保理企业风险抵御能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（二十四）各金融监管局要加强对商业保理行业重大问题的研究，深入总结行业发展经验，综合研判本地商业保理行业的发展现状与潜在问题，持续引导商业保理行业高质量发展。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rPr>
      </w:pPr>
      <w:r>
        <w:rPr>
          <w:rFonts w:hint="eastAsia"/>
        </w:rPr>
        <w:t>（二十五）地方商业保理行业协会要积极发挥作用，加大对商业保理行业的宣传和普及力度，提升社会认知度；引导企业诚实守信、公平竞争、依法合规经营；通过培训、交流等方式，不断提高从业人员合规意识、内控和风险管理水平，促进行业健康发展。</w:t>
      </w:r>
    </w:p>
    <w:p>
      <w:pPr>
        <w:ind w:left="0" w:leftChars="0" w:firstLine="0" w:firstLineChars="0"/>
        <w:rPr>
          <w:rFonts w:hint="eastAsia"/>
        </w:rPr>
      </w:pPr>
    </w:p>
    <w:p>
      <w:pPr>
        <w:ind w:left="0" w:leftChars="0" w:firstLine="0" w:firstLineChars="0"/>
        <w:jc w:val="right"/>
        <w:rPr>
          <w:rFonts w:hint="eastAsia"/>
        </w:rPr>
      </w:pPr>
      <w:r>
        <w:rPr>
          <w:rFonts w:hint="eastAsia"/>
        </w:rPr>
        <w:t>中国银行保险监督管理委员会办公厅</w:t>
      </w:r>
    </w:p>
    <w:p>
      <w:pPr>
        <w:ind w:left="0" w:leftChars="0" w:firstLine="0" w:firstLineChars="0"/>
        <w:jc w:val="right"/>
        <w:rPr>
          <w:rFonts w:hint="eastAsia"/>
        </w:rPr>
      </w:pPr>
    </w:p>
    <w:p>
      <w:pPr>
        <w:ind w:left="0" w:leftChars="0" w:firstLine="0" w:firstLineChars="0"/>
        <w:jc w:val="right"/>
      </w:pPr>
      <w:r>
        <w:rPr>
          <w:rFonts w:hint="eastAsia"/>
        </w:rPr>
        <w:t>2019年10月18日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1208E4"/>
    <w:rsid w:val="03216CCF"/>
    <w:rsid w:val="07196351"/>
    <w:rsid w:val="1C643ABE"/>
    <w:rsid w:val="2FDD16AC"/>
    <w:rsid w:val="37627EB5"/>
    <w:rsid w:val="41CC4346"/>
    <w:rsid w:val="441208E4"/>
    <w:rsid w:val="4B606A48"/>
    <w:rsid w:val="56C323EE"/>
    <w:rsid w:val="5957169B"/>
    <w:rsid w:val="674E21B0"/>
    <w:rsid w:val="7267705E"/>
    <w:rsid w:val="75807BC5"/>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2026-06-28T02:40:00Z</dcterms:created>
  <dc:creator>pc</dc:creator>
  <cp:lastModifiedBy>pc</cp:lastModifiedBy>
  <dcterms:modified xsi:type="dcterms:W3CDTF">2026-06-28T02:43:09Z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