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D0A" w:rsidRPr="00430D0A" w:rsidRDefault="00430D0A" w:rsidP="00430D0A">
      <w:pPr>
        <w:widowControl/>
        <w:shd w:val="clear" w:color="auto" w:fill="FEFFFF"/>
        <w:autoSpaceDE w:val="0"/>
        <w:autoSpaceDN w:val="0"/>
        <w:snapToGrid w:val="0"/>
        <w:spacing w:line="686" w:lineRule="atLeast"/>
        <w:ind w:right="792"/>
        <w:jc w:val="center"/>
        <w:rPr>
          <w:rFonts w:ascii="Arial" w:eastAsia="宋体" w:hAnsi="Arial" w:cs="Arial"/>
          <w:kern w:val="0"/>
          <w:sz w:val="24"/>
          <w:szCs w:val="24"/>
        </w:rPr>
      </w:pPr>
      <w:r w:rsidRPr="00430D0A">
        <w:rPr>
          <w:rFonts w:ascii="宋体" w:eastAsia="宋体" w:hAnsi="宋体" w:cs="Arial" w:hint="eastAsia"/>
          <w:color w:val="000003"/>
          <w:kern w:val="0"/>
          <w:sz w:val="40"/>
          <w:szCs w:val="40"/>
          <w:shd w:val="clear" w:color="auto" w:fill="FEFFFF"/>
        </w:rPr>
        <w:t>人力资源社会保障部办公厅关于职工基本</w:t>
      </w:r>
      <w:r w:rsidRPr="00430D0A">
        <w:rPr>
          <w:rFonts w:ascii="宋体" w:eastAsia="宋体" w:hAnsi="宋体" w:cs="Arial" w:hint="eastAsia"/>
          <w:color w:val="000003"/>
          <w:kern w:val="0"/>
          <w:sz w:val="40"/>
          <w:szCs w:val="40"/>
          <w:shd w:val="clear" w:color="auto" w:fill="FEFFFF"/>
        </w:rPr>
        <w:br/>
        <w:t>养老保险关系转移接续有关问题的函</w:t>
      </w:r>
    </w:p>
    <w:p w:rsidR="00430D0A" w:rsidRPr="00430D0A" w:rsidRDefault="00430D0A" w:rsidP="00430D0A">
      <w:pPr>
        <w:widowControl/>
        <w:shd w:val="clear" w:color="auto" w:fill="FEFFFF"/>
        <w:autoSpaceDE w:val="0"/>
        <w:autoSpaceDN w:val="0"/>
        <w:snapToGrid w:val="0"/>
        <w:spacing w:line="686" w:lineRule="atLeast"/>
        <w:ind w:right="792"/>
        <w:jc w:val="center"/>
        <w:rPr>
          <w:rFonts w:ascii="Arial" w:eastAsia="宋体" w:hAnsi="Arial" w:cs="Arial"/>
          <w:kern w:val="0"/>
          <w:sz w:val="24"/>
          <w:szCs w:val="24"/>
        </w:rPr>
      </w:pPr>
      <w:proofErr w:type="gramStart"/>
      <w:r w:rsidRPr="00430D0A">
        <w:rPr>
          <w:rFonts w:ascii="仿宋_GB2312" w:eastAsia="仿宋_GB2312" w:hAnsi="Arial" w:cs="Arial" w:hint="eastAsia"/>
          <w:color w:val="000003"/>
          <w:kern w:val="0"/>
          <w:sz w:val="30"/>
          <w:szCs w:val="30"/>
          <w:shd w:val="clear" w:color="auto" w:fill="FEFFFF"/>
        </w:rPr>
        <w:t>人社厅函</w:t>
      </w:r>
      <w:proofErr w:type="gramEnd"/>
      <w:r w:rsidRPr="00430D0A">
        <w:rPr>
          <w:rFonts w:ascii="仿宋_GB2312" w:eastAsia="仿宋_GB2312" w:hAnsi="Arial" w:cs="Arial" w:hint="eastAsia"/>
          <w:color w:val="000003"/>
          <w:kern w:val="0"/>
          <w:sz w:val="30"/>
          <w:szCs w:val="30"/>
          <w:shd w:val="clear" w:color="auto" w:fill="FEFFFF"/>
        </w:rPr>
        <w:t>【2013】</w:t>
      </w:r>
      <w:r w:rsidRPr="00430D0A">
        <w:rPr>
          <w:rFonts w:ascii="仿宋_GB2312" w:eastAsia="仿宋_GB2312" w:hAnsi="Arial" w:cs="Arial" w:hint="eastAsia"/>
          <w:color w:val="FF0000"/>
          <w:kern w:val="0"/>
          <w:sz w:val="30"/>
          <w:szCs w:val="30"/>
          <w:shd w:val="clear" w:color="auto" w:fill="0A246A"/>
        </w:rPr>
        <w:t>250</w:t>
      </w:r>
      <w:r w:rsidRPr="00430D0A">
        <w:rPr>
          <w:rFonts w:ascii="仿宋_GB2312" w:eastAsia="仿宋_GB2312" w:hAnsi="Arial" w:cs="Arial" w:hint="eastAsia"/>
          <w:color w:val="000003"/>
          <w:kern w:val="0"/>
          <w:sz w:val="30"/>
          <w:szCs w:val="30"/>
          <w:shd w:val="clear" w:color="auto" w:fill="FEFFFF"/>
        </w:rPr>
        <w:t>号</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北京市人力资源和社会保障局:</w:t>
      </w:r>
    </w:p>
    <w:p w:rsidR="00430D0A" w:rsidRPr="00430D0A" w:rsidRDefault="00430D0A" w:rsidP="00430D0A">
      <w:pPr>
        <w:widowControl/>
        <w:shd w:val="clear" w:color="auto" w:fill="FEFFFF"/>
        <w:autoSpaceDE w:val="0"/>
        <w:autoSpaceDN w:val="0"/>
        <w:snapToGrid w:val="0"/>
        <w:ind w:right="792" w:firstLine="64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你局《关于职工基本养老保险关系转移接续有关问题的请示》 (京</w:t>
      </w:r>
      <w:proofErr w:type="gramStart"/>
      <w:r w:rsidRPr="00430D0A">
        <w:rPr>
          <w:rFonts w:ascii="仿宋_GB2312" w:eastAsia="仿宋_GB2312" w:hAnsi="Arial" w:cs="Arial" w:hint="eastAsia"/>
          <w:color w:val="000003"/>
          <w:kern w:val="0"/>
          <w:sz w:val="32"/>
          <w:szCs w:val="32"/>
          <w:shd w:val="clear" w:color="auto" w:fill="FEFFFF"/>
        </w:rPr>
        <w:t>人社养</w:t>
      </w:r>
      <w:proofErr w:type="gramEnd"/>
      <w:r w:rsidRPr="00430D0A">
        <w:rPr>
          <w:rFonts w:ascii="仿宋_GB2312" w:eastAsia="仿宋_GB2312" w:hAnsi="Arial" w:cs="Arial" w:hint="eastAsia"/>
          <w:color w:val="000003"/>
          <w:kern w:val="0"/>
          <w:sz w:val="32"/>
          <w:szCs w:val="32"/>
          <w:shd w:val="clear" w:color="auto" w:fill="FEFFFF"/>
        </w:rPr>
        <w:t>文(2012) 71号)收悉。经研究，按照现行政策规定，就有关问题函复如下:</w:t>
      </w:r>
    </w:p>
    <w:p w:rsidR="00430D0A" w:rsidRPr="00430D0A" w:rsidRDefault="00430D0A" w:rsidP="00430D0A">
      <w:pPr>
        <w:widowControl/>
        <w:shd w:val="clear" w:color="auto" w:fill="FEFFFF"/>
        <w:autoSpaceDE w:val="0"/>
        <w:autoSpaceDN w:val="0"/>
        <w:snapToGrid w:val="0"/>
        <w:ind w:right="792" w:firstLine="643"/>
        <w:rPr>
          <w:rFonts w:ascii="Arial" w:eastAsia="宋体" w:hAnsi="Arial" w:cs="Arial"/>
          <w:kern w:val="0"/>
          <w:sz w:val="24"/>
          <w:szCs w:val="24"/>
        </w:rPr>
      </w:pPr>
      <w:r w:rsidRPr="00430D0A">
        <w:rPr>
          <w:rFonts w:ascii="仿宋_GB2312" w:eastAsia="仿宋_GB2312" w:hAnsi="Arial" w:cs="Arial" w:hint="eastAsia"/>
          <w:b/>
          <w:bCs/>
          <w:color w:val="000003"/>
          <w:kern w:val="0"/>
          <w:sz w:val="32"/>
          <w:szCs w:val="32"/>
          <w:shd w:val="clear" w:color="auto" w:fill="FEFFFF"/>
        </w:rPr>
        <w:t>一、关于跨省流动就业参保人员延长缴费问题</w:t>
      </w:r>
    </w:p>
    <w:p w:rsidR="00430D0A" w:rsidRPr="00430D0A" w:rsidRDefault="00430D0A" w:rsidP="00430D0A">
      <w:pPr>
        <w:widowControl/>
        <w:shd w:val="clear" w:color="auto" w:fill="FEFFFF"/>
        <w:autoSpaceDE w:val="0"/>
        <w:autoSpaceDN w:val="0"/>
        <w:snapToGrid w:val="0"/>
        <w:ind w:right="792" w:firstLine="64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参保人</w:t>
      </w:r>
      <w:proofErr w:type="gramStart"/>
      <w:r w:rsidRPr="00430D0A">
        <w:rPr>
          <w:rFonts w:ascii="仿宋_GB2312" w:eastAsia="仿宋_GB2312" w:hAnsi="Arial" w:cs="Arial" w:hint="eastAsia"/>
          <w:color w:val="000003"/>
          <w:kern w:val="0"/>
          <w:sz w:val="32"/>
          <w:szCs w:val="32"/>
          <w:shd w:val="clear" w:color="auto" w:fill="FEFFFF"/>
        </w:rPr>
        <w:t>员达到</w:t>
      </w:r>
      <w:proofErr w:type="gramEnd"/>
      <w:r w:rsidRPr="00430D0A">
        <w:rPr>
          <w:rFonts w:ascii="仿宋_GB2312" w:eastAsia="仿宋_GB2312" w:hAnsi="Arial" w:cs="Arial" w:hint="eastAsia"/>
          <w:color w:val="000003"/>
          <w:kern w:val="0"/>
          <w:sz w:val="32"/>
          <w:szCs w:val="32"/>
          <w:shd w:val="clear" w:color="auto" w:fill="FEFFFF"/>
        </w:rPr>
        <w:t>法定退休年龄时累计缴费不足15年的，基本养老保险关系在户籍地的，继续缴费地为户籍地;基本养老保险关系不在户籍地的，继续缴费地为缴费年限满10年所在地;每个参保地的缴费年限均不满10年的，继续缴费地为户籍地。若在企业继续就业参保的，按照国家规定缴纳基本养老保险费;未在企业继续就业参保的，可以申请在继续缴费地参照当地灵活就业人员缴费标准延长缴费，具体延长缴费办法由各地制定。</w:t>
      </w:r>
    </w:p>
    <w:p w:rsidR="00430D0A" w:rsidRPr="00430D0A" w:rsidRDefault="00430D0A" w:rsidP="00430D0A">
      <w:pPr>
        <w:widowControl/>
        <w:shd w:val="clear" w:color="auto" w:fill="FEFFFF"/>
        <w:autoSpaceDE w:val="0"/>
        <w:autoSpaceDN w:val="0"/>
        <w:snapToGrid w:val="0"/>
        <w:ind w:right="792" w:firstLine="64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二、关于人事档案及视同缴费年限核查认定问题</w:t>
      </w:r>
    </w:p>
    <w:p w:rsidR="00430D0A" w:rsidRPr="00430D0A" w:rsidRDefault="00430D0A" w:rsidP="00430D0A">
      <w:pPr>
        <w:widowControl/>
        <w:shd w:val="clear" w:color="auto" w:fill="FEFFFF"/>
        <w:autoSpaceDE w:val="0"/>
        <w:autoSpaceDN w:val="0"/>
        <w:snapToGrid w:val="0"/>
        <w:ind w:right="792" w:firstLine="64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对于跨地区流动就业人员达到法定退休年龄后人事档案所在地与养老保险待遇领取地不一致的，应按照属地化管理原则，将其人事档案调转至养老保险待遇领取地，由待遇领取地人力资源社会保障部门负责对其人事档案及视同缴费年限进行核查认定。具备条件的地区，还可将退休人员的人事档案调入待遇领取地社会保险经办机构代管。</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养老保险待遇领取地不具备人事档案调转条件的，由人事档案所在地县级及县级以上人力资源社会保障行政部门负责对其人事档案及视同缴费年限进行核查认定，由待遇领取地人力资源社会保障部门负责对其</w:t>
      </w:r>
      <w:r w:rsidRPr="00430D0A">
        <w:rPr>
          <w:rFonts w:ascii="仿宋_GB2312" w:eastAsia="仿宋_GB2312" w:hAnsi="Arial" w:cs="Arial" w:hint="eastAsia"/>
          <w:color w:val="000003"/>
          <w:kern w:val="0"/>
          <w:sz w:val="32"/>
          <w:szCs w:val="32"/>
          <w:shd w:val="clear" w:color="auto" w:fill="FEFFFF"/>
        </w:rPr>
        <w:lastRenderedPageBreak/>
        <w:t>养老金进行核定和发放。人事档案及视同缴费年限核查认定工作按以下程序办理:</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w:t>
      </w:r>
      <w:proofErr w:type="gramStart"/>
      <w:r w:rsidRPr="00430D0A">
        <w:rPr>
          <w:rFonts w:ascii="仿宋_GB2312" w:eastAsia="仿宋_GB2312" w:hAnsi="Arial" w:cs="Arial" w:hint="eastAsia"/>
          <w:color w:val="000003"/>
          <w:kern w:val="0"/>
          <w:sz w:val="32"/>
          <w:szCs w:val="32"/>
          <w:shd w:val="clear" w:color="auto" w:fill="FEFFFF"/>
        </w:rPr>
        <w:t>一</w:t>
      </w:r>
      <w:proofErr w:type="gramEnd"/>
      <w:r w:rsidRPr="00430D0A">
        <w:rPr>
          <w:rFonts w:ascii="仿宋_GB2312" w:eastAsia="仿宋_GB2312" w:hAnsi="Arial" w:cs="Arial" w:hint="eastAsia"/>
          <w:color w:val="000003"/>
          <w:kern w:val="0"/>
          <w:sz w:val="32"/>
          <w:szCs w:val="32"/>
          <w:shd w:val="clear" w:color="auto" w:fill="FEFFFF"/>
        </w:rPr>
        <w:t>)参保人</w:t>
      </w:r>
      <w:proofErr w:type="gramStart"/>
      <w:r w:rsidRPr="00430D0A">
        <w:rPr>
          <w:rFonts w:ascii="仿宋_GB2312" w:eastAsia="仿宋_GB2312" w:hAnsi="Arial" w:cs="Arial" w:hint="eastAsia"/>
          <w:color w:val="000003"/>
          <w:kern w:val="0"/>
          <w:sz w:val="32"/>
          <w:szCs w:val="32"/>
          <w:shd w:val="clear" w:color="auto" w:fill="FEFFFF"/>
        </w:rPr>
        <w:t>员符合</w:t>
      </w:r>
      <w:proofErr w:type="gramEnd"/>
      <w:r w:rsidRPr="00430D0A">
        <w:rPr>
          <w:rFonts w:ascii="仿宋_GB2312" w:eastAsia="仿宋_GB2312" w:hAnsi="Arial" w:cs="Arial" w:hint="eastAsia"/>
          <w:color w:val="000003"/>
          <w:kern w:val="0"/>
          <w:sz w:val="32"/>
          <w:szCs w:val="32"/>
          <w:shd w:val="clear" w:color="auto" w:fill="FEFFFF"/>
        </w:rPr>
        <w:t>在当地领取养老保险待遇、且需对人事档案及视同缴费年限核查认定时，由用人单位或者参保人员本人向待遇领取地人力资源社会保障部门提出核查认定的申请，并由参保人员本人填写</w:t>
      </w:r>
      <w:proofErr w:type="gramStart"/>
      <w:r w:rsidRPr="00430D0A">
        <w:rPr>
          <w:rFonts w:ascii="仿宋_GB2312" w:eastAsia="仿宋_GB2312" w:hAnsi="Arial" w:cs="Arial" w:hint="eastAsia"/>
          <w:color w:val="000003"/>
          <w:kern w:val="0"/>
          <w:sz w:val="32"/>
          <w:szCs w:val="32"/>
          <w:shd w:val="clear" w:color="auto" w:fill="FEFFFF"/>
        </w:rPr>
        <w:t>《</w:t>
      </w:r>
      <w:proofErr w:type="gramEnd"/>
      <w:r w:rsidRPr="00430D0A">
        <w:rPr>
          <w:rFonts w:ascii="仿宋_GB2312" w:eastAsia="仿宋_GB2312" w:hAnsi="Arial" w:cs="Arial" w:hint="eastAsia"/>
          <w:color w:val="000003"/>
          <w:kern w:val="0"/>
          <w:sz w:val="32"/>
          <w:szCs w:val="32"/>
          <w:shd w:val="clear" w:color="auto" w:fill="FEFFFF"/>
        </w:rPr>
        <w:t>参保人员人事档案及视同缴费年限核查认定申表))(以下简称</w:t>
      </w:r>
      <w:proofErr w:type="gramStart"/>
      <w:r w:rsidRPr="00430D0A">
        <w:rPr>
          <w:rFonts w:ascii="仿宋_GB2312" w:eastAsia="仿宋_GB2312" w:hAnsi="Arial" w:cs="Arial" w:hint="eastAsia"/>
          <w:color w:val="000003"/>
          <w:kern w:val="0"/>
          <w:sz w:val="32"/>
          <w:szCs w:val="32"/>
          <w:shd w:val="clear" w:color="auto" w:fill="FEFFFF"/>
        </w:rPr>
        <w:t>《</w:t>
      </w:r>
      <w:proofErr w:type="gramEnd"/>
      <w:r w:rsidRPr="00430D0A">
        <w:rPr>
          <w:rFonts w:ascii="仿宋_GB2312" w:eastAsia="仿宋_GB2312" w:hAnsi="Arial" w:cs="Arial" w:hint="eastAsia"/>
          <w:color w:val="000003"/>
          <w:kern w:val="0"/>
          <w:sz w:val="32"/>
          <w:szCs w:val="32"/>
          <w:shd w:val="clear" w:color="auto" w:fill="FEFFFF"/>
        </w:rPr>
        <w:t>申请表))，见附件1)。</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(二)养老保险待遇领取地人力资源社会保障部门致函参保人员人事档案所在地人力资源社会保障部门(见附件2)，并附《申请表》。</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三)人事档案所在地人力资源社会保障行政部门负责调阅参保人员人事档案，对其人事档案及视同缴费年限进行核查认定，填写认定意见，并于三十日之内将《申请表》及主要认定材料复印件反馈待遇领取地人力资源和社会保障部门。</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(四)待遇领取地人力资源社会保障部门对参保人员养老金进行核定后，将核定养老金情况反馈人事档案所在地人力资源社会保障部门，并存入参保人员人事档案中。</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三、关于核定缴费基数问题</w:t>
      </w:r>
    </w:p>
    <w:p w:rsidR="00430D0A" w:rsidRPr="00430D0A" w:rsidRDefault="00430D0A" w:rsidP="00430D0A">
      <w:pPr>
        <w:widowControl/>
        <w:shd w:val="clear" w:color="auto" w:fill="FEFFFF"/>
        <w:autoSpaceDE w:val="0"/>
        <w:autoSpaceDN w:val="0"/>
        <w:snapToGrid w:val="0"/>
        <w:ind w:right="792" w:firstLine="63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参保人员跨省流动就业，在转移接续基本养老保险关系时，转出地应按年度向转入地提供缴费信息。对于已经转移接续养老保险关系、无法按年度获取缴费基数等信息的，接收地应根据本地实际情况和规定对该期间的缴费做出相应处理和核定待遇。</w:t>
      </w:r>
    </w:p>
    <w:p w:rsidR="00430D0A" w:rsidRPr="00430D0A" w:rsidRDefault="00430D0A" w:rsidP="00430D0A">
      <w:pPr>
        <w:widowControl/>
        <w:shd w:val="clear" w:color="auto" w:fill="FEFFFF"/>
        <w:autoSpaceDE w:val="0"/>
        <w:autoSpaceDN w:val="0"/>
        <w:snapToGrid w:val="0"/>
        <w:ind w:right="792" w:firstLine="630"/>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附件:1.参保人员人事档案及视同缴费年限核查认定申请表</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sidRPr="00430D0A">
        <w:rPr>
          <w:rFonts w:ascii="仿宋_GB2312" w:eastAsia="仿宋_GB2312" w:hAnsi="Arial" w:cs="Arial" w:hint="eastAsia"/>
          <w:color w:val="000003"/>
          <w:kern w:val="0"/>
          <w:sz w:val="32"/>
          <w:szCs w:val="32"/>
          <w:shd w:val="clear" w:color="auto" w:fill="FEFFFF"/>
        </w:rPr>
        <w:t>    </w:t>
      </w:r>
      <w:r w:rsidRPr="00430D0A">
        <w:rPr>
          <w:rFonts w:ascii="仿宋_GB2312" w:eastAsia="仿宋_GB2312" w:hAnsi="Arial" w:cs="Arial" w:hint="eastAsia"/>
          <w:color w:val="000003"/>
          <w:kern w:val="0"/>
          <w:sz w:val="32"/>
          <w:szCs w:val="32"/>
          <w:shd w:val="clear" w:color="auto" w:fill="FEFFFF"/>
        </w:rPr>
        <w:t xml:space="preserve"> 2.关于核查认定参保人员人事档案及视同缴费年限的函</w:t>
      </w:r>
    </w:p>
    <w:p w:rsidR="00430D0A" w:rsidRPr="00430D0A" w:rsidRDefault="00430D0A" w:rsidP="00430D0A">
      <w:pPr>
        <w:widowControl/>
        <w:shd w:val="clear" w:color="auto" w:fill="FEFFFF"/>
        <w:autoSpaceDE w:val="0"/>
        <w:autoSpaceDN w:val="0"/>
        <w:snapToGrid w:val="0"/>
        <w:ind w:right="792"/>
        <w:rPr>
          <w:rFonts w:ascii="Arial" w:eastAsia="宋体" w:hAnsi="Arial" w:cs="Arial"/>
          <w:kern w:val="0"/>
          <w:sz w:val="24"/>
          <w:szCs w:val="24"/>
        </w:rPr>
      </w:pPr>
      <w:r>
        <w:rPr>
          <w:rFonts w:ascii="仿宋_GB2312" w:eastAsia="仿宋_GB2312" w:hAnsi="Arial" w:cs="Arial"/>
          <w:noProof/>
          <w:color w:val="000003"/>
          <w:kern w:val="0"/>
          <w:sz w:val="32"/>
          <w:szCs w:val="32"/>
          <w:shd w:val="clear" w:color="auto" w:fill="FEFFFF"/>
        </w:rPr>
        <w:lastRenderedPageBreak/>
        <w:drawing>
          <wp:inline distT="0" distB="0" distL="0" distR="0">
            <wp:extent cx="2075180" cy="1478915"/>
            <wp:effectExtent l="19050" t="0" r="1270" b="0"/>
            <wp:docPr id="1" name="图片 1" descr="C:\Documents and Settings\Administrator\Local Settings\Temp\19083\11073\13964\26511543906\97a4bcbf788942a989ccf6084b748f6b.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Local Settings\Temp\19083\11073\13964\26511543906\97a4bcbf788942a989ccf6084b748f6b.files\image001.gif"/>
                    <pic:cNvPicPr>
                      <a:picLocks noChangeAspect="1" noChangeArrowheads="1"/>
                    </pic:cNvPicPr>
                  </pic:nvPicPr>
                  <pic:blipFill>
                    <a:blip r:embed="rId4"/>
                    <a:srcRect/>
                    <a:stretch>
                      <a:fillRect/>
                    </a:stretch>
                  </pic:blipFill>
                  <pic:spPr bwMode="auto">
                    <a:xfrm>
                      <a:off x="0" y="0"/>
                      <a:ext cx="2075180" cy="1478915"/>
                    </a:xfrm>
                    <a:prstGeom prst="rect">
                      <a:avLst/>
                    </a:prstGeom>
                    <a:noFill/>
                    <a:ln w="9525">
                      <a:noFill/>
                      <a:miter lim="800000"/>
                      <a:headEnd/>
                      <a:tailEnd/>
                    </a:ln>
                  </pic:spPr>
                </pic:pic>
              </a:graphicData>
            </a:graphic>
          </wp:inline>
        </w:drawing>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r w:rsidRPr="00430D0A">
        <w:rPr>
          <w:rFonts w:ascii="仿宋_GB2312" w:eastAsia="仿宋_GB2312" w:hAnsi="Calibri" w:cs="宋体" w:hint="eastAsia"/>
          <w:kern w:val="0"/>
          <w:sz w:val="32"/>
          <w:szCs w:val="32"/>
        </w:rPr>
        <w:t xml:space="preserve"> (此件依申请公开)</w:t>
      </w:r>
    </w:p>
    <w:tbl>
      <w:tblPr>
        <w:tblpPr w:leftFromText="45" w:rightFromText="45" w:vertAnchor="text"/>
        <w:tblW w:w="0" w:type="auto"/>
        <w:tblCellSpacing w:w="0" w:type="dxa"/>
        <w:tblCellMar>
          <w:left w:w="0" w:type="dxa"/>
          <w:right w:w="0" w:type="dxa"/>
        </w:tblCellMar>
        <w:tblLook w:val="04A0"/>
      </w:tblPr>
      <w:tblGrid>
        <w:gridCol w:w="6"/>
        <w:gridCol w:w="7894"/>
      </w:tblGrid>
      <w:tr w:rsidR="00430D0A" w:rsidRPr="00430D0A">
        <w:trPr>
          <w:tblCellSpacing w:w="0" w:type="dxa"/>
        </w:trPr>
        <w:tc>
          <w:tcPr>
            <w:tcW w:w="6" w:type="dxa"/>
            <w:vAlign w:val="center"/>
            <w:hideMark/>
          </w:tcPr>
          <w:p w:rsidR="00430D0A" w:rsidRPr="00430D0A" w:rsidRDefault="00430D0A" w:rsidP="00430D0A">
            <w:pPr>
              <w:widowControl/>
              <w:jc w:val="left"/>
              <w:rPr>
                <w:rFonts w:ascii="宋体" w:eastAsia="宋体" w:hAnsi="宋体" w:cs="宋体"/>
                <w:kern w:val="0"/>
                <w:sz w:val="1"/>
                <w:szCs w:val="24"/>
              </w:rPr>
            </w:pPr>
          </w:p>
        </w:tc>
        <w:tc>
          <w:tcPr>
            <w:tcW w:w="7860" w:type="dxa"/>
            <w:vAlign w:val="center"/>
            <w:hideMark/>
          </w:tcPr>
          <w:p w:rsidR="00430D0A" w:rsidRPr="00430D0A" w:rsidRDefault="00430D0A" w:rsidP="00430D0A">
            <w:pPr>
              <w:widowControl/>
              <w:jc w:val="left"/>
              <w:rPr>
                <w:rFonts w:ascii="宋体" w:eastAsia="宋体" w:hAnsi="宋体" w:cs="宋体"/>
                <w:kern w:val="0"/>
                <w:sz w:val="1"/>
                <w:szCs w:val="24"/>
              </w:rPr>
            </w:pPr>
          </w:p>
        </w:tc>
      </w:tr>
      <w:tr w:rsidR="00430D0A" w:rsidRPr="00430D0A">
        <w:trPr>
          <w:trHeight w:val="12945"/>
          <w:tblCellSpacing w:w="0" w:type="dxa"/>
        </w:trPr>
        <w:tc>
          <w:tcPr>
            <w:tcW w:w="0" w:type="auto"/>
            <w:vAlign w:val="center"/>
            <w:hideMark/>
          </w:tcPr>
          <w:p w:rsidR="00430D0A" w:rsidRPr="00430D0A" w:rsidRDefault="00430D0A" w:rsidP="00430D0A">
            <w:pPr>
              <w:widowControl/>
              <w:jc w:val="left"/>
              <w:rPr>
                <w:rFonts w:ascii="宋体" w:eastAsia="宋体" w:hAnsi="宋体" w:cs="宋体"/>
                <w:kern w:val="0"/>
                <w:sz w:val="24"/>
                <w:szCs w:val="24"/>
              </w:rPr>
            </w:pPr>
          </w:p>
        </w:tc>
        <w:tc>
          <w:tcPr>
            <w:tcW w:w="0" w:type="auto"/>
            <w:hideMark/>
          </w:tcPr>
          <w:p w:rsidR="00430D0A" w:rsidRPr="00430D0A" w:rsidRDefault="00430D0A" w:rsidP="00430D0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993640" cy="8221345"/>
                  <wp:effectExtent l="19050" t="0" r="0" b="0"/>
                  <wp:docPr id="2" name="图片 2" descr="C:\Documents and Settings\Administrator\Local Settings\Temp\19083\11073\13964\26511543906\97a4bcbf788942a989ccf6084b748f6b.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Administrator\Local Settings\Temp\19083\11073\13964\26511543906\97a4bcbf788942a989ccf6084b748f6b.files\image002.jpg"/>
                          <pic:cNvPicPr>
                            <a:picLocks noChangeAspect="1" noChangeArrowheads="1"/>
                          </pic:cNvPicPr>
                        </pic:nvPicPr>
                        <pic:blipFill>
                          <a:blip r:embed="rId5"/>
                          <a:srcRect/>
                          <a:stretch>
                            <a:fillRect/>
                          </a:stretch>
                        </pic:blipFill>
                        <pic:spPr bwMode="auto">
                          <a:xfrm>
                            <a:off x="0" y="0"/>
                            <a:ext cx="4993640" cy="8221345"/>
                          </a:xfrm>
                          <a:prstGeom prst="rect">
                            <a:avLst/>
                          </a:prstGeom>
                          <a:noFill/>
                          <a:ln w="9525">
                            <a:noFill/>
                            <a:miter lim="800000"/>
                            <a:headEnd/>
                            <a:tailEnd/>
                          </a:ln>
                        </pic:spPr>
                      </pic:pic>
                    </a:graphicData>
                  </a:graphic>
                </wp:inline>
              </w:drawing>
            </w:r>
          </w:p>
        </w:tc>
      </w:tr>
      <w:tr w:rsidR="00430D0A" w:rsidRPr="00430D0A">
        <w:trPr>
          <w:trHeight w:val="780"/>
          <w:tblCellSpacing w:w="0" w:type="dxa"/>
        </w:trPr>
        <w:tc>
          <w:tcPr>
            <w:tcW w:w="0" w:type="auto"/>
            <w:vAlign w:val="center"/>
            <w:hideMark/>
          </w:tcPr>
          <w:p w:rsidR="00430D0A" w:rsidRPr="00430D0A" w:rsidRDefault="00430D0A" w:rsidP="00430D0A">
            <w:pPr>
              <w:widowControl/>
              <w:jc w:val="left"/>
              <w:rPr>
                <w:rFonts w:ascii="宋体" w:eastAsia="宋体" w:hAnsi="宋体" w:cs="宋体"/>
                <w:kern w:val="0"/>
                <w:sz w:val="24"/>
                <w:szCs w:val="24"/>
              </w:rPr>
            </w:pPr>
          </w:p>
        </w:tc>
        <w:tc>
          <w:tcPr>
            <w:tcW w:w="0" w:type="auto"/>
            <w:vAlign w:val="center"/>
            <w:hideMark/>
          </w:tcPr>
          <w:p w:rsidR="00430D0A" w:rsidRPr="00430D0A" w:rsidRDefault="00430D0A" w:rsidP="00430D0A">
            <w:pPr>
              <w:widowControl/>
              <w:jc w:val="left"/>
              <w:rPr>
                <w:rFonts w:ascii="Times New Roman" w:eastAsia="Times New Roman" w:hAnsi="Times New Roman" w:cs="Times New Roman"/>
                <w:kern w:val="0"/>
                <w:sz w:val="20"/>
                <w:szCs w:val="20"/>
              </w:rPr>
            </w:pPr>
          </w:p>
        </w:tc>
      </w:tr>
      <w:tr w:rsidR="00430D0A" w:rsidRPr="00430D0A">
        <w:trPr>
          <w:trHeight w:val="12945"/>
          <w:tblCellSpacing w:w="0" w:type="dxa"/>
        </w:trPr>
        <w:tc>
          <w:tcPr>
            <w:tcW w:w="0" w:type="auto"/>
            <w:vAlign w:val="center"/>
            <w:hideMark/>
          </w:tcPr>
          <w:p w:rsidR="00430D0A" w:rsidRPr="00430D0A" w:rsidRDefault="00430D0A" w:rsidP="00430D0A">
            <w:pPr>
              <w:widowControl/>
              <w:jc w:val="left"/>
              <w:rPr>
                <w:rFonts w:ascii="宋体" w:eastAsia="宋体" w:hAnsi="宋体" w:cs="宋体"/>
                <w:kern w:val="0"/>
                <w:sz w:val="24"/>
                <w:szCs w:val="24"/>
              </w:rPr>
            </w:pPr>
          </w:p>
        </w:tc>
        <w:tc>
          <w:tcPr>
            <w:tcW w:w="0" w:type="auto"/>
            <w:hideMark/>
          </w:tcPr>
          <w:p w:rsidR="00430D0A" w:rsidRPr="00430D0A" w:rsidRDefault="00430D0A" w:rsidP="00430D0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993640" cy="8221345"/>
                  <wp:effectExtent l="19050" t="0" r="0" b="0"/>
                  <wp:docPr id="3" name="图片 3" descr="C:\Documents and Settings\Administrator\Local Settings\Temp\19083\11073\13964\26511543906\97a4bcbf788942a989ccf6084b748f6b.file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Administrator\Local Settings\Temp\19083\11073\13964\26511543906\97a4bcbf788942a989ccf6084b748f6b.files\image003.jpg"/>
                          <pic:cNvPicPr>
                            <a:picLocks noChangeAspect="1" noChangeArrowheads="1"/>
                          </pic:cNvPicPr>
                        </pic:nvPicPr>
                        <pic:blipFill>
                          <a:blip r:embed="rId6"/>
                          <a:srcRect/>
                          <a:stretch>
                            <a:fillRect/>
                          </a:stretch>
                        </pic:blipFill>
                        <pic:spPr bwMode="auto">
                          <a:xfrm>
                            <a:off x="0" y="0"/>
                            <a:ext cx="4993640" cy="8221345"/>
                          </a:xfrm>
                          <a:prstGeom prst="rect">
                            <a:avLst/>
                          </a:prstGeom>
                          <a:noFill/>
                          <a:ln w="9525">
                            <a:noFill/>
                            <a:miter lim="800000"/>
                            <a:headEnd/>
                            <a:tailEnd/>
                          </a:ln>
                        </pic:spPr>
                      </pic:pic>
                    </a:graphicData>
                  </a:graphic>
                </wp:inline>
              </w:drawing>
            </w:r>
          </w:p>
        </w:tc>
      </w:tr>
      <w:tr w:rsidR="00430D0A" w:rsidRPr="00430D0A">
        <w:trPr>
          <w:trHeight w:val="780"/>
          <w:tblCellSpacing w:w="0" w:type="dxa"/>
        </w:trPr>
        <w:tc>
          <w:tcPr>
            <w:tcW w:w="0" w:type="auto"/>
            <w:vAlign w:val="center"/>
            <w:hideMark/>
          </w:tcPr>
          <w:p w:rsidR="00430D0A" w:rsidRPr="00430D0A" w:rsidRDefault="00430D0A" w:rsidP="00430D0A">
            <w:pPr>
              <w:widowControl/>
              <w:jc w:val="left"/>
              <w:rPr>
                <w:rFonts w:ascii="宋体" w:eastAsia="宋体" w:hAnsi="宋体" w:cs="宋体"/>
                <w:kern w:val="0"/>
                <w:sz w:val="24"/>
                <w:szCs w:val="24"/>
              </w:rPr>
            </w:pPr>
          </w:p>
        </w:tc>
        <w:tc>
          <w:tcPr>
            <w:tcW w:w="0" w:type="auto"/>
            <w:vAlign w:val="center"/>
            <w:hideMark/>
          </w:tcPr>
          <w:p w:rsidR="00430D0A" w:rsidRPr="00430D0A" w:rsidRDefault="00430D0A" w:rsidP="00430D0A">
            <w:pPr>
              <w:widowControl/>
              <w:jc w:val="left"/>
              <w:rPr>
                <w:rFonts w:ascii="Times New Roman" w:eastAsia="Times New Roman" w:hAnsi="Times New Roman" w:cs="Times New Roman"/>
                <w:kern w:val="0"/>
                <w:sz w:val="20"/>
                <w:szCs w:val="20"/>
              </w:rPr>
            </w:pPr>
          </w:p>
        </w:tc>
      </w:tr>
      <w:tr w:rsidR="00430D0A" w:rsidRPr="00430D0A">
        <w:trPr>
          <w:trHeight w:val="12945"/>
          <w:tblCellSpacing w:w="0" w:type="dxa"/>
        </w:trPr>
        <w:tc>
          <w:tcPr>
            <w:tcW w:w="0" w:type="auto"/>
            <w:vAlign w:val="center"/>
            <w:hideMark/>
          </w:tcPr>
          <w:p w:rsidR="00430D0A" w:rsidRPr="00430D0A" w:rsidRDefault="00430D0A" w:rsidP="00430D0A">
            <w:pPr>
              <w:widowControl/>
              <w:jc w:val="left"/>
              <w:rPr>
                <w:rFonts w:ascii="宋体" w:eastAsia="宋体" w:hAnsi="宋体" w:cs="宋体"/>
                <w:kern w:val="0"/>
                <w:sz w:val="24"/>
                <w:szCs w:val="24"/>
              </w:rPr>
            </w:pPr>
          </w:p>
        </w:tc>
        <w:tc>
          <w:tcPr>
            <w:tcW w:w="0" w:type="auto"/>
            <w:hideMark/>
          </w:tcPr>
          <w:p w:rsidR="00430D0A" w:rsidRPr="00430D0A" w:rsidRDefault="00430D0A" w:rsidP="00430D0A">
            <w:pPr>
              <w:widowControl/>
              <w:jc w:val="left"/>
              <w:rPr>
                <w:rFonts w:ascii="宋体" w:eastAsia="宋体" w:hAnsi="宋体" w:cs="宋体"/>
                <w:kern w:val="0"/>
                <w:sz w:val="24"/>
                <w:szCs w:val="24"/>
              </w:rPr>
            </w:pPr>
            <w:r>
              <w:rPr>
                <w:rFonts w:ascii="宋体" w:eastAsia="宋体" w:hAnsi="宋体" w:cs="宋体"/>
                <w:noProof/>
                <w:kern w:val="0"/>
                <w:sz w:val="24"/>
                <w:szCs w:val="24"/>
              </w:rPr>
              <w:drawing>
                <wp:inline distT="0" distB="0" distL="0" distR="0">
                  <wp:extent cx="4993640" cy="8221345"/>
                  <wp:effectExtent l="19050" t="0" r="0" b="0"/>
                  <wp:docPr id="4" name="图片 4" descr="C:\Documents and Settings\Administrator\Local Settings\Temp\19083\11073\13964\26511543906\97a4bcbf788942a989ccf6084b748f6b.file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or\Local Settings\Temp\19083\11073\13964\26511543906\97a4bcbf788942a989ccf6084b748f6b.files\image004.jpg"/>
                          <pic:cNvPicPr>
                            <a:picLocks noChangeAspect="1" noChangeArrowheads="1"/>
                          </pic:cNvPicPr>
                        </pic:nvPicPr>
                        <pic:blipFill>
                          <a:blip r:embed="rId7"/>
                          <a:srcRect/>
                          <a:stretch>
                            <a:fillRect/>
                          </a:stretch>
                        </pic:blipFill>
                        <pic:spPr bwMode="auto">
                          <a:xfrm>
                            <a:off x="0" y="0"/>
                            <a:ext cx="4993640" cy="8221345"/>
                          </a:xfrm>
                          <a:prstGeom prst="rect">
                            <a:avLst/>
                          </a:prstGeom>
                          <a:noFill/>
                          <a:ln w="9525">
                            <a:noFill/>
                            <a:miter lim="800000"/>
                            <a:headEnd/>
                            <a:tailEnd/>
                          </a:ln>
                        </pic:spPr>
                      </pic:pic>
                    </a:graphicData>
                  </a:graphic>
                </wp:inline>
              </w:drawing>
            </w:r>
          </w:p>
        </w:tc>
      </w:tr>
    </w:tbl>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lastRenderedPageBreak/>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lastRenderedPageBreak/>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430D0A" w:rsidRPr="00430D0A" w:rsidRDefault="00430D0A" w:rsidP="00430D0A">
      <w:pPr>
        <w:widowControl/>
        <w:snapToGrid w:val="0"/>
        <w:rPr>
          <w:rFonts w:ascii="Calibri" w:eastAsia="宋体" w:hAnsi="Calibri" w:cs="宋体"/>
          <w:kern w:val="0"/>
          <w:szCs w:val="21"/>
        </w:rPr>
      </w:pPr>
      <w:r w:rsidRPr="00430D0A">
        <w:rPr>
          <w:rFonts w:ascii="仿宋_GB2312" w:eastAsia="仿宋_GB2312" w:hAnsi="Calibri" w:cs="宋体" w:hint="eastAsia"/>
          <w:kern w:val="0"/>
          <w:sz w:val="32"/>
          <w:szCs w:val="32"/>
        </w:rPr>
        <w:t> </w:t>
      </w:r>
    </w:p>
    <w:p w:rsidR="00C12BE9" w:rsidRDefault="00430D0A" w:rsidP="00430D0A">
      <w:pPr>
        <w:rPr>
          <w:rFonts w:hint="eastAsia"/>
        </w:rPr>
      </w:pPr>
      <w:r w:rsidRPr="00430D0A">
        <w:rPr>
          <w:rFonts w:ascii="Calibri" w:eastAsia="宋体" w:hAnsi="Calibri" w:cs="宋体"/>
          <w:kern w:val="0"/>
          <w:szCs w:val="21"/>
        </w:rPr>
        <w:pict/>
      </w:r>
    </w:p>
    <w:sectPr w:rsidR="00C12BE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D0A"/>
    <w:rsid w:val="00430D0A"/>
    <w:rsid w:val="00C12BE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样式"/>
    <w:basedOn w:val="a"/>
    <w:rsid w:val="00430D0A"/>
    <w:pPr>
      <w:widowControl/>
      <w:autoSpaceDE w:val="0"/>
      <w:autoSpaceDN w:val="0"/>
      <w:jc w:val="left"/>
    </w:pPr>
    <w:rPr>
      <w:rFonts w:ascii="Arial" w:eastAsia="宋体" w:hAnsi="Arial" w:cs="Arial"/>
      <w:kern w:val="0"/>
      <w:sz w:val="24"/>
      <w:szCs w:val="24"/>
    </w:rPr>
  </w:style>
  <w:style w:type="paragraph" w:styleId="a4">
    <w:name w:val="Balloon Text"/>
    <w:basedOn w:val="a"/>
    <w:link w:val="Char"/>
    <w:uiPriority w:val="99"/>
    <w:semiHidden/>
    <w:unhideWhenUsed/>
    <w:rsid w:val="00430D0A"/>
    <w:rPr>
      <w:sz w:val="18"/>
      <w:szCs w:val="18"/>
    </w:rPr>
  </w:style>
  <w:style w:type="character" w:customStyle="1" w:styleId="Char">
    <w:name w:val="批注框文本 Char"/>
    <w:basedOn w:val="a0"/>
    <w:link w:val="a4"/>
    <w:uiPriority w:val="99"/>
    <w:semiHidden/>
    <w:rsid w:val="00430D0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gif"/><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203</Words>
  <Characters>1163</Characters>
  <Application>Microsoft Office Word</Application>
  <DocSecurity>0</DocSecurity>
  <Lines>9</Lines>
  <Paragraphs>2</Paragraphs>
  <ScaleCrop>false</ScaleCrop>
  <Company>CYSB</Company>
  <LinksUpToDate>false</LinksUpToDate>
  <CharactersWithSpaces>1364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2019-07-26T09:04:00Z</dcterms:created>
  <dcterms:modified xsi:type="dcterms:W3CDTF">2019-07-26T09:04:00Z</dcterms:modified>
</cp:coreProperties>
</file>