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4CF24B">
      <w:pPr>
        <w:widowControl/>
        <w:spacing w:line="300" w:lineRule="atLeast"/>
        <w:ind w:firstLine="0" w:firstLineChars="0"/>
        <w:jc w:val="center"/>
        <w:rPr>
          <w:rFonts w:cs="宋体"/>
          <w:b/>
          <w:iCs w:val="0"/>
          <w:spacing w:val="15"/>
          <w:kern w:val="0"/>
          <w:sz w:val="44"/>
          <w:szCs w:val="24"/>
        </w:rPr>
      </w:pPr>
      <w:r>
        <w:rPr>
          <w:rFonts w:hint="eastAsia" w:cs="宋体"/>
          <w:b/>
          <w:iCs w:val="0"/>
          <w:kern w:val="0"/>
          <w:sz w:val="44"/>
          <w:szCs w:val="24"/>
        </w:rPr>
        <w:t>20</w:t>
      </w:r>
      <w:r>
        <w:rPr>
          <w:rFonts w:cs="宋体"/>
          <w:b/>
          <w:iCs w:val="0"/>
          <w:kern w:val="0"/>
          <w:sz w:val="44"/>
          <w:szCs w:val="24"/>
        </w:rPr>
        <w:t>2</w:t>
      </w:r>
      <w:r>
        <w:rPr>
          <w:rFonts w:hint="eastAsia" w:cs="宋体"/>
          <w:b/>
          <w:iCs w:val="0"/>
          <w:kern w:val="0"/>
          <w:sz w:val="44"/>
          <w:szCs w:val="24"/>
          <w:lang w:val="en-US" w:eastAsia="zh-CN"/>
        </w:rPr>
        <w:t>6</w:t>
      </w:r>
      <w:r>
        <w:rPr>
          <w:rFonts w:hint="eastAsia" w:cs="宋体"/>
          <w:b/>
          <w:iCs w:val="0"/>
          <w:kern w:val="0"/>
          <w:sz w:val="44"/>
          <w:szCs w:val="24"/>
        </w:rPr>
        <w:t>年</w:t>
      </w:r>
      <w:r>
        <w:rPr>
          <w:rFonts w:hint="eastAsia" w:cs="宋体"/>
          <w:b/>
          <w:iCs w:val="0"/>
          <w:kern w:val="0"/>
          <w:sz w:val="44"/>
          <w:szCs w:val="24"/>
          <w:lang w:val="en-US" w:eastAsia="zh-CN"/>
        </w:rPr>
        <w:t>1-8月</w:t>
      </w:r>
      <w:r>
        <w:rPr>
          <w:rFonts w:hint="eastAsia" w:cs="宋体"/>
          <w:b/>
          <w:iCs w:val="0"/>
          <w:kern w:val="0"/>
          <w:sz w:val="44"/>
          <w:szCs w:val="24"/>
        </w:rPr>
        <w:t>朝阳区</w:t>
      </w:r>
      <w:r>
        <w:rPr>
          <w:rFonts w:cs="宋体"/>
          <w:b/>
          <w:iCs w:val="0"/>
          <w:kern w:val="0"/>
          <w:sz w:val="44"/>
          <w:szCs w:val="24"/>
        </w:rPr>
        <w:t>社会消费品零售</w:t>
      </w:r>
      <w:r>
        <w:rPr>
          <w:rFonts w:hint="eastAsia" w:cs="宋体"/>
          <w:b/>
          <w:iCs w:val="0"/>
          <w:kern w:val="0"/>
          <w:sz w:val="44"/>
          <w:szCs w:val="24"/>
        </w:rPr>
        <w:t>总</w:t>
      </w:r>
      <w:r>
        <w:rPr>
          <w:rFonts w:cs="宋体"/>
          <w:b/>
          <w:iCs w:val="0"/>
          <w:spacing w:val="15"/>
          <w:kern w:val="0"/>
          <w:sz w:val="44"/>
          <w:szCs w:val="24"/>
        </w:rPr>
        <w:t>额</w:t>
      </w:r>
      <w:r>
        <w:rPr>
          <w:rFonts w:hint="eastAsia" w:cs="宋体"/>
          <w:b/>
          <w:iCs w:val="0"/>
          <w:spacing w:val="15"/>
          <w:kern w:val="0"/>
          <w:sz w:val="44"/>
          <w:szCs w:val="24"/>
        </w:rPr>
        <w:t>同比下降</w:t>
      </w:r>
      <w:r>
        <w:rPr>
          <w:rFonts w:hint="eastAsia" w:cs="宋体"/>
          <w:b/>
          <w:iCs w:val="0"/>
          <w:spacing w:val="15"/>
          <w:kern w:val="0"/>
          <w:sz w:val="44"/>
          <w:szCs w:val="24"/>
          <w:lang w:val="en-US" w:eastAsia="zh-CN"/>
        </w:rPr>
        <w:t>8.4</w:t>
      </w:r>
      <w:r>
        <w:rPr>
          <w:rFonts w:cs="宋体"/>
          <w:b/>
          <w:iCs w:val="0"/>
          <w:spacing w:val="15"/>
          <w:kern w:val="0"/>
          <w:sz w:val="44"/>
          <w:szCs w:val="24"/>
        </w:rPr>
        <w:t>%</w:t>
      </w:r>
    </w:p>
    <w:p w14:paraId="2F19D72B">
      <w:pPr>
        <w:widowControl/>
        <w:spacing w:line="300" w:lineRule="atLeast"/>
        <w:ind w:firstLine="0" w:firstLineChars="0"/>
        <w:jc w:val="center"/>
        <w:rPr>
          <w:rFonts w:cs="宋体"/>
          <w:bCs w:val="0"/>
          <w:iCs w:val="0"/>
          <w:color w:val="000000"/>
          <w:kern w:val="0"/>
          <w:sz w:val="44"/>
          <w:szCs w:val="44"/>
        </w:rPr>
      </w:pPr>
    </w:p>
    <w:p w14:paraId="699C15A1">
      <w:pPr>
        <w:widowControl/>
        <w:spacing w:line="300" w:lineRule="atLeast"/>
        <w:ind w:firstLine="560"/>
        <w:jc w:val="left"/>
        <w:rPr>
          <w:rFonts w:hint="eastAsia" w:asciiTheme="minorEastAsia" w:hAnsiTheme="minorEastAsia" w:eastAsiaTheme="minorEastAsia" w:cstheme="minorEastAsia"/>
          <w:bCs w:val="0"/>
          <w:iCs w:val="0"/>
          <w:color w:val="000000"/>
          <w:kern w:val="0"/>
          <w:szCs w:val="21"/>
        </w:rPr>
      </w:pPr>
      <w:r>
        <w:rPr>
          <w:rFonts w:hint="eastAsia" w:asciiTheme="minorEastAsia" w:hAnsiTheme="minorEastAsia" w:eastAsiaTheme="minorEastAsia" w:cstheme="minorEastAsia"/>
          <w:bCs w:val="0"/>
          <w:iCs w:val="0"/>
          <w:color w:val="000000"/>
          <w:kern w:val="0"/>
          <w:szCs w:val="21"/>
        </w:rPr>
        <w:t>202</w:t>
      </w:r>
      <w:r>
        <w:rPr>
          <w:rFonts w:hint="eastAsia" w:asciiTheme="minorEastAsia" w:hAnsiTheme="minorEastAsia" w:eastAsiaTheme="minorEastAsia" w:cstheme="minorEastAsia"/>
          <w:bCs w:val="0"/>
          <w:iCs w:val="0"/>
          <w:color w:val="000000"/>
          <w:kern w:val="0"/>
          <w:szCs w:val="21"/>
          <w:lang w:val="en-US" w:eastAsia="zh-CN"/>
        </w:rPr>
        <w:t>6</w:t>
      </w:r>
      <w:r>
        <w:rPr>
          <w:rFonts w:hint="eastAsia" w:asciiTheme="minorEastAsia" w:hAnsiTheme="minorEastAsia" w:eastAsiaTheme="minorEastAsia" w:cstheme="minorEastAsia"/>
          <w:bCs w:val="0"/>
          <w:iCs w:val="0"/>
          <w:color w:val="000000"/>
          <w:kern w:val="0"/>
          <w:szCs w:val="21"/>
        </w:rPr>
        <w:t>年</w:t>
      </w:r>
      <w:r>
        <w:rPr>
          <w:rFonts w:hint="eastAsia" w:asciiTheme="minorEastAsia" w:hAnsiTheme="minorEastAsia" w:eastAsiaTheme="minorEastAsia" w:cstheme="minorEastAsia"/>
          <w:bCs w:val="0"/>
          <w:iCs w:val="0"/>
          <w:color w:val="000000"/>
          <w:kern w:val="0"/>
          <w:szCs w:val="21"/>
          <w:lang w:val="en-US" w:eastAsia="zh-CN"/>
        </w:rPr>
        <w:t>1-8月</w:t>
      </w:r>
      <w:r>
        <w:rPr>
          <w:rFonts w:hint="eastAsia" w:asciiTheme="minorEastAsia" w:hAnsiTheme="minorEastAsia" w:eastAsiaTheme="minorEastAsia" w:cstheme="minorEastAsia"/>
          <w:bCs w:val="0"/>
          <w:iCs w:val="0"/>
          <w:color w:val="000000"/>
          <w:kern w:val="0"/>
          <w:szCs w:val="21"/>
        </w:rPr>
        <w:t>，朝阳区实现社会消费品零售总额</w:t>
      </w:r>
      <w:r>
        <w:rPr>
          <w:rFonts w:hint="eastAsia" w:asciiTheme="minorEastAsia" w:hAnsiTheme="minorEastAsia" w:eastAsiaTheme="minorEastAsia" w:cstheme="minorEastAsia"/>
          <w:bCs w:val="0"/>
          <w:iCs w:val="0"/>
          <w:color w:val="000000"/>
          <w:kern w:val="0"/>
          <w:szCs w:val="21"/>
          <w:lang w:val="en-US" w:eastAsia="zh-CN"/>
        </w:rPr>
        <w:t>1560.3</w:t>
      </w:r>
      <w:r>
        <w:rPr>
          <w:rFonts w:hint="eastAsia" w:asciiTheme="minorEastAsia" w:hAnsiTheme="minorEastAsia" w:eastAsiaTheme="minorEastAsia" w:cstheme="minorEastAsia"/>
          <w:bCs w:val="0"/>
          <w:iCs w:val="0"/>
          <w:color w:val="000000"/>
          <w:kern w:val="0"/>
          <w:szCs w:val="21"/>
        </w:rPr>
        <w:t>亿元，同比下降</w:t>
      </w:r>
      <w:r>
        <w:rPr>
          <w:rFonts w:hint="eastAsia" w:asciiTheme="minorEastAsia" w:hAnsiTheme="minorEastAsia" w:eastAsiaTheme="minorEastAsia" w:cstheme="minorEastAsia"/>
          <w:bCs w:val="0"/>
          <w:iCs w:val="0"/>
          <w:color w:val="000000"/>
          <w:kern w:val="0"/>
          <w:szCs w:val="21"/>
          <w:lang w:val="en-US" w:eastAsia="zh-CN"/>
        </w:rPr>
        <w:t>8.4</w:t>
      </w:r>
      <w:r>
        <w:rPr>
          <w:rFonts w:hint="eastAsia" w:asciiTheme="minorEastAsia" w:hAnsiTheme="minorEastAsia" w:eastAsiaTheme="minorEastAsia" w:cstheme="minorEastAsia"/>
          <w:bCs w:val="0"/>
          <w:iCs w:val="0"/>
          <w:color w:val="000000"/>
          <w:kern w:val="0"/>
          <w:szCs w:val="21"/>
        </w:rPr>
        <w:t>%。</w:t>
      </w:r>
    </w:p>
    <w:p w14:paraId="000C679C">
      <w:pPr>
        <w:widowControl/>
        <w:spacing w:line="300" w:lineRule="atLeast"/>
        <w:ind w:firstLine="560"/>
        <w:jc w:val="left"/>
        <w:rPr>
          <w:rFonts w:hint="eastAsia" w:asciiTheme="minorEastAsia" w:hAnsiTheme="minorEastAsia" w:eastAsiaTheme="minorEastAsia" w:cstheme="minorEastAsia"/>
          <w:bCs w:val="0"/>
          <w:iCs w:val="0"/>
          <w:color w:val="000000"/>
          <w:kern w:val="0"/>
          <w:szCs w:val="21"/>
        </w:rPr>
      </w:pPr>
      <w:r>
        <w:rPr>
          <w:rFonts w:hint="eastAsia" w:asciiTheme="minorEastAsia" w:hAnsiTheme="minorEastAsia" w:eastAsiaTheme="minorEastAsia" w:cstheme="minorEastAsia"/>
          <w:bCs w:val="0"/>
          <w:iCs w:val="0"/>
          <w:color w:val="000000"/>
          <w:kern w:val="0"/>
          <w:szCs w:val="21"/>
        </w:rPr>
        <w:t>按消费形态分，商品零售</w:t>
      </w:r>
      <w:r>
        <w:rPr>
          <w:rFonts w:hint="eastAsia" w:asciiTheme="minorEastAsia" w:hAnsiTheme="minorEastAsia" w:eastAsiaTheme="minorEastAsia" w:cstheme="minorEastAsia"/>
          <w:bCs w:val="0"/>
          <w:iCs w:val="0"/>
          <w:color w:val="000000"/>
          <w:kern w:val="0"/>
          <w:szCs w:val="21"/>
          <w:lang w:val="en-US" w:eastAsia="zh-CN"/>
        </w:rPr>
        <w:t>1334.9</w:t>
      </w:r>
      <w:r>
        <w:rPr>
          <w:rFonts w:hint="eastAsia" w:asciiTheme="minorEastAsia" w:hAnsiTheme="minorEastAsia" w:eastAsiaTheme="minorEastAsia" w:cstheme="minorEastAsia"/>
          <w:bCs w:val="0"/>
          <w:iCs w:val="0"/>
          <w:color w:val="000000"/>
          <w:kern w:val="0"/>
          <w:szCs w:val="21"/>
        </w:rPr>
        <w:t>亿元，</w:t>
      </w:r>
      <w:r>
        <w:rPr>
          <w:rFonts w:hint="eastAsia" w:asciiTheme="minorEastAsia" w:hAnsiTheme="minorEastAsia" w:eastAsiaTheme="minorEastAsia" w:cstheme="minorEastAsia"/>
          <w:bCs w:val="0"/>
          <w:iCs w:val="0"/>
          <w:color w:val="000000"/>
          <w:kern w:val="0"/>
          <w:szCs w:val="21"/>
          <w:lang w:eastAsia="zh-CN"/>
        </w:rPr>
        <w:t>同比</w:t>
      </w:r>
      <w:r>
        <w:rPr>
          <w:rFonts w:hint="eastAsia" w:asciiTheme="minorEastAsia" w:hAnsiTheme="minorEastAsia" w:eastAsiaTheme="minorEastAsia" w:cstheme="minorEastAsia"/>
          <w:bCs w:val="0"/>
          <w:iCs w:val="0"/>
          <w:color w:val="000000"/>
          <w:kern w:val="0"/>
          <w:szCs w:val="21"/>
        </w:rPr>
        <w:t>下降</w:t>
      </w:r>
      <w:r>
        <w:rPr>
          <w:rFonts w:hint="eastAsia" w:asciiTheme="minorEastAsia" w:hAnsiTheme="minorEastAsia" w:eastAsiaTheme="minorEastAsia" w:cstheme="minorEastAsia"/>
          <w:bCs w:val="0"/>
          <w:iCs w:val="0"/>
          <w:color w:val="000000"/>
          <w:kern w:val="0"/>
          <w:szCs w:val="21"/>
          <w:lang w:val="en-US" w:eastAsia="zh-CN"/>
        </w:rPr>
        <w:t>9.6</w:t>
      </w:r>
      <w:r>
        <w:rPr>
          <w:rFonts w:hint="eastAsia" w:asciiTheme="minorEastAsia" w:hAnsiTheme="minorEastAsia" w:eastAsiaTheme="minorEastAsia" w:cstheme="minorEastAsia"/>
          <w:bCs w:val="0"/>
          <w:iCs w:val="0"/>
          <w:color w:val="000000"/>
          <w:kern w:val="0"/>
          <w:szCs w:val="21"/>
        </w:rPr>
        <w:t>%；餐饮收入</w:t>
      </w:r>
      <w:r>
        <w:rPr>
          <w:rFonts w:hint="eastAsia" w:asciiTheme="minorEastAsia" w:hAnsiTheme="minorEastAsia" w:eastAsiaTheme="minorEastAsia" w:cstheme="minorEastAsia"/>
          <w:bCs w:val="0"/>
          <w:iCs w:val="0"/>
          <w:color w:val="000000"/>
          <w:kern w:val="0"/>
          <w:szCs w:val="21"/>
          <w:lang w:val="en-US" w:eastAsia="zh-CN"/>
        </w:rPr>
        <w:t>225.5</w:t>
      </w:r>
      <w:r>
        <w:rPr>
          <w:rFonts w:hint="eastAsia" w:asciiTheme="minorEastAsia" w:hAnsiTheme="minorEastAsia" w:eastAsiaTheme="minorEastAsia" w:cstheme="minorEastAsia"/>
          <w:bCs w:val="0"/>
          <w:iCs w:val="0"/>
          <w:color w:val="000000"/>
          <w:kern w:val="0"/>
          <w:szCs w:val="21"/>
        </w:rPr>
        <w:t>亿元，</w:t>
      </w:r>
      <w:r>
        <w:rPr>
          <w:rFonts w:hint="eastAsia" w:asciiTheme="minorEastAsia" w:hAnsiTheme="minorEastAsia" w:eastAsiaTheme="minorEastAsia" w:cstheme="minorEastAsia"/>
          <w:bCs w:val="0"/>
          <w:iCs w:val="0"/>
          <w:color w:val="000000"/>
          <w:kern w:val="0"/>
          <w:szCs w:val="21"/>
          <w:lang w:eastAsia="zh-CN"/>
        </w:rPr>
        <w:t>同比下降</w:t>
      </w:r>
      <w:r>
        <w:rPr>
          <w:rFonts w:hint="eastAsia" w:asciiTheme="minorEastAsia" w:hAnsiTheme="minorEastAsia" w:eastAsiaTheme="minorEastAsia" w:cstheme="minorEastAsia"/>
          <w:bCs w:val="0"/>
          <w:iCs w:val="0"/>
          <w:color w:val="000000"/>
          <w:kern w:val="0"/>
          <w:szCs w:val="21"/>
          <w:lang w:val="en-US" w:eastAsia="zh-CN"/>
        </w:rPr>
        <w:t>0.4</w:t>
      </w:r>
      <w:r>
        <w:rPr>
          <w:rFonts w:hint="eastAsia" w:asciiTheme="minorEastAsia" w:hAnsiTheme="minorEastAsia" w:eastAsiaTheme="minorEastAsia" w:cstheme="minorEastAsia"/>
          <w:bCs w:val="0"/>
          <w:iCs w:val="0"/>
          <w:color w:val="000000"/>
          <w:kern w:val="0"/>
          <w:szCs w:val="21"/>
        </w:rPr>
        <w:t>%。</w:t>
      </w:r>
    </w:p>
    <w:p w14:paraId="55E7C967">
      <w:pPr>
        <w:pStyle w:val="14"/>
        <w:widowControl/>
        <w:spacing w:line="300" w:lineRule="atLeast"/>
        <w:ind w:firstLineChars="0"/>
        <w:jc w:val="center"/>
        <w:rPr>
          <w:rFonts w:hint="eastAsia" w:cs="宋体"/>
          <w:b/>
          <w:iCs w:val="0"/>
          <w:color w:val="000000"/>
          <w:kern w:val="0"/>
          <w:highlight w:val="none"/>
          <w:lang w:eastAsia="zh-CN"/>
        </w:rPr>
      </w:pPr>
      <w:r>
        <w:rPr>
          <w:rFonts w:hint="eastAsia" w:cs="宋体"/>
          <w:b/>
          <w:iCs w:val="0"/>
          <w:color w:val="000000"/>
          <w:kern w:val="0"/>
        </w:rPr>
        <w:t>表　202</w:t>
      </w:r>
      <w:r>
        <w:rPr>
          <w:rFonts w:hint="eastAsia" w:cs="宋体"/>
          <w:b/>
          <w:iCs w:val="0"/>
          <w:color w:val="000000"/>
          <w:kern w:val="0"/>
          <w:lang w:val="en-US" w:eastAsia="zh-CN"/>
        </w:rPr>
        <w:t>6</w:t>
      </w:r>
      <w:r>
        <w:rPr>
          <w:rFonts w:hint="eastAsia" w:cs="宋体"/>
          <w:b/>
          <w:iCs w:val="0"/>
          <w:color w:val="000000"/>
          <w:kern w:val="0"/>
        </w:rPr>
        <w:t>年</w:t>
      </w:r>
      <w:r>
        <w:rPr>
          <w:rFonts w:hint="eastAsia" w:cs="宋体"/>
          <w:b/>
          <w:iCs w:val="0"/>
          <w:color w:val="000000"/>
          <w:kern w:val="0"/>
          <w:lang w:eastAsia="zh-CN"/>
        </w:rPr>
        <w:t>1-</w:t>
      </w:r>
      <w:r>
        <w:rPr>
          <w:rFonts w:hint="eastAsia" w:cs="宋体"/>
          <w:b/>
          <w:iCs w:val="0"/>
          <w:color w:val="000000"/>
          <w:kern w:val="0"/>
          <w:lang w:val="en-US" w:eastAsia="zh-CN"/>
        </w:rPr>
        <w:t>8</w:t>
      </w:r>
      <w:r>
        <w:rPr>
          <w:rFonts w:hint="eastAsia" w:cs="宋体"/>
          <w:b/>
          <w:iCs w:val="0"/>
          <w:color w:val="000000"/>
          <w:kern w:val="0"/>
          <w:lang w:eastAsia="zh-CN"/>
        </w:rPr>
        <w:t>月</w:t>
      </w:r>
      <w:r>
        <w:rPr>
          <w:rFonts w:hint="eastAsia" w:cs="宋体"/>
          <w:b/>
          <w:iCs w:val="0"/>
          <w:color w:val="000000"/>
          <w:kern w:val="0"/>
        </w:rPr>
        <w:t>朝阳区社会消费品零售总</w:t>
      </w:r>
      <w:r>
        <w:rPr>
          <w:rFonts w:hint="eastAsia" w:cs="宋体"/>
          <w:b/>
          <w:iCs w:val="0"/>
          <w:color w:val="000000"/>
          <w:kern w:val="0"/>
          <w:highlight w:val="none"/>
        </w:rPr>
        <w:t>额</w:t>
      </w:r>
      <w:r>
        <w:rPr>
          <w:rFonts w:hint="eastAsia" w:cs="宋体"/>
          <w:b/>
          <w:iCs w:val="0"/>
          <w:color w:val="000000"/>
          <w:kern w:val="0"/>
          <w:highlight w:val="none"/>
          <w:lang w:eastAsia="zh-CN"/>
        </w:rPr>
        <w:t>情况</w:t>
      </w:r>
    </w:p>
    <w:tbl>
      <w:tblPr>
        <w:tblStyle w:val="8"/>
        <w:tblW w:w="833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3477"/>
        <w:gridCol w:w="2653"/>
        <w:gridCol w:w="2206"/>
      </w:tblGrid>
      <w:tr w14:paraId="65D12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29" w:hRule="atLeast"/>
        </w:trPr>
        <w:tc>
          <w:tcPr>
            <w:tcW w:w="3477" w:type="dxa"/>
            <w:shd w:val="clear" w:color="auto" w:fill="auto"/>
            <w:vAlign w:val="center"/>
          </w:tcPr>
          <w:p w14:paraId="6B148707">
            <w:pPr>
              <w:rPr>
                <w:rFonts w:hint="eastAsia" w:ascii="宋体" w:hAnsi="宋体" w:eastAsia="宋体" w:cs="宋体"/>
                <w:i w:val="0"/>
                <w:color w:val="000000"/>
                <w:sz w:val="22"/>
                <w:szCs w:val="22"/>
                <w:u w:val="none"/>
              </w:rPr>
            </w:pPr>
          </w:p>
        </w:tc>
        <w:tc>
          <w:tcPr>
            <w:tcW w:w="2653" w:type="dxa"/>
            <w:shd w:val="clear" w:color="auto" w:fill="auto"/>
            <w:vAlign w:val="center"/>
          </w:tcPr>
          <w:p w14:paraId="12840360">
            <w:pPr>
              <w:rPr>
                <w:rFonts w:hint="eastAsia" w:ascii="宋体" w:hAnsi="宋体" w:eastAsia="宋体" w:cs="宋体"/>
                <w:i w:val="0"/>
                <w:color w:val="000000"/>
                <w:sz w:val="22"/>
                <w:szCs w:val="22"/>
                <w:u w:val="none"/>
              </w:rPr>
            </w:pPr>
          </w:p>
        </w:tc>
        <w:tc>
          <w:tcPr>
            <w:tcW w:w="2206" w:type="dxa"/>
            <w:shd w:val="clear" w:color="auto" w:fill="auto"/>
            <w:vAlign w:val="center"/>
          </w:tcPr>
          <w:p w14:paraId="0397150F">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bCs/>
                <w:i w:val="0"/>
                <w:iCs/>
                <w:color w:val="000000"/>
                <w:kern w:val="0"/>
                <w:sz w:val="22"/>
                <w:szCs w:val="22"/>
                <w:u w:val="none"/>
                <w:lang w:val="en-US" w:eastAsia="zh-CN" w:bidi="ar"/>
              </w:rPr>
              <w:t>单位：亿元   %</w:t>
            </w:r>
          </w:p>
        </w:tc>
      </w:tr>
      <w:tr w14:paraId="238CA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24" w:hRule="atLeast"/>
        </w:trPr>
        <w:tc>
          <w:tcPr>
            <w:tcW w:w="3477" w:type="dxa"/>
            <w:tcBorders>
              <w:top w:val="single" w:color="000000" w:sz="4" w:space="0"/>
              <w:bottom w:val="single" w:color="000000" w:sz="4" w:space="0"/>
              <w:right w:val="single" w:color="000000" w:sz="4" w:space="0"/>
            </w:tcBorders>
            <w:shd w:val="clear" w:color="auto" w:fill="auto"/>
            <w:vAlign w:val="center"/>
          </w:tcPr>
          <w:p w14:paraId="5BE8C526">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bCs/>
                <w:i w:val="0"/>
                <w:iCs/>
                <w:color w:val="000000"/>
                <w:kern w:val="0"/>
                <w:sz w:val="22"/>
                <w:szCs w:val="22"/>
                <w:u w:val="none"/>
                <w:lang w:val="en-US" w:eastAsia="zh-CN" w:bidi="ar"/>
              </w:rPr>
              <w:t>指  标  名  称</w:t>
            </w:r>
          </w:p>
        </w:tc>
        <w:tc>
          <w:tcPr>
            <w:tcW w:w="2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4D8ED">
            <w:pPr>
              <w:keepNext w:val="0"/>
              <w:keepLines w:val="0"/>
              <w:widowControl/>
              <w:suppressLineNumbers w:val="0"/>
              <w:ind w:firstLine="0" w:firstLineChars="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bCs/>
                <w:i w:val="0"/>
                <w:iCs/>
                <w:color w:val="000000"/>
                <w:kern w:val="0"/>
                <w:sz w:val="22"/>
                <w:szCs w:val="22"/>
                <w:u w:val="none"/>
                <w:lang w:val="en-US" w:eastAsia="zh-CN" w:bidi="ar"/>
              </w:rPr>
              <w:t>本 期 累 计</w:t>
            </w:r>
          </w:p>
        </w:tc>
        <w:tc>
          <w:tcPr>
            <w:tcW w:w="2206" w:type="dxa"/>
            <w:tcBorders>
              <w:top w:val="single" w:color="000000" w:sz="4" w:space="0"/>
              <w:left w:val="single" w:color="000000" w:sz="4" w:space="0"/>
              <w:bottom w:val="single" w:color="000000" w:sz="4" w:space="0"/>
            </w:tcBorders>
            <w:shd w:val="clear" w:color="auto" w:fill="auto"/>
            <w:vAlign w:val="center"/>
          </w:tcPr>
          <w:p w14:paraId="13A18304">
            <w:pPr>
              <w:keepNext w:val="0"/>
              <w:keepLines w:val="0"/>
              <w:widowControl/>
              <w:suppressLineNumbers w:val="0"/>
              <w:ind w:firstLine="0" w:firstLineChars="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bCs/>
                <w:i w:val="0"/>
                <w:iCs/>
                <w:color w:val="000000"/>
                <w:kern w:val="0"/>
                <w:sz w:val="22"/>
                <w:szCs w:val="22"/>
                <w:u w:val="none"/>
                <w:lang w:val="en-US" w:eastAsia="zh-CN" w:bidi="ar"/>
              </w:rPr>
              <w:t>累 计 增 速</w:t>
            </w:r>
          </w:p>
        </w:tc>
      </w:tr>
      <w:tr w14:paraId="3F60A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24" w:hRule="atLeast"/>
        </w:trPr>
        <w:tc>
          <w:tcPr>
            <w:tcW w:w="3477" w:type="dxa"/>
            <w:tcBorders>
              <w:top w:val="single" w:color="000000" w:sz="4" w:space="0"/>
              <w:bottom w:val="single" w:color="000000" w:sz="4" w:space="0"/>
              <w:right w:val="single" w:color="000000" w:sz="4" w:space="0"/>
            </w:tcBorders>
            <w:shd w:val="clear" w:color="auto" w:fill="auto"/>
            <w:vAlign w:val="center"/>
          </w:tcPr>
          <w:p w14:paraId="65EA843B">
            <w:pPr>
              <w:keepNext w:val="0"/>
              <w:keepLines w:val="0"/>
              <w:widowControl/>
              <w:suppressLineNumbers w:val="0"/>
              <w:ind w:firstLine="0" w:firstLineChars="0"/>
              <w:jc w:val="both"/>
              <w:textAlignment w:val="center"/>
              <w:rPr>
                <w:rFonts w:hint="eastAsia" w:ascii="宋体" w:hAnsi="宋体" w:eastAsia="宋体" w:cs="宋体"/>
                <w:i w:val="0"/>
                <w:color w:val="000000"/>
                <w:sz w:val="22"/>
                <w:szCs w:val="22"/>
                <w:u w:val="none"/>
              </w:rPr>
            </w:pPr>
            <w:r>
              <w:rPr>
                <w:rFonts w:hint="eastAsia" w:ascii="宋体" w:hAnsi="宋体" w:eastAsia="宋体" w:cs="宋体"/>
                <w:bCs/>
                <w:i w:val="0"/>
                <w:iCs/>
                <w:color w:val="000000"/>
                <w:kern w:val="0"/>
                <w:sz w:val="22"/>
                <w:szCs w:val="22"/>
                <w:u w:val="none"/>
                <w:lang w:val="en-US" w:eastAsia="zh-CN" w:bidi="ar"/>
              </w:rPr>
              <w:t>社会消费品零售总额</w:t>
            </w:r>
          </w:p>
        </w:tc>
        <w:tc>
          <w:tcPr>
            <w:tcW w:w="2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EC927">
            <w:pPr>
              <w:keepNext w:val="0"/>
              <w:keepLines w:val="0"/>
              <w:pageBreakBefore w:val="0"/>
              <w:widowControl/>
              <w:kinsoku/>
              <w:wordWrap/>
              <w:overflowPunct/>
              <w:topLinePunct w:val="0"/>
              <w:autoSpaceDE/>
              <w:autoSpaceDN/>
              <w:bidi w:val="0"/>
              <w:adjustRightInd/>
              <w:snapToGrid/>
              <w:spacing w:beforeLines="0" w:afterLines="0" w:line="560" w:lineRule="exact"/>
              <w:ind w:left="280" w:leftChars="100" w:firstLine="480" w:firstLineChars="0"/>
              <w:jc w:val="right"/>
              <w:textAlignment w:val="center"/>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1560.3</w:t>
            </w:r>
          </w:p>
        </w:tc>
        <w:tc>
          <w:tcPr>
            <w:tcW w:w="2206" w:type="dxa"/>
            <w:tcBorders>
              <w:top w:val="single" w:color="000000" w:sz="4" w:space="0"/>
              <w:left w:val="single" w:color="000000" w:sz="4" w:space="0"/>
              <w:bottom w:val="single" w:color="000000" w:sz="4" w:space="0"/>
            </w:tcBorders>
            <w:shd w:val="clear" w:color="auto" w:fill="auto"/>
            <w:vAlign w:val="center"/>
          </w:tcPr>
          <w:p w14:paraId="14EB3DB6">
            <w:pPr>
              <w:keepNext w:val="0"/>
              <w:keepLines w:val="0"/>
              <w:pageBreakBefore w:val="0"/>
              <w:widowControl/>
              <w:kinsoku/>
              <w:wordWrap/>
              <w:overflowPunct/>
              <w:topLinePunct w:val="0"/>
              <w:autoSpaceDE/>
              <w:autoSpaceDN/>
              <w:bidi w:val="0"/>
              <w:adjustRightInd/>
              <w:snapToGrid/>
              <w:spacing w:beforeLines="0" w:afterLines="0" w:line="560" w:lineRule="exact"/>
              <w:ind w:left="280" w:leftChars="100" w:firstLine="480" w:firstLineChars="0"/>
              <w:jc w:val="right"/>
              <w:textAlignment w:val="center"/>
              <w:rPr>
                <w:rFonts w:hint="default" w:ascii="Times New Roman" w:hAnsi="Times New Roman" w:cs="Times New Roman"/>
                <w:sz w:val="24"/>
                <w:szCs w:val="24"/>
                <w:lang w:val="en-US" w:eastAsia="zh-CN"/>
              </w:rPr>
            </w:pPr>
            <w:r>
              <w:rPr>
                <w:rFonts w:hint="eastAsia" w:ascii="Times New Roman" w:hAnsi="Times New Roman" w:eastAsia="宋体" w:cs="Times New Roman"/>
                <w:sz w:val="24"/>
                <w:szCs w:val="24"/>
                <w:lang w:val="en-US" w:eastAsia="zh-CN"/>
              </w:rPr>
              <w:t>-</w:t>
            </w:r>
            <w:r>
              <w:rPr>
                <w:rFonts w:hint="eastAsia" w:ascii="Times New Roman" w:hAnsi="Times New Roman" w:cs="Times New Roman"/>
                <w:sz w:val="24"/>
                <w:szCs w:val="24"/>
                <w:lang w:val="en-US" w:eastAsia="zh-CN"/>
              </w:rPr>
              <w:t>8</w:t>
            </w:r>
            <w:r>
              <w:rPr>
                <w:rFonts w:hint="eastAsia" w:ascii="Times New Roman" w:hAnsi="Times New Roman" w:eastAsia="宋体" w:cs="Times New Roman"/>
                <w:sz w:val="24"/>
                <w:szCs w:val="24"/>
                <w:lang w:val="en-US" w:eastAsia="zh-CN"/>
              </w:rPr>
              <w:t>.</w:t>
            </w:r>
            <w:r>
              <w:rPr>
                <w:rFonts w:hint="eastAsia" w:ascii="Times New Roman" w:hAnsi="Times New Roman" w:cs="Times New Roman"/>
                <w:sz w:val="24"/>
                <w:szCs w:val="24"/>
                <w:lang w:val="en-US" w:eastAsia="zh-CN"/>
              </w:rPr>
              <w:t>4</w:t>
            </w:r>
          </w:p>
        </w:tc>
      </w:tr>
      <w:tr w14:paraId="1D2F1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24" w:hRule="atLeast"/>
        </w:trPr>
        <w:tc>
          <w:tcPr>
            <w:tcW w:w="8336" w:type="dxa"/>
            <w:gridSpan w:val="3"/>
            <w:tcBorders>
              <w:top w:val="single" w:color="000000" w:sz="4" w:space="0"/>
              <w:bottom w:val="single" w:color="000000" w:sz="4" w:space="0"/>
              <w:right w:val="nil"/>
            </w:tcBorders>
            <w:shd w:val="clear" w:color="auto" w:fill="auto"/>
            <w:vAlign w:val="center"/>
          </w:tcPr>
          <w:p w14:paraId="168A2F4E">
            <w:pPr>
              <w:spacing w:line="240" w:lineRule="auto"/>
              <w:ind w:left="0" w:leftChars="0" w:firstLine="0" w:firstLineChars="0"/>
              <w:jc w:val="left"/>
              <w:rPr>
                <w:rFonts w:hint="default" w:ascii="Times New Roman" w:hAnsi="Times New Roman" w:eastAsia="宋体" w:cs="Times New Roman"/>
                <w:i w:val="0"/>
                <w:color w:val="000000"/>
                <w:sz w:val="22"/>
                <w:szCs w:val="22"/>
                <w:u w:val="none"/>
              </w:rPr>
            </w:pPr>
            <w:r>
              <w:rPr>
                <w:rFonts w:hint="eastAsia" w:ascii="宋体" w:hAnsi="宋体" w:eastAsia="宋体" w:cs="宋体"/>
                <w:bCs/>
                <w:i w:val="0"/>
                <w:iCs/>
                <w:color w:val="000000"/>
                <w:kern w:val="0"/>
                <w:sz w:val="22"/>
                <w:szCs w:val="22"/>
                <w:u w:val="none"/>
                <w:lang w:val="en-US" w:eastAsia="zh-CN" w:bidi="ar"/>
              </w:rPr>
              <w:t>按消费形态分：</w:t>
            </w:r>
          </w:p>
        </w:tc>
      </w:tr>
      <w:tr w14:paraId="5D3E1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24" w:hRule="atLeast"/>
        </w:trPr>
        <w:tc>
          <w:tcPr>
            <w:tcW w:w="3477" w:type="dxa"/>
            <w:tcBorders>
              <w:top w:val="single" w:color="000000" w:sz="4" w:space="0"/>
              <w:bottom w:val="single" w:color="000000" w:sz="4" w:space="0"/>
              <w:right w:val="single" w:color="000000" w:sz="4" w:space="0"/>
            </w:tcBorders>
            <w:shd w:val="clear" w:color="auto" w:fill="auto"/>
            <w:vAlign w:val="center"/>
          </w:tcPr>
          <w:p w14:paraId="60261AE9">
            <w:pPr>
              <w:keepNext w:val="0"/>
              <w:keepLines w:val="0"/>
              <w:widowControl/>
              <w:suppressLineNumbers w:val="0"/>
              <w:ind w:firstLineChars="100"/>
              <w:jc w:val="both"/>
              <w:textAlignment w:val="center"/>
              <w:rPr>
                <w:rFonts w:hint="eastAsia" w:ascii="宋体" w:hAnsi="宋体" w:eastAsia="宋体" w:cs="宋体"/>
                <w:i w:val="0"/>
                <w:color w:val="000000"/>
                <w:sz w:val="22"/>
                <w:szCs w:val="22"/>
                <w:u w:val="none"/>
              </w:rPr>
            </w:pPr>
            <w:r>
              <w:rPr>
                <w:rFonts w:hint="eastAsia" w:ascii="宋体" w:hAnsi="宋体" w:eastAsia="宋体" w:cs="宋体"/>
                <w:bCs/>
                <w:i w:val="0"/>
                <w:iCs/>
                <w:color w:val="000000"/>
                <w:kern w:val="0"/>
                <w:sz w:val="22"/>
                <w:szCs w:val="22"/>
                <w:u w:val="none"/>
                <w:lang w:val="en-US" w:eastAsia="zh-CN" w:bidi="ar"/>
              </w:rPr>
              <w:t xml:space="preserve">  商品零售</w:t>
            </w:r>
          </w:p>
        </w:tc>
        <w:tc>
          <w:tcPr>
            <w:tcW w:w="2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C8147">
            <w:pPr>
              <w:keepNext w:val="0"/>
              <w:keepLines w:val="0"/>
              <w:pageBreakBefore w:val="0"/>
              <w:widowControl/>
              <w:kinsoku/>
              <w:wordWrap/>
              <w:overflowPunct/>
              <w:topLinePunct w:val="0"/>
              <w:autoSpaceDE/>
              <w:autoSpaceDN/>
              <w:bidi w:val="0"/>
              <w:adjustRightInd/>
              <w:snapToGrid/>
              <w:spacing w:beforeLines="0" w:afterLines="0" w:line="560" w:lineRule="exact"/>
              <w:ind w:left="280" w:leftChars="100" w:firstLine="480" w:firstLineChars="0"/>
              <w:jc w:val="right"/>
              <w:textAlignment w:val="center"/>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1334</w:t>
            </w:r>
            <w:r>
              <w:rPr>
                <w:rFonts w:hint="eastAsia" w:ascii="Times New Roman" w:hAnsi="Times New Roman" w:eastAsia="宋体" w:cs="Times New Roman"/>
                <w:sz w:val="24"/>
                <w:szCs w:val="24"/>
                <w:lang w:val="en-US" w:eastAsia="zh-CN"/>
              </w:rPr>
              <w:t>.</w:t>
            </w:r>
            <w:r>
              <w:rPr>
                <w:rFonts w:hint="eastAsia" w:ascii="Times New Roman" w:hAnsi="Times New Roman" w:cs="Times New Roman"/>
                <w:sz w:val="24"/>
                <w:szCs w:val="24"/>
                <w:lang w:val="en-US" w:eastAsia="zh-CN"/>
              </w:rPr>
              <w:t>9</w:t>
            </w:r>
            <w:r>
              <w:rPr>
                <w:rFonts w:hint="eastAsia" w:ascii="Times New Roman" w:hAnsi="Times New Roman" w:eastAsia="宋体" w:cs="Times New Roman"/>
                <w:sz w:val="24"/>
                <w:szCs w:val="24"/>
                <w:lang w:val="en-US" w:eastAsia="zh-CN"/>
              </w:rPr>
              <w:t xml:space="preserve"> </w:t>
            </w:r>
          </w:p>
        </w:tc>
        <w:tc>
          <w:tcPr>
            <w:tcW w:w="2206" w:type="dxa"/>
            <w:tcBorders>
              <w:top w:val="single" w:color="000000" w:sz="4" w:space="0"/>
              <w:left w:val="single" w:color="000000" w:sz="4" w:space="0"/>
              <w:bottom w:val="single" w:color="000000" w:sz="4" w:space="0"/>
            </w:tcBorders>
            <w:shd w:val="clear" w:color="auto" w:fill="auto"/>
            <w:vAlign w:val="center"/>
          </w:tcPr>
          <w:p w14:paraId="119980F0">
            <w:pPr>
              <w:keepNext w:val="0"/>
              <w:keepLines w:val="0"/>
              <w:pageBreakBefore w:val="0"/>
              <w:widowControl/>
              <w:kinsoku/>
              <w:wordWrap/>
              <w:overflowPunct/>
              <w:topLinePunct w:val="0"/>
              <w:autoSpaceDE/>
              <w:autoSpaceDN/>
              <w:bidi w:val="0"/>
              <w:adjustRightInd/>
              <w:snapToGrid/>
              <w:spacing w:beforeLines="0" w:afterLines="0" w:line="560" w:lineRule="exact"/>
              <w:ind w:left="280" w:leftChars="100" w:firstLine="480" w:firstLineChars="0"/>
              <w:jc w:val="right"/>
              <w:textAlignment w:val="center"/>
              <w:rPr>
                <w:rFonts w:hint="default" w:ascii="Times New Roman" w:hAnsi="Times New Roman" w:cs="Times New Roman"/>
                <w:sz w:val="24"/>
                <w:szCs w:val="24"/>
                <w:lang w:val="en-US" w:eastAsia="zh-CN"/>
              </w:rPr>
            </w:pPr>
            <w:r>
              <w:rPr>
                <w:rFonts w:hint="eastAsia" w:ascii="Times New Roman" w:hAnsi="Times New Roman" w:eastAsia="宋体" w:cs="Times New Roman"/>
                <w:sz w:val="24"/>
                <w:szCs w:val="24"/>
                <w:lang w:val="en-US" w:eastAsia="zh-CN"/>
              </w:rPr>
              <w:t>-</w:t>
            </w:r>
            <w:r>
              <w:rPr>
                <w:rFonts w:hint="eastAsia" w:ascii="Times New Roman" w:hAnsi="Times New Roman" w:cs="Times New Roman"/>
                <w:sz w:val="24"/>
                <w:szCs w:val="24"/>
                <w:lang w:val="en-US" w:eastAsia="zh-CN"/>
              </w:rPr>
              <w:t>9</w:t>
            </w:r>
            <w:r>
              <w:rPr>
                <w:rFonts w:hint="eastAsia" w:ascii="Times New Roman" w:hAnsi="Times New Roman" w:eastAsia="宋体" w:cs="Times New Roman"/>
                <w:sz w:val="24"/>
                <w:szCs w:val="24"/>
                <w:lang w:val="en-US" w:eastAsia="zh-CN"/>
              </w:rPr>
              <w:t>.</w:t>
            </w:r>
            <w:r>
              <w:rPr>
                <w:rFonts w:hint="eastAsia" w:ascii="Times New Roman" w:hAnsi="Times New Roman" w:cs="Times New Roman"/>
                <w:sz w:val="24"/>
                <w:szCs w:val="24"/>
                <w:lang w:val="en-US" w:eastAsia="zh-CN"/>
              </w:rPr>
              <w:t>6</w:t>
            </w:r>
          </w:p>
        </w:tc>
      </w:tr>
      <w:tr w14:paraId="3D464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24" w:hRule="atLeast"/>
        </w:trPr>
        <w:tc>
          <w:tcPr>
            <w:tcW w:w="3477" w:type="dxa"/>
            <w:tcBorders>
              <w:top w:val="single" w:color="000000" w:sz="4" w:space="0"/>
              <w:bottom w:val="single" w:color="000000" w:sz="4" w:space="0"/>
              <w:right w:val="single" w:color="000000" w:sz="4" w:space="0"/>
            </w:tcBorders>
            <w:shd w:val="clear" w:color="auto" w:fill="auto"/>
            <w:vAlign w:val="center"/>
          </w:tcPr>
          <w:p w14:paraId="71BB2432">
            <w:pPr>
              <w:keepNext w:val="0"/>
              <w:keepLines w:val="0"/>
              <w:widowControl/>
              <w:suppressLineNumbers w:val="0"/>
              <w:ind w:firstLineChars="100"/>
              <w:jc w:val="both"/>
              <w:textAlignment w:val="center"/>
              <w:rPr>
                <w:rFonts w:hint="eastAsia" w:ascii="宋体" w:hAnsi="宋体" w:eastAsia="宋体" w:cs="宋体"/>
                <w:i w:val="0"/>
                <w:color w:val="000000"/>
                <w:sz w:val="22"/>
                <w:szCs w:val="22"/>
                <w:u w:val="none"/>
              </w:rPr>
            </w:pPr>
            <w:r>
              <w:rPr>
                <w:rFonts w:hint="eastAsia" w:ascii="宋体" w:hAnsi="宋体" w:eastAsia="宋体" w:cs="宋体"/>
                <w:bCs/>
                <w:i w:val="0"/>
                <w:iCs/>
                <w:color w:val="000000"/>
                <w:kern w:val="0"/>
                <w:sz w:val="22"/>
                <w:szCs w:val="22"/>
                <w:u w:val="none"/>
                <w:lang w:val="en-US" w:eastAsia="zh-CN" w:bidi="ar"/>
              </w:rPr>
              <w:t xml:space="preserve">  餐饮收入</w:t>
            </w:r>
          </w:p>
        </w:tc>
        <w:tc>
          <w:tcPr>
            <w:tcW w:w="2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4B870">
            <w:pPr>
              <w:keepNext w:val="0"/>
              <w:keepLines w:val="0"/>
              <w:pageBreakBefore w:val="0"/>
              <w:widowControl/>
              <w:kinsoku/>
              <w:wordWrap/>
              <w:overflowPunct/>
              <w:topLinePunct w:val="0"/>
              <w:autoSpaceDE/>
              <w:autoSpaceDN/>
              <w:bidi w:val="0"/>
              <w:adjustRightInd/>
              <w:snapToGrid/>
              <w:spacing w:beforeLines="0" w:afterLines="0" w:line="560" w:lineRule="exact"/>
              <w:ind w:left="280" w:leftChars="100" w:firstLine="480" w:firstLineChars="0"/>
              <w:jc w:val="right"/>
              <w:textAlignment w:val="center"/>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225.5</w:t>
            </w:r>
            <w:r>
              <w:rPr>
                <w:rFonts w:hint="eastAsia" w:ascii="Times New Roman" w:hAnsi="Times New Roman" w:eastAsia="宋体" w:cs="Times New Roman"/>
                <w:sz w:val="24"/>
                <w:szCs w:val="24"/>
                <w:lang w:val="en-US" w:eastAsia="zh-CN"/>
              </w:rPr>
              <w:t xml:space="preserve"> </w:t>
            </w:r>
          </w:p>
        </w:tc>
        <w:tc>
          <w:tcPr>
            <w:tcW w:w="2206" w:type="dxa"/>
            <w:tcBorders>
              <w:top w:val="single" w:color="000000" w:sz="4" w:space="0"/>
              <w:left w:val="single" w:color="000000" w:sz="4" w:space="0"/>
              <w:bottom w:val="single" w:color="000000" w:sz="4" w:space="0"/>
            </w:tcBorders>
            <w:shd w:val="clear" w:color="auto" w:fill="auto"/>
            <w:vAlign w:val="center"/>
          </w:tcPr>
          <w:p w14:paraId="42B41F90">
            <w:pPr>
              <w:keepNext w:val="0"/>
              <w:keepLines w:val="0"/>
              <w:pageBreakBefore w:val="0"/>
              <w:widowControl/>
              <w:kinsoku/>
              <w:wordWrap/>
              <w:overflowPunct/>
              <w:topLinePunct w:val="0"/>
              <w:autoSpaceDE/>
              <w:autoSpaceDN/>
              <w:bidi w:val="0"/>
              <w:adjustRightInd/>
              <w:snapToGrid/>
              <w:spacing w:beforeLines="0" w:afterLines="0" w:line="560" w:lineRule="exact"/>
              <w:ind w:left="280" w:leftChars="100" w:firstLine="480" w:firstLineChars="0"/>
              <w:jc w:val="right"/>
              <w:textAlignment w:val="center"/>
              <w:rPr>
                <w:rFonts w:hint="default" w:ascii="Times New Roman" w:hAnsi="Times New Roman" w:cs="Times New Roman"/>
                <w:sz w:val="24"/>
                <w:szCs w:val="24"/>
                <w:lang w:val="en-US" w:eastAsia="zh-CN"/>
              </w:rPr>
            </w:pPr>
            <w:bookmarkStart w:id="0" w:name="_GoBack"/>
            <w:bookmarkEnd w:id="0"/>
            <w:r>
              <w:rPr>
                <w:rFonts w:hint="eastAsia" w:ascii="Times New Roman" w:hAnsi="Times New Roman" w:cs="Times New Roman"/>
                <w:sz w:val="24"/>
                <w:szCs w:val="24"/>
                <w:lang w:val="en-US" w:eastAsia="zh-CN"/>
              </w:rPr>
              <w:t>-</w:t>
            </w:r>
            <w:r>
              <w:rPr>
                <w:rFonts w:hint="eastAsia" w:ascii="Times New Roman" w:hAnsi="Times New Roman" w:eastAsia="宋体" w:cs="Times New Roman"/>
                <w:sz w:val="24"/>
                <w:szCs w:val="24"/>
                <w:lang w:val="en-US" w:eastAsia="zh-CN"/>
              </w:rPr>
              <w:t>0.</w:t>
            </w:r>
            <w:r>
              <w:rPr>
                <w:rFonts w:hint="eastAsia" w:ascii="Times New Roman" w:hAnsi="Times New Roman" w:cs="Times New Roman"/>
                <w:sz w:val="24"/>
                <w:szCs w:val="24"/>
                <w:lang w:val="en-US" w:eastAsia="zh-CN"/>
              </w:rPr>
              <w:t>4</w:t>
            </w:r>
          </w:p>
        </w:tc>
      </w:tr>
    </w:tbl>
    <w:p w14:paraId="1DDEE67C">
      <w:pPr>
        <w:widowControl/>
        <w:spacing w:line="240" w:lineRule="auto"/>
        <w:ind w:firstLine="198" w:firstLineChars="71"/>
        <w:jc w:val="left"/>
        <w:rPr>
          <w:rFonts w:cs="宋体"/>
          <w:bCs w:val="0"/>
          <w:color w:val="000000"/>
          <w:kern w:val="0"/>
        </w:rPr>
      </w:pPr>
    </w:p>
    <w:p w14:paraId="78D8D6D3">
      <w:pPr>
        <w:widowControl/>
        <w:spacing w:line="240" w:lineRule="auto"/>
        <w:jc w:val="left"/>
        <w:rPr>
          <w:rFonts w:cs="宋体"/>
          <w:bCs w:val="0"/>
          <w:color w:val="000000"/>
          <w:kern w:val="0"/>
        </w:rPr>
      </w:pPr>
      <w:r>
        <w:rPr>
          <w:rFonts w:hint="eastAsia" w:cs="宋体"/>
          <w:bCs w:val="0"/>
          <w:color w:val="000000"/>
          <w:kern w:val="0"/>
        </w:rPr>
        <w:t>附注：</w:t>
      </w:r>
    </w:p>
    <w:p w14:paraId="06D95608">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562" w:firstLineChars="200"/>
        <w:jc w:val="left"/>
        <w:textAlignment w:val="auto"/>
        <w:rPr>
          <w:rFonts w:cs="宋体"/>
          <w:b/>
          <w:color w:val="000000"/>
          <w:kern w:val="0"/>
        </w:rPr>
      </w:pPr>
      <w:r>
        <w:rPr>
          <w:rFonts w:ascii="宋体" w:hAnsi="宋体" w:eastAsia="宋体" w:cs="宋体"/>
          <w:b/>
          <w:bCs/>
          <w:iCs/>
          <w:color w:val="000000"/>
          <w:kern w:val="0"/>
          <w:sz w:val="28"/>
          <w:szCs w:val="28"/>
          <w:lang w:val="en-US" w:eastAsia="zh-CN" w:bidi="ar-SA"/>
        </w:rPr>
        <w:t>一、</w:t>
      </w:r>
      <w:r>
        <w:rPr>
          <w:rFonts w:hint="eastAsia" w:cs="宋体"/>
          <w:b/>
          <w:color w:val="000000"/>
          <w:kern w:val="0"/>
        </w:rPr>
        <w:t>统计范围</w:t>
      </w:r>
    </w:p>
    <w:p w14:paraId="7D13CA53">
      <w:pPr>
        <w:keepNext w:val="0"/>
        <w:keepLines w:val="0"/>
        <w:pageBreakBefore w:val="0"/>
        <w:widowControl/>
        <w:kinsoku/>
        <w:wordWrap/>
        <w:overflowPunct/>
        <w:topLinePunct w:val="0"/>
        <w:autoSpaceDE/>
        <w:autoSpaceDN/>
        <w:bidi w:val="0"/>
        <w:adjustRightInd/>
        <w:snapToGrid/>
        <w:spacing w:line="240" w:lineRule="auto"/>
        <w:ind w:firstLine="560" w:firstLineChars="200"/>
        <w:jc w:val="left"/>
        <w:textAlignment w:val="auto"/>
        <w:rPr>
          <w:rFonts w:cs="宋体"/>
          <w:bCs w:val="0"/>
          <w:color w:val="000000"/>
          <w:kern w:val="0"/>
        </w:rPr>
      </w:pPr>
      <w:r>
        <w:rPr>
          <w:rFonts w:hint="eastAsia" w:cs="宋体"/>
          <w:bCs w:val="0"/>
          <w:color w:val="000000"/>
          <w:kern w:val="0"/>
        </w:rPr>
        <w:t>朝阳区地域内从事商品零售活动或提供餐饮服务的法人企业、产业活动单位和个体经营户。</w:t>
      </w:r>
    </w:p>
    <w:p w14:paraId="54AAA5C6">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562" w:firstLineChars="200"/>
        <w:jc w:val="left"/>
        <w:textAlignment w:val="auto"/>
        <w:rPr>
          <w:rFonts w:cs="宋体"/>
          <w:b/>
          <w:color w:val="000000"/>
          <w:kern w:val="0"/>
        </w:rPr>
      </w:pPr>
      <w:r>
        <w:rPr>
          <w:rFonts w:ascii="宋体" w:hAnsi="宋体" w:eastAsia="宋体" w:cs="宋体"/>
          <w:b/>
          <w:bCs/>
          <w:iCs/>
          <w:color w:val="000000"/>
          <w:kern w:val="0"/>
          <w:sz w:val="28"/>
          <w:szCs w:val="28"/>
          <w:lang w:val="en-US" w:eastAsia="zh-CN" w:bidi="ar-SA"/>
        </w:rPr>
        <w:t>二、</w:t>
      </w:r>
      <w:r>
        <w:rPr>
          <w:rFonts w:hint="eastAsia" w:cs="宋体"/>
          <w:b/>
          <w:color w:val="000000"/>
          <w:kern w:val="0"/>
        </w:rPr>
        <w:t>采集渠道</w:t>
      </w:r>
    </w:p>
    <w:p w14:paraId="3B6B0A59">
      <w:pPr>
        <w:keepNext w:val="0"/>
        <w:keepLines w:val="0"/>
        <w:pageBreakBefore w:val="0"/>
        <w:widowControl/>
        <w:kinsoku/>
        <w:wordWrap/>
        <w:overflowPunct/>
        <w:topLinePunct w:val="0"/>
        <w:autoSpaceDE/>
        <w:autoSpaceDN/>
        <w:bidi w:val="0"/>
        <w:adjustRightInd/>
        <w:snapToGrid/>
        <w:spacing w:line="240" w:lineRule="auto"/>
        <w:ind w:firstLine="560" w:firstLineChars="200"/>
        <w:jc w:val="left"/>
        <w:textAlignment w:val="auto"/>
        <w:rPr>
          <w:rFonts w:hint="eastAsia" w:cs="宋体"/>
          <w:bCs w:val="0"/>
          <w:color w:val="000000"/>
          <w:kern w:val="0"/>
        </w:rPr>
      </w:pPr>
      <w:r>
        <w:rPr>
          <w:rFonts w:hint="eastAsia" w:cs="宋体"/>
          <w:bCs w:val="0"/>
          <w:color w:val="000000"/>
          <w:kern w:val="0"/>
        </w:rPr>
        <w:t>按照《批发和零售业统计报表制度》《住宿和餐饮业统计报表制度》要求: ①限额以上批发和零售业、住宿和餐饮业企业（单位、个体户）通过联网直报系统上报统计数据；②限额以下批发和零售业、住宿和餐饮业企业（单位、个体户）通过抽样调查获取数据，进而推算总体。</w:t>
      </w:r>
    </w:p>
    <w:p w14:paraId="72543A8C">
      <w:pPr>
        <w:keepNext w:val="0"/>
        <w:keepLines w:val="0"/>
        <w:pageBreakBefore w:val="0"/>
        <w:widowControl/>
        <w:kinsoku/>
        <w:wordWrap/>
        <w:overflowPunct/>
        <w:topLinePunct w:val="0"/>
        <w:autoSpaceDE/>
        <w:autoSpaceDN/>
        <w:bidi w:val="0"/>
        <w:adjustRightInd/>
        <w:snapToGrid/>
        <w:spacing w:line="240" w:lineRule="auto"/>
        <w:ind w:firstLine="560" w:firstLineChars="200"/>
        <w:jc w:val="left"/>
        <w:textAlignment w:val="auto"/>
        <w:rPr>
          <w:rFonts w:cs="宋体"/>
          <w:bCs w:val="0"/>
          <w:color w:val="000000"/>
          <w:kern w:val="0"/>
        </w:rPr>
      </w:pPr>
      <w:r>
        <w:rPr>
          <w:rFonts w:hint="eastAsia" w:cs="宋体"/>
          <w:bCs w:val="0"/>
          <w:color w:val="000000"/>
          <w:kern w:val="0"/>
        </w:rPr>
        <w:t>限额以上标准：①批发业：年主营业务收入2000万元及以上；②零售业：年主营业务收入500万元及以上；③住宿业：年主营业务收入200万元及以上；④餐饮业：年主营业务收入200万元及以上。</w:t>
      </w:r>
    </w:p>
    <w:p w14:paraId="7B3AD07D">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562" w:firstLineChars="200"/>
        <w:jc w:val="left"/>
        <w:textAlignment w:val="auto"/>
        <w:rPr>
          <w:rFonts w:cs="宋体"/>
          <w:b/>
          <w:color w:val="000000"/>
          <w:kern w:val="0"/>
        </w:rPr>
      </w:pPr>
      <w:r>
        <w:rPr>
          <w:rFonts w:ascii="宋体" w:hAnsi="宋体" w:eastAsia="宋体" w:cs="宋体"/>
          <w:b/>
          <w:bCs/>
          <w:iCs/>
          <w:color w:val="000000"/>
          <w:kern w:val="0"/>
          <w:sz w:val="28"/>
          <w:szCs w:val="28"/>
          <w:lang w:val="en-US" w:eastAsia="zh-CN" w:bidi="ar-SA"/>
        </w:rPr>
        <w:t>三、</w:t>
      </w:r>
      <w:r>
        <w:rPr>
          <w:rFonts w:hint="eastAsia" w:cs="宋体"/>
          <w:b/>
          <w:color w:val="000000"/>
          <w:kern w:val="0"/>
        </w:rPr>
        <w:t>主要统计指标解释</w:t>
      </w:r>
    </w:p>
    <w:p w14:paraId="022798DA">
      <w:pPr>
        <w:keepNext w:val="0"/>
        <w:keepLines w:val="0"/>
        <w:pageBreakBefore w:val="0"/>
        <w:widowControl/>
        <w:kinsoku/>
        <w:wordWrap/>
        <w:overflowPunct/>
        <w:topLinePunct w:val="0"/>
        <w:autoSpaceDE/>
        <w:autoSpaceDN/>
        <w:bidi w:val="0"/>
        <w:adjustRightInd/>
        <w:snapToGrid/>
        <w:spacing w:line="240" w:lineRule="auto"/>
        <w:ind w:firstLine="560" w:firstLineChars="200"/>
        <w:jc w:val="left"/>
        <w:textAlignment w:val="auto"/>
        <w:rPr>
          <w:rFonts w:cs="宋体"/>
          <w:bCs w:val="0"/>
          <w:color w:val="000000"/>
          <w:kern w:val="0"/>
        </w:rPr>
      </w:pPr>
      <w:r>
        <w:rPr>
          <w:rFonts w:hint="eastAsia" w:cs="宋体"/>
          <w:bCs w:val="0"/>
          <w:color w:val="000000"/>
          <w:kern w:val="0"/>
        </w:rPr>
        <w:t>社会消费品零售总额：指企业（单位、个体户）通过交易售给个人、社会集团非生产、非经营用的实物商品金额，以及提供餐饮服务所取得的收入金额。</w:t>
      </w:r>
    </w:p>
    <w:p w14:paraId="52DB55A1">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562" w:firstLineChars="200"/>
        <w:jc w:val="left"/>
        <w:textAlignment w:val="auto"/>
        <w:rPr>
          <w:rFonts w:hint="eastAsia" w:cs="宋体"/>
          <w:b/>
          <w:color w:val="000000"/>
          <w:kern w:val="0"/>
        </w:rPr>
      </w:pPr>
      <w:r>
        <w:rPr>
          <w:rFonts w:hint="eastAsia" w:ascii="宋体" w:hAnsi="宋体" w:eastAsia="宋体" w:cs="宋体"/>
          <w:b/>
          <w:bCs/>
          <w:iCs/>
          <w:color w:val="000000"/>
          <w:kern w:val="0"/>
          <w:sz w:val="28"/>
          <w:szCs w:val="28"/>
          <w:lang w:val="en-US" w:eastAsia="zh-CN" w:bidi="ar-SA"/>
        </w:rPr>
        <w:t>四、</w:t>
      </w:r>
      <w:r>
        <w:rPr>
          <w:rFonts w:hint="eastAsia" w:cs="宋体"/>
          <w:b/>
          <w:color w:val="000000"/>
          <w:kern w:val="0"/>
        </w:rPr>
        <w:t xml:space="preserve">指标说明 </w:t>
      </w:r>
    </w:p>
    <w:p w14:paraId="4710DCBF">
      <w:pPr>
        <w:keepNext w:val="0"/>
        <w:keepLines w:val="0"/>
        <w:pageBreakBefore w:val="0"/>
        <w:widowControl/>
        <w:kinsoku/>
        <w:wordWrap/>
        <w:overflowPunct/>
        <w:topLinePunct w:val="0"/>
        <w:autoSpaceDE/>
        <w:autoSpaceDN/>
        <w:bidi w:val="0"/>
        <w:adjustRightInd/>
        <w:snapToGrid/>
        <w:spacing w:line="240" w:lineRule="auto"/>
        <w:ind w:firstLine="560" w:firstLineChars="200"/>
        <w:jc w:val="left"/>
        <w:textAlignment w:val="auto"/>
        <w:rPr>
          <w:rFonts w:hint="eastAsia" w:cs="宋体"/>
          <w:bCs w:val="0"/>
          <w:color w:val="000000"/>
          <w:kern w:val="0"/>
        </w:rPr>
      </w:pPr>
      <w:r>
        <w:rPr>
          <w:rFonts w:hint="eastAsia" w:cs="宋体"/>
          <w:bCs w:val="0"/>
          <w:color w:val="000000"/>
          <w:kern w:val="0"/>
        </w:rPr>
        <w:t>为贯彻落实党的二十届三中全会关于经营主体活动发生地统计的部署，国家统计局进一步完善社会消费品零售总额产业在地统计工作，各省（区、市）社会消费品零售总额及相关分组指标增速按照产业活动单位口径计算。</w:t>
      </w: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4ADA13A8">
        <w:pPr>
          <w:pStyle w:val="5"/>
          <w:ind w:firstLine="360"/>
          <w:jc w:val="center"/>
        </w:pPr>
        <w:r>
          <w:fldChar w:fldCharType="begin"/>
        </w:r>
        <w:r>
          <w:instrText xml:space="preserve">PAGE   \* MERGEFORMAT</w:instrText>
        </w:r>
        <w:r>
          <w:fldChar w:fldCharType="separate"/>
        </w:r>
        <w:r>
          <w:rPr>
            <w:lang w:val="zh-CN"/>
          </w:rPr>
          <w:t>2</w:t>
        </w:r>
        <w:r>
          <w:fldChar w:fldCharType="end"/>
        </w:r>
      </w:p>
    </w:sdtContent>
  </w:sdt>
  <w:p w14:paraId="69406679">
    <w:pPr>
      <w:pStyle w:val="5"/>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4C546">
    <w:pPr>
      <w:pStyle w:val="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339F49">
    <w:pPr>
      <w:pStyle w:val="5"/>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480" w:lineRule="auto"/>
        <w:ind w:firstLine="560"/>
      </w:pPr>
      <w:r>
        <w:separator/>
      </w:r>
    </w:p>
  </w:footnote>
  <w:footnote w:type="continuationSeparator" w:id="1">
    <w:p>
      <w:pPr>
        <w:spacing w:line="48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E0AA17">
    <w:pPr>
      <w:pStyle w:val="6"/>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59A1B">
    <w:pPr>
      <w:pStyle w:val="6"/>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76953">
    <w:pPr>
      <w:pStyle w:val="6"/>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0"/>
  <w:bordersDoNotSurroundFooter w:val="0"/>
  <w:documentProtection w:enforcement="0"/>
  <w:defaultTabStop w:val="5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DD5D63"/>
    <w:rsid w:val="0000095A"/>
    <w:rsid w:val="00026542"/>
    <w:rsid w:val="0003674A"/>
    <w:rsid w:val="0005137F"/>
    <w:rsid w:val="0005503C"/>
    <w:rsid w:val="00062E00"/>
    <w:rsid w:val="00081150"/>
    <w:rsid w:val="000B7849"/>
    <w:rsid w:val="000C422A"/>
    <w:rsid w:val="000D2E51"/>
    <w:rsid w:val="000D734E"/>
    <w:rsid w:val="000E370B"/>
    <w:rsid w:val="000F419F"/>
    <w:rsid w:val="00100B34"/>
    <w:rsid w:val="00107A71"/>
    <w:rsid w:val="00114AB0"/>
    <w:rsid w:val="00117062"/>
    <w:rsid w:val="00122365"/>
    <w:rsid w:val="00135FCA"/>
    <w:rsid w:val="001A647C"/>
    <w:rsid w:val="001A6849"/>
    <w:rsid w:val="001C2CB8"/>
    <w:rsid w:val="001F63C1"/>
    <w:rsid w:val="00207E82"/>
    <w:rsid w:val="00224762"/>
    <w:rsid w:val="00233CAD"/>
    <w:rsid w:val="00237075"/>
    <w:rsid w:val="0024535B"/>
    <w:rsid w:val="00254E23"/>
    <w:rsid w:val="002A4F08"/>
    <w:rsid w:val="002A6772"/>
    <w:rsid w:val="002B556A"/>
    <w:rsid w:val="002F212A"/>
    <w:rsid w:val="002F6562"/>
    <w:rsid w:val="00313829"/>
    <w:rsid w:val="00394964"/>
    <w:rsid w:val="003B6A3A"/>
    <w:rsid w:val="003C02B3"/>
    <w:rsid w:val="003E7CE7"/>
    <w:rsid w:val="003F02F9"/>
    <w:rsid w:val="0041216D"/>
    <w:rsid w:val="00445A54"/>
    <w:rsid w:val="00481312"/>
    <w:rsid w:val="004A407A"/>
    <w:rsid w:val="004A56C2"/>
    <w:rsid w:val="004B009A"/>
    <w:rsid w:val="004E3A0F"/>
    <w:rsid w:val="004F4781"/>
    <w:rsid w:val="00500C33"/>
    <w:rsid w:val="00510C46"/>
    <w:rsid w:val="00526867"/>
    <w:rsid w:val="00570DF2"/>
    <w:rsid w:val="0059791C"/>
    <w:rsid w:val="005A6DD8"/>
    <w:rsid w:val="005C51C6"/>
    <w:rsid w:val="005D11D7"/>
    <w:rsid w:val="005E5F17"/>
    <w:rsid w:val="005F14B9"/>
    <w:rsid w:val="0062626C"/>
    <w:rsid w:val="00634858"/>
    <w:rsid w:val="00646C3D"/>
    <w:rsid w:val="00653350"/>
    <w:rsid w:val="0067572B"/>
    <w:rsid w:val="00682509"/>
    <w:rsid w:val="00685447"/>
    <w:rsid w:val="00686066"/>
    <w:rsid w:val="00693124"/>
    <w:rsid w:val="006B2819"/>
    <w:rsid w:val="006C5F44"/>
    <w:rsid w:val="006F520C"/>
    <w:rsid w:val="007045F5"/>
    <w:rsid w:val="00704C60"/>
    <w:rsid w:val="00710CD4"/>
    <w:rsid w:val="007162ED"/>
    <w:rsid w:val="00773B94"/>
    <w:rsid w:val="0078271A"/>
    <w:rsid w:val="007944B5"/>
    <w:rsid w:val="007E609B"/>
    <w:rsid w:val="007F16D8"/>
    <w:rsid w:val="007F250A"/>
    <w:rsid w:val="00812048"/>
    <w:rsid w:val="0081410B"/>
    <w:rsid w:val="00814927"/>
    <w:rsid w:val="00817B4C"/>
    <w:rsid w:val="008217C2"/>
    <w:rsid w:val="0083398F"/>
    <w:rsid w:val="00862431"/>
    <w:rsid w:val="008645DC"/>
    <w:rsid w:val="008651C8"/>
    <w:rsid w:val="00874FC5"/>
    <w:rsid w:val="00883355"/>
    <w:rsid w:val="00884985"/>
    <w:rsid w:val="008A3C46"/>
    <w:rsid w:val="008B1246"/>
    <w:rsid w:val="008B167D"/>
    <w:rsid w:val="008B6D2B"/>
    <w:rsid w:val="008C1CF6"/>
    <w:rsid w:val="008D3BED"/>
    <w:rsid w:val="008D638A"/>
    <w:rsid w:val="008F3710"/>
    <w:rsid w:val="00903D89"/>
    <w:rsid w:val="00923B31"/>
    <w:rsid w:val="009273FC"/>
    <w:rsid w:val="0093105E"/>
    <w:rsid w:val="009414C7"/>
    <w:rsid w:val="00941622"/>
    <w:rsid w:val="0095044F"/>
    <w:rsid w:val="009704CA"/>
    <w:rsid w:val="009727FB"/>
    <w:rsid w:val="009826E3"/>
    <w:rsid w:val="00992C23"/>
    <w:rsid w:val="00A0287E"/>
    <w:rsid w:val="00A05A62"/>
    <w:rsid w:val="00A17238"/>
    <w:rsid w:val="00A22967"/>
    <w:rsid w:val="00A2341B"/>
    <w:rsid w:val="00A27D23"/>
    <w:rsid w:val="00A37B1B"/>
    <w:rsid w:val="00A60258"/>
    <w:rsid w:val="00A75F2E"/>
    <w:rsid w:val="00A76531"/>
    <w:rsid w:val="00A767E6"/>
    <w:rsid w:val="00A82ABB"/>
    <w:rsid w:val="00A82C4B"/>
    <w:rsid w:val="00A8418E"/>
    <w:rsid w:val="00A9070C"/>
    <w:rsid w:val="00AA2BB4"/>
    <w:rsid w:val="00AA6E8D"/>
    <w:rsid w:val="00AD636D"/>
    <w:rsid w:val="00AD694A"/>
    <w:rsid w:val="00AE16B7"/>
    <w:rsid w:val="00AF0CFF"/>
    <w:rsid w:val="00B32BB1"/>
    <w:rsid w:val="00B36213"/>
    <w:rsid w:val="00B63D6F"/>
    <w:rsid w:val="00B652B9"/>
    <w:rsid w:val="00B84B9D"/>
    <w:rsid w:val="00B90273"/>
    <w:rsid w:val="00BA011B"/>
    <w:rsid w:val="00BA26B2"/>
    <w:rsid w:val="00BA29BE"/>
    <w:rsid w:val="00BB023A"/>
    <w:rsid w:val="00BC395A"/>
    <w:rsid w:val="00BC7C7B"/>
    <w:rsid w:val="00BD1DE8"/>
    <w:rsid w:val="00BD2A35"/>
    <w:rsid w:val="00BE4223"/>
    <w:rsid w:val="00BF42AA"/>
    <w:rsid w:val="00C43DC9"/>
    <w:rsid w:val="00C46118"/>
    <w:rsid w:val="00C53C4D"/>
    <w:rsid w:val="00C66624"/>
    <w:rsid w:val="00C84578"/>
    <w:rsid w:val="00C9526D"/>
    <w:rsid w:val="00CC56F4"/>
    <w:rsid w:val="00CF00EF"/>
    <w:rsid w:val="00D02911"/>
    <w:rsid w:val="00D20CE6"/>
    <w:rsid w:val="00D46511"/>
    <w:rsid w:val="00D511E4"/>
    <w:rsid w:val="00D61B87"/>
    <w:rsid w:val="00D72EB7"/>
    <w:rsid w:val="00D970ED"/>
    <w:rsid w:val="00DA087D"/>
    <w:rsid w:val="00DD5C0F"/>
    <w:rsid w:val="00DD5D63"/>
    <w:rsid w:val="00DF1D98"/>
    <w:rsid w:val="00E1102C"/>
    <w:rsid w:val="00E15484"/>
    <w:rsid w:val="00E17D1E"/>
    <w:rsid w:val="00E22758"/>
    <w:rsid w:val="00E42BEC"/>
    <w:rsid w:val="00E47C68"/>
    <w:rsid w:val="00E54F49"/>
    <w:rsid w:val="00E5579D"/>
    <w:rsid w:val="00E75B2F"/>
    <w:rsid w:val="00E7646C"/>
    <w:rsid w:val="00EB1A6A"/>
    <w:rsid w:val="00EB7DEE"/>
    <w:rsid w:val="00ED6809"/>
    <w:rsid w:val="00EF03B0"/>
    <w:rsid w:val="00F0675E"/>
    <w:rsid w:val="00F266C6"/>
    <w:rsid w:val="00F34ADE"/>
    <w:rsid w:val="00F7372D"/>
    <w:rsid w:val="00FD09DB"/>
    <w:rsid w:val="00FD5CA3"/>
    <w:rsid w:val="01031B1E"/>
    <w:rsid w:val="017329C9"/>
    <w:rsid w:val="060A0AFB"/>
    <w:rsid w:val="06F55617"/>
    <w:rsid w:val="0861096B"/>
    <w:rsid w:val="08EE4380"/>
    <w:rsid w:val="09964B01"/>
    <w:rsid w:val="0AF70BC6"/>
    <w:rsid w:val="0BEE2EAF"/>
    <w:rsid w:val="0E700F99"/>
    <w:rsid w:val="10D01FFF"/>
    <w:rsid w:val="1141038C"/>
    <w:rsid w:val="14643E24"/>
    <w:rsid w:val="14BD5016"/>
    <w:rsid w:val="15702F16"/>
    <w:rsid w:val="158960AF"/>
    <w:rsid w:val="16195498"/>
    <w:rsid w:val="16A94FA9"/>
    <w:rsid w:val="178D0A09"/>
    <w:rsid w:val="187B15AD"/>
    <w:rsid w:val="1C1F7D0D"/>
    <w:rsid w:val="1C2F27CE"/>
    <w:rsid w:val="1E3D3A9D"/>
    <w:rsid w:val="1F631E38"/>
    <w:rsid w:val="205E0A5A"/>
    <w:rsid w:val="20C04CB7"/>
    <w:rsid w:val="21DB0EE4"/>
    <w:rsid w:val="22D926B5"/>
    <w:rsid w:val="27233CC4"/>
    <w:rsid w:val="2831233A"/>
    <w:rsid w:val="289B18DE"/>
    <w:rsid w:val="29B8755A"/>
    <w:rsid w:val="2B6B38F0"/>
    <w:rsid w:val="2CEE41BC"/>
    <w:rsid w:val="2E67221F"/>
    <w:rsid w:val="2F0536EC"/>
    <w:rsid w:val="302A5605"/>
    <w:rsid w:val="30D30E5D"/>
    <w:rsid w:val="37F97CC3"/>
    <w:rsid w:val="3AEB4AE9"/>
    <w:rsid w:val="3D815243"/>
    <w:rsid w:val="40A449B2"/>
    <w:rsid w:val="41B24674"/>
    <w:rsid w:val="41B634B6"/>
    <w:rsid w:val="43D820FF"/>
    <w:rsid w:val="45A57D2E"/>
    <w:rsid w:val="47A53D2A"/>
    <w:rsid w:val="48047C4F"/>
    <w:rsid w:val="49E75E16"/>
    <w:rsid w:val="4A750FFF"/>
    <w:rsid w:val="4D482AD5"/>
    <w:rsid w:val="4FD43C0F"/>
    <w:rsid w:val="50402840"/>
    <w:rsid w:val="52BD5A47"/>
    <w:rsid w:val="52C05DBB"/>
    <w:rsid w:val="52D5704F"/>
    <w:rsid w:val="54BA4F6B"/>
    <w:rsid w:val="57033D95"/>
    <w:rsid w:val="58672FE8"/>
    <w:rsid w:val="5874389A"/>
    <w:rsid w:val="593E2AD4"/>
    <w:rsid w:val="5AB43429"/>
    <w:rsid w:val="5B7846DC"/>
    <w:rsid w:val="5BF10418"/>
    <w:rsid w:val="5C8D749D"/>
    <w:rsid w:val="5DCD66CD"/>
    <w:rsid w:val="63321B1D"/>
    <w:rsid w:val="63B37EC4"/>
    <w:rsid w:val="66414D12"/>
    <w:rsid w:val="67392EF0"/>
    <w:rsid w:val="67E1053B"/>
    <w:rsid w:val="69DD0B5B"/>
    <w:rsid w:val="6B2869AA"/>
    <w:rsid w:val="6FD27249"/>
    <w:rsid w:val="7459795D"/>
    <w:rsid w:val="74932650"/>
    <w:rsid w:val="74F87BB5"/>
    <w:rsid w:val="774211B4"/>
    <w:rsid w:val="79A73E07"/>
    <w:rsid w:val="7A557699"/>
    <w:rsid w:val="7AA40352"/>
    <w:rsid w:val="7B241064"/>
    <w:rsid w:val="7C8B75A1"/>
    <w:rsid w:val="7CFF4662"/>
    <w:rsid w:val="7F3803F4"/>
    <w:rsid w:val="E83DF4D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480" w:lineRule="auto"/>
      <w:ind w:firstLine="200" w:firstLineChars="200"/>
      <w:jc w:val="both"/>
    </w:pPr>
    <w:rPr>
      <w:rFonts w:ascii="宋体" w:hAnsi="宋体" w:eastAsia="宋体" w:cs="Times New Roman"/>
      <w:bCs/>
      <w:iCs/>
      <w:kern w:val="2"/>
      <w:sz w:val="28"/>
      <w:szCs w:val="28"/>
      <w:lang w:val="en-US" w:eastAsia="zh-CN" w:bidi="ar-SA"/>
    </w:rPr>
  </w:style>
  <w:style w:type="character" w:default="1" w:styleId="9">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Body Text"/>
    <w:basedOn w:val="1"/>
    <w:next w:val="3"/>
    <w:unhideWhenUsed/>
    <w:qFormat/>
    <w:uiPriority w:val="99"/>
    <w:rPr>
      <w:rFonts w:eastAsia="仿宋_GB2312" w:cs="Times New Roman"/>
      <w:sz w:val="32"/>
      <w:szCs w:val="24"/>
    </w:rPr>
  </w:style>
  <w:style w:type="paragraph" w:styleId="3">
    <w:name w:val="Title"/>
    <w:basedOn w:val="1"/>
    <w:next w:val="1"/>
    <w:qFormat/>
    <w:uiPriority w:val="10"/>
    <w:pPr>
      <w:jc w:val="center"/>
      <w:outlineLvl w:val="0"/>
    </w:pPr>
    <w:rPr>
      <w:rFonts w:ascii="方正小标宋_GBK" w:hAnsi="方正小标宋_GBK" w:eastAsia="方正小标宋_GBK" w:cs="方正小标宋_GBK"/>
      <w:sz w:val="44"/>
      <w:szCs w:val="44"/>
    </w:rPr>
  </w:style>
  <w:style w:type="paragraph" w:styleId="4">
    <w:name w:val="Balloon Text"/>
    <w:basedOn w:val="1"/>
    <w:link w:val="11"/>
    <w:unhideWhenUsed/>
    <w:qFormat/>
    <w:uiPriority w:val="99"/>
    <w:pPr>
      <w:spacing w:line="240" w:lineRule="auto"/>
    </w:pPr>
    <w:rPr>
      <w:sz w:val="18"/>
      <w:szCs w:val="18"/>
    </w:rPr>
  </w:style>
  <w:style w:type="paragraph" w:styleId="5">
    <w:name w:val="footer"/>
    <w:basedOn w:val="1"/>
    <w:link w:val="13"/>
    <w:unhideWhenUsed/>
    <w:qFormat/>
    <w:uiPriority w:val="99"/>
    <w:pPr>
      <w:tabs>
        <w:tab w:val="center" w:pos="4153"/>
        <w:tab w:val="right" w:pos="8306"/>
      </w:tabs>
      <w:snapToGrid w:val="0"/>
      <w:spacing w:line="240" w:lineRule="auto"/>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7">
    <w:name w:val="Normal (Web)"/>
    <w:basedOn w:val="1"/>
    <w:unhideWhenUsed/>
    <w:qFormat/>
    <w:uiPriority w:val="99"/>
    <w:pPr>
      <w:widowControl/>
      <w:spacing w:before="100" w:beforeAutospacing="1" w:after="100" w:afterAutospacing="1" w:line="240" w:lineRule="auto"/>
      <w:ind w:firstLine="0" w:firstLineChars="0"/>
      <w:jc w:val="left"/>
    </w:pPr>
    <w:rPr>
      <w:rFonts w:cs="宋体"/>
      <w:bCs w:val="0"/>
      <w:iCs w:val="0"/>
      <w:kern w:val="0"/>
      <w:sz w:val="24"/>
      <w:szCs w:val="24"/>
    </w:rPr>
  </w:style>
  <w:style w:type="character" w:styleId="10">
    <w:name w:val="Strong"/>
    <w:basedOn w:val="9"/>
    <w:qFormat/>
    <w:uiPriority w:val="22"/>
    <w:rPr>
      <w:b/>
      <w:bCs/>
    </w:rPr>
  </w:style>
  <w:style w:type="character" w:customStyle="1" w:styleId="11">
    <w:name w:val="批注框文本 Char"/>
    <w:basedOn w:val="9"/>
    <w:link w:val="4"/>
    <w:semiHidden/>
    <w:qFormat/>
    <w:uiPriority w:val="99"/>
    <w:rPr>
      <w:sz w:val="18"/>
      <w:szCs w:val="18"/>
    </w:rPr>
  </w:style>
  <w:style w:type="character" w:customStyle="1" w:styleId="12">
    <w:name w:val="页眉 Char"/>
    <w:basedOn w:val="9"/>
    <w:link w:val="6"/>
    <w:qFormat/>
    <w:uiPriority w:val="99"/>
    <w:rPr>
      <w:bCs/>
      <w:iCs/>
      <w:kern w:val="2"/>
      <w:sz w:val="18"/>
      <w:szCs w:val="18"/>
    </w:rPr>
  </w:style>
  <w:style w:type="character" w:customStyle="1" w:styleId="13">
    <w:name w:val="页脚 Char"/>
    <w:basedOn w:val="9"/>
    <w:link w:val="5"/>
    <w:qFormat/>
    <w:uiPriority w:val="99"/>
    <w:rPr>
      <w:bCs/>
      <w:iCs/>
      <w:kern w:val="2"/>
      <w:sz w:val="18"/>
      <w:szCs w:val="18"/>
    </w:rPr>
  </w:style>
  <w:style w:type="paragraph" w:customStyle="1" w:styleId="14">
    <w:name w:val="列出段落1"/>
    <w:basedOn w:val="1"/>
    <w:qFormat/>
    <w:uiPriority w:val="34"/>
    <w:pPr>
      <w:ind w:firstLine="420"/>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Company>
  <Pages>2</Pages>
  <Words>99</Words>
  <Characters>567</Characters>
  <Lines>4</Lines>
  <Paragraphs>1</Paragraphs>
  <TotalTime>14</TotalTime>
  <ScaleCrop>false</ScaleCrop>
  <LinksUpToDate>false</LinksUpToDate>
  <CharactersWithSpaces>665</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2016-12-16T17:02:00Z</dcterms:created>
  <dc:creator>黄伟</dc:creator>
  <cp:lastModifiedBy>uos</cp:lastModifiedBy>
  <cp:lastPrinted>2026-03-18T09:49:00Z</cp:lastPrinted>
  <dcterms:modified xsi:type="dcterms:W3CDTF">2026-09-17T09:58:27Z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4EEBB7FFAC324631B3C18E57502B5872_12</vt:lpwstr>
  </property>
</Properties>
</file>