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D50DF">
      <w:pPr>
        <w:spacing w:after="312" w:afterLines="100"/>
        <w:jc w:val="center"/>
        <w:rPr>
          <w:rFonts w:hint="eastAsia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朝阳区商品房销售情况</w:t>
      </w:r>
    </w:p>
    <w:tbl>
      <w:tblPr>
        <w:tblStyle w:val="2"/>
        <w:tblW w:w="8362" w:type="dxa"/>
        <w:tblInd w:w="25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417"/>
        <w:gridCol w:w="2127"/>
        <w:gridCol w:w="1841"/>
      </w:tblGrid>
      <w:tr w14:paraId="387566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977" w:type="dxa"/>
            <w:vAlign w:val="center"/>
          </w:tcPr>
          <w:p w14:paraId="76366D55"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项  目</w:t>
            </w:r>
          </w:p>
        </w:tc>
        <w:tc>
          <w:tcPr>
            <w:tcW w:w="1417" w:type="dxa"/>
            <w:vAlign w:val="center"/>
          </w:tcPr>
          <w:p w14:paraId="12DD80AE"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2127" w:type="dxa"/>
            <w:vAlign w:val="center"/>
          </w:tcPr>
          <w:p w14:paraId="1621E13F"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sz w:val="28"/>
                <w:szCs w:val="28"/>
                <w:lang w:eastAsia="zh-CN"/>
              </w:rPr>
              <w:t>年1-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841" w:type="dxa"/>
            <w:vAlign w:val="center"/>
          </w:tcPr>
          <w:p w14:paraId="5810703C"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同比增长(%)</w:t>
            </w:r>
          </w:p>
        </w:tc>
      </w:tr>
      <w:tr w14:paraId="132ECE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77" w:type="dxa"/>
            <w:vAlign w:val="center"/>
          </w:tcPr>
          <w:p w14:paraId="4666E211">
            <w:pPr>
              <w:spacing w:after="0" w:line="240" w:lineRule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房屋施工面积</w:t>
            </w:r>
          </w:p>
        </w:tc>
        <w:tc>
          <w:tcPr>
            <w:tcW w:w="1417" w:type="dxa"/>
            <w:vAlign w:val="center"/>
          </w:tcPr>
          <w:p w14:paraId="2DBACA1F"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万平方米</w:t>
            </w:r>
          </w:p>
        </w:tc>
        <w:tc>
          <w:tcPr>
            <w:tcW w:w="2127" w:type="dxa"/>
            <w:vAlign w:val="center"/>
          </w:tcPr>
          <w:p w14:paraId="28CE67F6">
            <w:pPr>
              <w:spacing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1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544.6</w:t>
            </w:r>
          </w:p>
        </w:tc>
        <w:tc>
          <w:tcPr>
            <w:tcW w:w="1841" w:type="dxa"/>
            <w:vAlign w:val="center"/>
          </w:tcPr>
          <w:p w14:paraId="1E089538">
            <w:pPr>
              <w:spacing w:after="0" w:line="24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-1.5</w:t>
            </w:r>
          </w:p>
        </w:tc>
      </w:tr>
      <w:tr w14:paraId="759CFC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77" w:type="dxa"/>
            <w:vAlign w:val="center"/>
          </w:tcPr>
          <w:p w14:paraId="62C7C566">
            <w:pPr>
              <w:spacing w:after="0" w:line="240" w:lineRule="auto"/>
              <w:ind w:firstLine="280" w:firstLineChars="10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#住宅</w:t>
            </w:r>
          </w:p>
        </w:tc>
        <w:tc>
          <w:tcPr>
            <w:tcW w:w="1417" w:type="dxa"/>
            <w:vAlign w:val="center"/>
          </w:tcPr>
          <w:p w14:paraId="046AEF68"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万平方米</w:t>
            </w:r>
          </w:p>
        </w:tc>
        <w:tc>
          <w:tcPr>
            <w:tcW w:w="2127" w:type="dxa"/>
            <w:vAlign w:val="center"/>
          </w:tcPr>
          <w:p w14:paraId="46D81463">
            <w:pPr>
              <w:spacing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771.8</w:t>
            </w:r>
          </w:p>
        </w:tc>
        <w:tc>
          <w:tcPr>
            <w:tcW w:w="1841" w:type="dxa"/>
            <w:vAlign w:val="center"/>
          </w:tcPr>
          <w:p w14:paraId="1900F415">
            <w:pPr>
              <w:spacing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0.3</w:t>
            </w:r>
          </w:p>
        </w:tc>
      </w:tr>
      <w:tr w14:paraId="46E0BA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77" w:type="dxa"/>
            <w:vAlign w:val="center"/>
          </w:tcPr>
          <w:p w14:paraId="607CD3BE">
            <w:pPr>
              <w:spacing w:after="0" w:line="240" w:lineRule="auto"/>
              <w:rPr>
                <w:rFonts w:hint="eastAsia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商品房销售面积</w:t>
            </w:r>
          </w:p>
        </w:tc>
        <w:tc>
          <w:tcPr>
            <w:tcW w:w="1417" w:type="dxa"/>
            <w:vAlign w:val="center"/>
          </w:tcPr>
          <w:p w14:paraId="05BA0AFE"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万平方米</w:t>
            </w:r>
          </w:p>
        </w:tc>
        <w:tc>
          <w:tcPr>
            <w:tcW w:w="2127" w:type="dxa"/>
            <w:vAlign w:val="center"/>
          </w:tcPr>
          <w:p w14:paraId="6841169F">
            <w:pPr>
              <w:spacing w:after="0" w:line="24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51.9</w:t>
            </w:r>
          </w:p>
        </w:tc>
        <w:tc>
          <w:tcPr>
            <w:tcW w:w="1841" w:type="dxa"/>
            <w:vAlign w:val="center"/>
          </w:tcPr>
          <w:p w14:paraId="14D39C64">
            <w:pPr>
              <w:spacing w:after="0" w:line="24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-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19.7</w:t>
            </w:r>
          </w:p>
        </w:tc>
      </w:tr>
      <w:tr w14:paraId="61547A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77" w:type="dxa"/>
            <w:vAlign w:val="center"/>
          </w:tcPr>
          <w:p w14:paraId="6A9D2562">
            <w:pPr>
              <w:spacing w:after="0" w:line="240" w:lineRule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 xml:space="preserve">  #住宅</w:t>
            </w:r>
          </w:p>
        </w:tc>
        <w:tc>
          <w:tcPr>
            <w:tcW w:w="1417" w:type="dxa"/>
            <w:vAlign w:val="center"/>
          </w:tcPr>
          <w:p w14:paraId="635EC5BD"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万平方米</w:t>
            </w:r>
          </w:p>
        </w:tc>
        <w:tc>
          <w:tcPr>
            <w:tcW w:w="2127" w:type="dxa"/>
            <w:vAlign w:val="center"/>
          </w:tcPr>
          <w:p w14:paraId="1DCDC6FA">
            <w:pPr>
              <w:spacing w:after="0" w:line="24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31.6</w:t>
            </w:r>
          </w:p>
        </w:tc>
        <w:tc>
          <w:tcPr>
            <w:tcW w:w="1841" w:type="dxa"/>
            <w:vAlign w:val="center"/>
          </w:tcPr>
          <w:p w14:paraId="133ECDA5">
            <w:pPr>
              <w:spacing w:after="0" w:line="24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21.7</w:t>
            </w:r>
            <w:bookmarkStart w:id="0" w:name="_GoBack"/>
            <w:bookmarkEnd w:id="0"/>
          </w:p>
        </w:tc>
      </w:tr>
    </w:tbl>
    <w:p w14:paraId="39500059">
      <w:pPr>
        <w:rPr>
          <w:rFonts w:hint="eastAsia"/>
          <w:lang w:eastAsia="zh-CN"/>
        </w:rPr>
      </w:pPr>
    </w:p>
    <w:p w14:paraId="4EB1C5F1">
      <w:pPr>
        <w:rPr>
          <w:rFonts w:hint="eastAsia"/>
          <w:lang w:eastAsia="zh-CN"/>
        </w:rPr>
      </w:pPr>
    </w:p>
    <w:p w14:paraId="0F249EAA">
      <w:pPr>
        <w:spacing w:after="0"/>
        <w:jc w:val="center"/>
        <w:rPr>
          <w:rFonts w:hint="eastAsia" w:ascii="宋体" w:hAnsi="宋体"/>
          <w:b/>
          <w:bCs/>
          <w:color w:val="000000"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商品房销售领域</w:t>
      </w:r>
      <w:r>
        <w:rPr>
          <w:rFonts w:hint="eastAsia" w:ascii="宋体" w:hAnsi="宋体"/>
          <w:b/>
          <w:bCs/>
          <w:color w:val="000000"/>
          <w:sz w:val="32"/>
          <w:szCs w:val="32"/>
          <w:lang w:eastAsia="zh-CN"/>
        </w:rPr>
        <w:t>统计范围、采集渠道和主要指标解释</w:t>
      </w:r>
    </w:p>
    <w:p w14:paraId="74AD6AFE">
      <w:pPr>
        <w:spacing w:before="156" w:beforeLines="50" w:after="0" w:line="480" w:lineRule="auto"/>
        <w:ind w:firstLine="562" w:firstLineChars="200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  <w:t>一、统计范围</w:t>
      </w:r>
    </w:p>
    <w:p w14:paraId="3B4F84F3">
      <w:pPr>
        <w:spacing w:after="0" w:line="480" w:lineRule="auto"/>
        <w:ind w:firstLine="570"/>
        <w:rPr>
          <w:rFonts w:hint="eastAsia" w:ascii="宋体" w:hAnsi="宋体"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有开发经营活动的房地产开发经营业法人单位。</w:t>
      </w:r>
    </w:p>
    <w:p w14:paraId="55C6CBCA">
      <w:pPr>
        <w:spacing w:after="0" w:line="480" w:lineRule="auto"/>
        <w:ind w:firstLine="570"/>
        <w:rPr>
          <w:rFonts w:hint="eastAsia" w:ascii="宋体" w:hAnsi="宋体"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  <w:t>二、采集渠道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br w:type="textWrapping"/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　　纳入统计范围的房地产开发企业按照《房地产开发统计报表制度》要求，通过统计云联网直报平台上报统计数据。</w:t>
      </w:r>
    </w:p>
    <w:p w14:paraId="085DA78D">
      <w:pPr>
        <w:spacing w:after="0" w:line="480" w:lineRule="auto"/>
        <w:ind w:firstLine="570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  <w:t>三、指标解释</w:t>
      </w:r>
    </w:p>
    <w:p w14:paraId="6BBDD9B9">
      <w:pPr>
        <w:spacing w:after="0" w:line="480" w:lineRule="auto"/>
        <w:ind w:firstLine="570"/>
        <w:rPr>
          <w:rFonts w:hint="eastAsia" w:ascii="宋体" w:hAnsi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28"/>
          <w:szCs w:val="28"/>
          <w:lang w:eastAsia="zh-CN"/>
        </w:rPr>
        <w:t>房屋施工面积：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指报告期内施工的全部房屋建筑面积。包括本期新开工的房屋建筑面积、上期跨入本期继续施工的房屋建筑面积、上期停缓建在本期恢复施工的房屋建筑面积、本期竣工的房屋建筑面积以及本期施工后又停缓建的房屋建筑面积。多层建筑应填各层建筑面积之和。</w:t>
      </w:r>
    </w:p>
    <w:p w14:paraId="3528F020">
      <w:r>
        <w:rPr>
          <w:rFonts w:hint="eastAsia" w:ascii="宋体" w:hAnsi="宋体"/>
          <w:b/>
          <w:color w:val="000000"/>
          <w:sz w:val="28"/>
          <w:szCs w:val="28"/>
          <w:lang w:eastAsia="zh-CN"/>
        </w:rPr>
        <w:t>商品房销售面积：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 xml:space="preserve">指报告期内出售商品房屋的合同总面积(即双方签署的正式买卖合同中所确定的建筑面积)。 </w:t>
      </w:r>
    </w:p>
    <w:p w14:paraId="44966E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863034"/>
    <w:rsid w:val="0D863034"/>
    <w:rsid w:val="1ED15F17"/>
    <w:rsid w:val="7D5B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="Times New Roman"/>
      <w:sz w:val="22"/>
      <w:szCs w:val="22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2026-06-17T14:53:00Z</dcterms:created>
  <dc:creator>lei</dc:creator>
  <cp:lastModifiedBy>uos</cp:lastModifiedBy>
  <dcterms:modified xsi:type="dcterms:W3CDTF">2026-08-19T09:06:11Z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3A9FED3316FD085E8301856A470F4A91_42</vt:lpwstr>
  </property>
</Properties>
</file>