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部门整体绩效评价报告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一、部门概况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（一）机构设置及职责工作任务情况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北京市朝阳区委望京街道工作委员会（简称望京街道党工委）是区委的派出机关，北京市朝阳区人民政府望京街道办事处（简称望京街道办事处）是区政府的派出机关。望京街道办事处设置下列内设机构：综合办公室、党群工作办公室、平安建设办公室（司法所、武装部）、城市管理办公室、社区建设办公室、民生保障办公室及纪工委（监察组）、综合行政执法队。下属3个事业单位，分别为：便民服务中心，加挂退役军人服务站牌子；市民活动中心，加挂党群活动中心牌子；市民诉求处置中心，加挂综治中心牌子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望京街道办事处主要职责：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1.贯彻执行法律、法规、规章和市、区政府的决定、命令，依法管理基层公共事务。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2.承担辖区市容环境卫生、绿化美化的管理工作，推进街巷长、河长制工作，组织、协调城市管理综合执法和环境秩序综合治理工作，推进城市精细化管理。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3.协助依法履行安全生产、消防安全、食品安全、环境保护、劳动保障、流动人口及出租房屋监督管理工作，承担辖区应急、防汛和防灾减灾工作。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4.参与制定并组织实施社区建设规划和公共服务设施规划，组织辖区单位、居民和志愿者队伍为社区发展服务。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5.负责社区居民委员会建设，指导社区居民委员会工作，培育、发展社区社会组织，指导、监督社区业主委员会。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6.推进居民自治，及时处理并向上级政府反映居民的意见和要求。动员社会力量参与社区治理，推动形成社区共治合力。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7.组织开展群众性文化、体育、科普活动，开展法治宣传和社会公德教育，推动社区公益事业发展。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8.组织开展公共服务，落实人力社保、民政、卫生健康、教育、住房保障、便民服务等政策，维护老年人、妇女、未成年人、残疾人等合法权益。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9.承办区政府交办的其他事项。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下属3个事业单位职能：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便民服务中心：承担政务服务、社会保障、住房保障、养老助残以及其他直接面向群众和驻区单位的综合便民服务工作。做好本辖区退役军人服务管理、权益保障、数据信息采集、优抚帮扶等相关事务性工作。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民活动中心：协调社会服务资源，为辖区居民提供文化、教育、体育等各种便民服务。组织社区开展各类党群文体活动，为辖区党群组织开展活动提供场地支持。承担辖区内基层党组织和群团组织日常事务性工作。协助开展区域化党建、流动党员教育管理、社会组织培育等事务性、辅助性工作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民诉求处置中心：负责街道网格化服务管理信息平台的日常值守、运行管理和监督工作。承担“12345”市政府非紧急救助服务热线及其他各类政府热线、网格化服务管理信息平台、群众来信来访、社区上报等各类事件的统一接收、按责转办、督办落实等工作。负责街道网格化服务管理信息平台的数据统计和案件分析。推进街道、社区各信息系统、基础数据等方面的深度融合，为街道决策提供数据基础。负责配合处置、应对应急突发事件。承担城市管理、综合治理等相关的事务性、辅助性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部门整体绩效目标设立情况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街道工委办事处的中心任务及实际情况，设立整体绩效目标:全面贯彻落实区委区政府工作部署，在上级部门的正确指导下，加强党建引领，积极完成各项职能工作。强化公共服务，着力改善民生；加强社会管理，维护社会稳定；细化环境建设，创造良好氛围，推进基层建设，促进社会和谐。设立的整体绩效目标与职责任务相匹配，目标合理。保障机关的正常运转和人员工资的正常发放，按时有序的开展各预算项目，提升地区环境卫生、综合治安管理、精神文明建设、生态文明建设、民生服务保障水平，提高地区居民群众对政府服务的满意度和对地区的幸福感、归属感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30333.837717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，基本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6220.715956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项目支出预算数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24113.121761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支出30305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050461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6220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715956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支出24084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334505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万元，其他支出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执行率为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99.9%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、整体绩效目标实现情况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（一）产出完成情况分析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设定的产出数量、产出质量、产出进度、产出成本绩效目标较为科学，工作目标、资金分配、管理和使用等方面落实情况较好， 均取得预期的绩效目标。                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（二）效果</w:t>
      </w:r>
      <w:r>
        <w:rPr>
          <w:rFonts w:ascii="楷体_GB2312" w:eastAsia="楷体_GB2312"/>
          <w:sz w:val="32"/>
          <w:szCs w:val="32"/>
        </w:rPr>
        <w:t>实现情况分析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设定的经济效益、社会效益、环境效益、可持续性影响、服务对象满意度绩效目标设定合理，能够如期完成，实现了预期效果，达到了服务对象满意。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析</w:t>
      </w:r>
    </w:p>
    <w:p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（一）财务管理</w:t>
      </w:r>
    </w:p>
    <w:p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管理制度健全性</w:t>
      </w:r>
    </w:p>
    <w:p>
      <w:pPr>
        <w:spacing w:line="600" w:lineRule="exact"/>
        <w:ind w:left="105" w:leftChars="50" w:firstLine="800" w:firstLineChars="2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财务管理制度健全、完善。</w:t>
      </w:r>
    </w:p>
    <w:p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和安全性</w:t>
      </w:r>
    </w:p>
    <w:p>
      <w:pPr>
        <w:spacing w:line="600" w:lineRule="exact"/>
        <w:ind w:firstLine="960" w:firstLineChars="3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严格执行各项资金使用的审批程序，严格控制成本，节约开支，资金使用合规安全。</w:t>
      </w:r>
    </w:p>
    <w:p>
      <w:pPr>
        <w:numPr>
          <w:ilvl w:val="0"/>
          <w:numId w:val="2"/>
        </w:num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基础信息完善性</w:t>
      </w:r>
    </w:p>
    <w:p>
      <w:pPr>
        <w:spacing w:line="600" w:lineRule="exact"/>
        <w:ind w:left="420" w:leftChars="200" w:firstLine="320" w:firstLineChars="1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会计基础信息完善，核算准确无误，内容真实，数字准确。</w:t>
      </w:r>
    </w:p>
    <w:p>
      <w:pPr>
        <w:numPr>
          <w:ilvl w:val="0"/>
          <w:numId w:val="3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资产管理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货币资金等流动资产，严格按照相关法律法规、规章制度管理，账务管理合规，账实相符；固定资产等非流动资产，使用合理，处置规范，从资产配置、使用到处置资产的全过程进行了有效管理。</w:t>
      </w:r>
    </w:p>
    <w:p>
      <w:pPr>
        <w:numPr>
          <w:ilvl w:val="0"/>
          <w:numId w:val="3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绩效</w:t>
      </w:r>
      <w:r>
        <w:rPr>
          <w:rFonts w:ascii="楷体_GB2312" w:eastAsia="楷体_GB2312"/>
          <w:sz w:val="32"/>
          <w:szCs w:val="32"/>
        </w:rPr>
        <w:t>管理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整体绩效管理中，由街道主要领导亲自抓，主管领导进行全盘的指导，财务部门负责联系各科室部门督促预算绩效目标的落实，保障绩效目标的高效完成。在年度内，在执行计划的过程中，定期检查实际进度是否按计划要求进行，出现偏差及时找出原因，采取必要的补救措施或调整修改，直至全年绩效指标的完成。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（四）结转结余率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年年末数28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787256万元，全年支出预算数30333.837717万元，结转结余率0.0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。（结转结余率=本年年末数/支出预算数总计*100%）</w:t>
      </w:r>
    </w:p>
    <w:p>
      <w:pPr>
        <w:numPr>
          <w:ilvl w:val="0"/>
          <w:numId w:val="4"/>
        </w:num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部门</w:t>
      </w:r>
      <w:r>
        <w:rPr>
          <w:rFonts w:ascii="楷体_GB2312" w:eastAsia="楷体_GB2312"/>
          <w:sz w:val="32"/>
          <w:szCs w:val="32"/>
        </w:rPr>
        <w:t>预决算差异率</w:t>
      </w:r>
    </w:p>
    <w:p>
      <w:pPr>
        <w:numPr>
          <w:ilvl w:val="0"/>
          <w:numId w:val="0"/>
        </w:numPr>
        <w:spacing w:line="600" w:lineRule="exact"/>
        <w:ind w:leftChars="200"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年决算支出数30333.837717万</w:t>
      </w:r>
      <w:r>
        <w:rPr>
          <w:rFonts w:ascii="仿宋_GB2312" w:hAnsi="宋体" w:eastAsia="仿宋_GB2312" w:cs="宋体"/>
          <w:kern w:val="0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，年初预算数19455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593501万元，部门预决算差异率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%。（预决算差异率=（决算数-年初预算数）/年初预算数*100%）</w:t>
      </w:r>
    </w:p>
    <w:p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五、总体</w:t>
      </w:r>
      <w:r>
        <w:rPr>
          <w:rFonts w:ascii="黑体" w:hAnsi="黑体" w:eastAsia="黑体"/>
          <w:sz w:val="32"/>
          <w:szCs w:val="32"/>
        </w:rPr>
        <w:t>评价结论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（一）评价</w:t>
      </w:r>
      <w:r>
        <w:rPr>
          <w:rFonts w:ascii="楷体_GB2312" w:eastAsia="楷体_GB2312"/>
          <w:sz w:val="32"/>
          <w:szCs w:val="32"/>
        </w:rPr>
        <w:t>得分</w:t>
      </w:r>
      <w:r>
        <w:rPr>
          <w:rFonts w:hint="eastAsia" w:ascii="楷体_GB2312" w:eastAsia="楷体_GB2312"/>
          <w:sz w:val="32"/>
          <w:szCs w:val="32"/>
        </w:rPr>
        <w:t>情况</w:t>
      </w:r>
    </w:p>
    <w:p>
      <w:p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年整体绩效目标以及实际情况，我街道认真履行职责，对202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年整体支出绩效评价开展自评，全年较好地完成了年初确定的各项工作任务，全年绩效评价总评分为100分。</w:t>
      </w:r>
    </w:p>
    <w:p>
      <w:pPr>
        <w:numPr>
          <w:ilvl w:val="0"/>
          <w:numId w:val="5"/>
        </w:numPr>
        <w:spacing w:line="600" w:lineRule="exact"/>
        <w:ind w:left="105" w:leftChars="50" w:firstLine="48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存在的问题及原因分析</w:t>
      </w:r>
    </w:p>
    <w:p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六、措施建议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办事处在绩效评价过程中，采取项目负责科室自评与财政科综合跟踪评价相结合方式。针对部分项目绩效目标未达预期或执行进度滞后，办事处采取多项措施推进预算执行进度，加强绩效跟踪评价工作。具体做法：</w:t>
      </w:r>
    </w:p>
    <w:p>
      <w:pPr>
        <w:numPr>
          <w:ilvl w:val="0"/>
          <w:numId w:val="6"/>
        </w:num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提高认识，加强领导，充分认识绩效跟踪评价的重要性和必要性。</w:t>
      </w:r>
    </w:p>
    <w:p>
      <w:pPr>
        <w:numPr>
          <w:ilvl w:val="0"/>
          <w:numId w:val="6"/>
        </w:num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大绩效跟踪工作推进力度。对于未达到预期绩效目标或者执行进度滞后的项目，及时通报，召开专题会议，提出整改措施。加强绩效跟踪评价工作的规范性和约束力，发挥绩效评价对财政资金的跟踪问效作用和决策信息反馈作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SansGB-W3-Identity-H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9 + ZHDC6V-36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 + ZIHG7e-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大标宋">
    <w:altName w:val="宋体"/>
    <w:panose1 w:val="02010609000101010101"/>
    <w:charset w:val="86"/>
    <w:family w:val="decorative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鑺ョ珶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ngti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é—å…¼äº½éŽæŠ½æ‚µé”Ÿï¿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zuoyeFont_math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等线">
    <w:altName w:val="华康Sc黑体W4-A(P)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TimesNewRoman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sta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sta">
    <w:altName w:val="SimSun-ExtB"/>
    <w:panose1 w:val="02000500000000000000"/>
    <w:charset w:val="00"/>
    <w:family w:val="auto"/>
    <w:pitch w:val="default"/>
    <w:sig w:usb0="00000000" w:usb1="00000000" w:usb2="00000037" w:usb3="00000000" w:csb0="6017019F" w:csb1="DFF7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蠕ｮ霓ｯ髮・ｻ・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T Extra">
    <w:altName w:val="Segoe Print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altName w:val="Segoe Print"/>
    <w:panose1 w:val="02070603080606020203"/>
    <w:charset w:val="00"/>
    <w:family w:val="modern"/>
    <w:pitch w:val="default"/>
    <w:sig w:usb0="00000000" w:usb1="00000000" w:usb2="00000000" w:usb3="00000000" w:csb0="20000001" w:csb1="00000000"/>
  </w:font>
  <w:font w:name="FZBSK--GBK1-0+16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654331327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DLF-3-36-1269437907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文尓广告中宋">
    <w:altName w:val="宋体"/>
    <w:panose1 w:val="020B0500000000000000"/>
    <w:charset w:val="80"/>
    <w:family w:val="auto"/>
    <w:pitch w:val="default"/>
    <w:sig w:usb0="00000000" w:usb1="00000000" w:usb2="00000010" w:usb3="00000000" w:csb0="00020000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仿宋-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中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花案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微影体">
    <w:altName w:val="Estrangelo Edessa"/>
    <w:panose1 w:val="03000509000000000000"/>
    <w:charset w:val="00"/>
    <w:family w:val="auto"/>
    <w:pitch w:val="default"/>
    <w:sig w:usb0="00000000" w:usb1="00000000" w:usb2="00000012" w:usb3="00000000" w:csb0="00000001" w:csb1="00000000"/>
  </w:font>
  <w:font w:name="叶根友分旗空2.0">
    <w:altName w:val="Estrangelo Edessa"/>
    <w:panose1 w:val="03000509000000000000"/>
    <w:charset w:val="00"/>
    <w:family w:val="auto"/>
    <w:pitch w:val="default"/>
    <w:sig w:usb0="00000000" w:usb1="00000000" w:usb2="00000012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全真古印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线体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金文体W3">
    <w:altName w:val="宋体"/>
    <w:panose1 w:val="030F0309000000000000"/>
    <w:charset w:val="86"/>
    <w:family w:val="auto"/>
    <w:pitch w:val="default"/>
    <w:sig w:usb0="00000000" w:usb1="00000000" w:usb2="00000012" w:usb3="00000000" w:csb0="00040000" w:csb1="00000000"/>
  </w:font>
  <w:font w:name="叶根友唐楷飞墨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破若墨极1.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福荣银钩2.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等曲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轻绘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静韵体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叶根友飘悦飞草2.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叶根友微黑简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Farrington-7B-Qiqi">
    <w:altName w:val="Vrinda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Tanuki Permanent Marker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TAnasubi01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ta_dansyak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Ohka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MQingHuaHK-X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MKaiHKS-SemiBold">
    <w:altName w:val="MingLiU"/>
    <w:panose1 w:val="00000700000000000000"/>
    <w:charset w:val="88"/>
    <w:family w:val="auto"/>
    <w:pitch w:val="default"/>
    <w:sig w:usb0="00000000" w:usb1="00000000" w:usb2="00000016" w:usb3="00000000" w:csb0="00120005" w:csb1="00000000"/>
  </w:font>
  <w:font w:name="MLiHKS-Bold">
    <w:altName w:val="MingLiU"/>
    <w:panose1 w:val="00000800000000000000"/>
    <w:charset w:val="88"/>
    <w:family w:val="auto"/>
    <w:pitch w:val="default"/>
    <w:sig w:usb0="00000000" w:usb1="00000000" w:usb2="00000016" w:usb3="00000000" w:csb0="00120005" w:csb1="00000000"/>
  </w:font>
  <w:font w:name="MLingWaiPHK-Light">
    <w:altName w:val="MingLiU"/>
    <w:panose1 w:val="00000400000000000000"/>
    <w:charset w:val="88"/>
    <w:family w:val="auto"/>
    <w:pitch w:val="default"/>
    <w:sig w:usb0="00000000" w:usb1="00000000" w:usb2="00000016" w:usb3="00000000" w:csb0="00120005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中國龍細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細圓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海報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角新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綜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叶根友微宋中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微黑中细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Latha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crosoft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ITC Officina Sans Book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黑体简体">
    <w:altName w:val="微软雅黑"/>
    <w:panose1 w:val="00000000000000000000"/>
    <w:charset w:val="50"/>
    <w:family w:val="auto"/>
    <w:pitch w:val="default"/>
    <w:sig w:usb0="00000000" w:usb1="00000000" w:usb2="0100040E" w:usb3="00000000" w:csb0="00040000" w:csb1="00000000"/>
  </w:font>
  <w:font w:name="方正细黑一简体">
    <w:altName w:val="微软雅黑"/>
    <w:panose1 w:val="00000000000000000000"/>
    <w:charset w:val="50"/>
    <w:family w:val="auto"/>
    <w:pitch w:val="default"/>
    <w:sig w:usb0="00000000" w:usb1="00000000" w:usb2="0100040E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ource Sans Pro">
    <w:altName w:val="Latha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FangSong_GB2312fal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Estrangelo Edessa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 UI Semibold">
    <w:altName w:val="Impact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 Light">
    <w:altName w:val="Latha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Yu Gothic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Yu Gothic UI Semilight">
    <w:altName w:val="Vrinda"/>
    <w:panose1 w:val="020B0400000000000000"/>
    <w:charset w:val="00"/>
    <w:family w:val="auto"/>
    <w:pitch w:val="default"/>
    <w:sig w:usb0="00000000" w:usb1="00000000" w:usb2="00000016" w:usb3="00000000" w:csb0="2002009F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华康Sc黑体W4-A(P)">
    <w:panose1 w:val="020B0500000000000000"/>
    <w:charset w:val="86"/>
    <w:family w:val="auto"/>
    <w:pitch w:val="default"/>
    <w:sig w:usb0="80000287" w:usb1="28477CF8" w:usb2="00000010" w:usb3="00000000" w:csb0="001E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CF438"/>
    <w:multiLevelType w:val="singleLevel"/>
    <w:tmpl w:val="65FCF438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5FCFB21"/>
    <w:multiLevelType w:val="singleLevel"/>
    <w:tmpl w:val="65FCFB21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5FCFB4C"/>
    <w:multiLevelType w:val="singleLevel"/>
    <w:tmpl w:val="65FCFB4C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65FD22A7"/>
    <w:multiLevelType w:val="singleLevel"/>
    <w:tmpl w:val="65FD22A7"/>
    <w:lvl w:ilvl="0" w:tentative="0">
      <w:start w:val="5"/>
      <w:numFmt w:val="chineseCounting"/>
      <w:suff w:val="nothing"/>
      <w:lvlText w:val="（%1）"/>
      <w:lvlJc w:val="left"/>
    </w:lvl>
  </w:abstractNum>
  <w:abstractNum w:abstractNumId="4">
    <w:nsid w:val="65FD2402"/>
    <w:multiLevelType w:val="singleLevel"/>
    <w:tmpl w:val="65FD2402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65FD245E"/>
    <w:multiLevelType w:val="singleLevel"/>
    <w:tmpl w:val="65FD245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F42C33"/>
    <w:rsid w:val="32472B8F"/>
    <w:rsid w:val="37A4078C"/>
    <w:rsid w:val="46613452"/>
    <w:rsid w:val="5B1D39DF"/>
    <w:rsid w:val="6E0E5CF7"/>
    <w:rsid w:val="6FB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jc w:val="left"/>
    </w:pPr>
    <w:rPr>
      <w:b/>
      <w:bCs/>
      <w:kern w:val="0"/>
      <w:sz w:val="24"/>
      <w:szCs w:val="21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525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Administrator</cp:lastModifiedBy>
  <cp:lastPrinted>2024-02-27T01:50:00Z</cp:lastPrinted>
  <dcterms:modified xsi:type="dcterms:W3CDTF">2024-08-19T03:36:11Z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