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6CC40">
      <w:pPr>
        <w:widowControl w:val="0"/>
        <w:ind w:firstLine="880"/>
        <w:jc w:val="both"/>
        <w:rPr>
          <w:rFonts w:hint="eastAsia" w:ascii="黑体" w:hAnsi="黑体" w:eastAsia="楷体_GB2312" w:cs="Times New Roman"/>
          <w:b/>
          <w:spacing w:val="-10"/>
          <w:kern w:val="2"/>
          <w:sz w:val="36"/>
          <w:szCs w:val="36"/>
          <w:lang w:val="en-US" w:eastAsia="zh-CN" w:bidi="ar-SA"/>
        </w:rPr>
      </w:pPr>
    </w:p>
    <w:p w14:paraId="7536D052">
      <w:pPr>
        <w:widowControl w:val="0"/>
        <w:ind w:left="0" w:leftChars="0" w:firstLine="0" w:firstLineChars="0"/>
        <w:jc w:val="both"/>
        <w:rPr>
          <w:rFonts w:hint="eastAsia" w:ascii="黑体" w:hAnsi="黑体" w:eastAsia="楷体_GB2312" w:cs="Times New Roman"/>
          <w:b/>
          <w:spacing w:val="-10"/>
          <w:kern w:val="2"/>
          <w:sz w:val="36"/>
          <w:szCs w:val="36"/>
          <w:lang w:val="en-US" w:eastAsia="zh-CN" w:bidi="ar-SA"/>
        </w:rPr>
      </w:pPr>
    </w:p>
    <w:p w14:paraId="421AA7D5">
      <w:pPr>
        <w:rPr>
          <w:rFonts w:ascii="Times New Roman" w:hAnsi="Times New Roman"/>
          <w:szCs w:val="24"/>
        </w:rPr>
      </w:pPr>
    </w:p>
    <w:p w14:paraId="18188E30">
      <w:pPr>
        <w:pBdr>
          <w:top w:val="none" w:color="auto" w:sz="0" w:space="1"/>
          <w:left w:val="none" w:color="auto" w:sz="0" w:space="4"/>
          <w:bottom w:val="none" w:color="auto" w:sz="0" w:space="1"/>
          <w:right w:val="none" w:color="auto" w:sz="0" w:space="4"/>
        </w:pBdr>
        <w:spacing w:after="0" w:line="640" w:lineRule="exact"/>
        <w:jc w:val="center"/>
        <w:rPr>
          <w:rFonts w:hint="eastAsia" w:ascii="Times New Roman" w:hAnsi="Times New Roman" w:eastAsia="方正小标宋简体"/>
          <w:sz w:val="48"/>
          <w:szCs w:val="48"/>
        </w:rPr>
      </w:pPr>
    </w:p>
    <w:p w14:paraId="43DD6525">
      <w:pPr>
        <w:pBdr>
          <w:top w:val="none" w:color="auto" w:sz="0" w:space="1"/>
          <w:left w:val="none" w:color="auto" w:sz="0" w:space="4"/>
          <w:bottom w:val="none" w:color="auto" w:sz="0" w:space="1"/>
          <w:right w:val="none" w:color="auto" w:sz="0" w:space="4"/>
        </w:pBdr>
        <w:spacing w:after="0" w:line="640" w:lineRule="exact"/>
        <w:jc w:val="center"/>
        <w:rPr>
          <w:rFonts w:hint="eastAsia" w:ascii="Times New Roman" w:hAnsi="Times New Roman" w:eastAsia="方正小标宋简体"/>
          <w:sz w:val="48"/>
          <w:szCs w:val="48"/>
        </w:rPr>
      </w:pPr>
    </w:p>
    <w:p w14:paraId="68703A53">
      <w:pPr>
        <w:pBdr>
          <w:top w:val="none" w:color="auto" w:sz="0" w:space="1"/>
          <w:left w:val="none" w:color="auto" w:sz="0" w:space="4"/>
          <w:bottom w:val="none" w:color="auto" w:sz="0" w:space="1"/>
          <w:right w:val="none" w:color="auto" w:sz="0" w:space="4"/>
        </w:pBdr>
        <w:spacing w:after="0" w:line="640" w:lineRule="exact"/>
        <w:jc w:val="center"/>
        <w:rPr>
          <w:rFonts w:hint="eastAsia" w:ascii="Times New Roman" w:hAnsi="Times New Roman" w:eastAsia="方正小标宋简体" w:cs="Times New Roman"/>
          <w:color w:val="000000"/>
          <w:spacing w:val="-6"/>
          <w:kern w:val="0"/>
          <w:sz w:val="48"/>
          <w:szCs w:val="48"/>
          <w:lang w:val="en-US" w:eastAsia="zh-CN" w:bidi="ar"/>
        </w:rPr>
      </w:pPr>
      <w:r>
        <w:rPr>
          <w:rFonts w:hint="eastAsia" w:ascii="Times New Roman" w:hAnsi="Times New Roman" w:eastAsia="方正小标宋简体"/>
          <w:sz w:val="48"/>
          <w:szCs w:val="48"/>
        </w:rPr>
        <w:t>北京市朝阳区</w:t>
      </w:r>
      <w:r>
        <w:rPr>
          <w:rFonts w:hint="eastAsia" w:ascii="Times New Roman" w:hAnsi="Times New Roman" w:eastAsia="方正小标宋简体" w:cs="Times New Roman"/>
          <w:color w:val="000000"/>
          <w:spacing w:val="-6"/>
          <w:kern w:val="0"/>
          <w:sz w:val="48"/>
          <w:szCs w:val="48"/>
          <w:lang w:val="en-US" w:eastAsia="zh-CN" w:bidi="ar"/>
        </w:rPr>
        <w:t>“十五五”时期文化产业及</w:t>
      </w:r>
    </w:p>
    <w:p w14:paraId="65AEE746">
      <w:pPr>
        <w:pBdr>
          <w:top w:val="none" w:color="auto" w:sz="0" w:space="1"/>
          <w:left w:val="none" w:color="auto" w:sz="0" w:space="4"/>
          <w:bottom w:val="none" w:color="auto" w:sz="0" w:space="1"/>
          <w:right w:val="none" w:color="auto" w:sz="0" w:space="4"/>
        </w:pBdr>
        <w:spacing w:after="0" w:line="640" w:lineRule="exact"/>
        <w:jc w:val="center"/>
        <w:rPr>
          <w:rFonts w:ascii="Times New Roman" w:hAnsi="Times New Roman" w:eastAsia="方正小标宋简体"/>
          <w:sz w:val="48"/>
          <w:szCs w:val="48"/>
        </w:rPr>
      </w:pPr>
      <w:r>
        <w:rPr>
          <w:rFonts w:hint="eastAsia" w:ascii="Times New Roman" w:hAnsi="Times New Roman" w:eastAsia="方正小标宋简体" w:cs="Times New Roman"/>
          <w:color w:val="000000"/>
          <w:spacing w:val="-6"/>
          <w:kern w:val="0"/>
          <w:sz w:val="48"/>
          <w:szCs w:val="48"/>
          <w:lang w:val="en-US" w:eastAsia="zh-CN" w:bidi="ar"/>
        </w:rPr>
        <w:t>国家文化产业创新实验区发展规划</w:t>
      </w:r>
    </w:p>
    <w:p w14:paraId="30EBAD22">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58DE2DA6">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75B9A699">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118E981F">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5F8AB6ED">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119B7603">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4A1DA933">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15F957AB">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spacing w:val="-10"/>
          <w:kern w:val="2"/>
          <w:sz w:val="36"/>
          <w:szCs w:val="36"/>
          <w:lang w:val="en-US" w:eastAsia="zh-CN" w:bidi="ar-SA"/>
        </w:rPr>
      </w:pPr>
    </w:p>
    <w:p w14:paraId="7EF7E7D1">
      <w:pPr>
        <w:pStyle w:val="2"/>
        <w:rPr>
          <w:rFonts w:ascii="Times New Roman" w:hAnsi="Times New Roman" w:eastAsia="楷体_GB2312" w:cs="Times New Roman"/>
          <w:spacing w:val="-10"/>
          <w:kern w:val="2"/>
          <w:sz w:val="36"/>
          <w:szCs w:val="36"/>
          <w:lang w:val="en-US" w:eastAsia="zh-CN" w:bidi="ar-SA"/>
        </w:rPr>
      </w:pPr>
    </w:p>
    <w:p w14:paraId="2C7F648F">
      <w:pPr>
        <w:rPr>
          <w:rFonts w:ascii="Times New Roman" w:hAnsi="Times New Roman" w:eastAsia="楷体_GB2312" w:cs="Times New Roman"/>
          <w:spacing w:val="-10"/>
          <w:kern w:val="2"/>
          <w:sz w:val="36"/>
          <w:szCs w:val="36"/>
          <w:lang w:val="en-US" w:eastAsia="zh-CN" w:bidi="ar-SA"/>
        </w:rPr>
      </w:pPr>
    </w:p>
    <w:p w14:paraId="16262727">
      <w:pPr>
        <w:keepNext w:val="0"/>
        <w:keepLines w:val="0"/>
        <w:pageBreakBefore w:val="0"/>
        <w:widowControl w:val="0"/>
        <w:kinsoku/>
        <w:wordWrap/>
        <w:overflowPunct/>
        <w:topLinePunct w:val="0"/>
        <w:autoSpaceDE w:val="0"/>
        <w:autoSpaceDN w:val="0"/>
        <w:bidi w:val="0"/>
        <w:adjustRightInd w:val="0"/>
        <w:spacing w:line="560" w:lineRule="exact"/>
        <w:jc w:val="center"/>
        <w:textAlignment w:val="auto"/>
        <w:outlineLvl w:val="0"/>
        <w:rPr>
          <w:rFonts w:hint="eastAsia" w:eastAsia="黑体"/>
          <w:sz w:val="30"/>
          <w:szCs w:val="30"/>
          <w:lang w:eastAsia="zh-CN"/>
        </w:rPr>
      </w:pPr>
      <w:r>
        <w:rPr>
          <w:rFonts w:hint="eastAsia" w:eastAsia="黑体"/>
          <w:sz w:val="30"/>
          <w:szCs w:val="30"/>
          <w:lang w:eastAsia="zh-CN"/>
        </w:rPr>
        <w:t>北京朝阳国家文化产业创新实验区管理委员会</w:t>
      </w:r>
    </w:p>
    <w:p w14:paraId="192C40A5">
      <w:pPr>
        <w:keepNext w:val="0"/>
        <w:keepLines w:val="0"/>
        <w:pageBreakBefore w:val="0"/>
        <w:widowControl w:val="0"/>
        <w:kinsoku/>
        <w:wordWrap/>
        <w:overflowPunct/>
        <w:topLinePunct w:val="0"/>
        <w:autoSpaceDE w:val="0"/>
        <w:autoSpaceDN w:val="0"/>
        <w:bidi w:val="0"/>
        <w:adjustRightInd w:val="0"/>
        <w:spacing w:line="560" w:lineRule="exact"/>
        <w:jc w:val="center"/>
        <w:textAlignment w:val="auto"/>
        <w:outlineLvl w:val="0"/>
        <w:rPr>
          <w:rFonts w:ascii="方正小标宋简体" w:hAnsi="方正小标宋简体" w:eastAsia="方正小标宋简体" w:cs="方正小标宋简体"/>
          <w:bCs/>
          <w:color w:val="000000"/>
          <w:sz w:val="32"/>
          <w:szCs w:val="32"/>
          <w:lang w:val="en-US" w:eastAsia="zh-CN" w:bidi="ar-SA"/>
        </w:rPr>
      </w:pPr>
      <w:r>
        <w:rPr>
          <w:rFonts w:hint="eastAsia" w:ascii="..ì." w:hAnsi="..ì." w:eastAsia="黑体" w:cs="..ì."/>
          <w:color w:val="000000"/>
          <w:sz w:val="36"/>
          <w:szCs w:val="36"/>
          <w:lang w:val="en-US" w:eastAsia="zh-CN" w:bidi="ar-SA"/>
        </w:rPr>
        <w:t>序  言</w:t>
      </w:r>
    </w:p>
    <w:p w14:paraId="696516DA">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Times New Roman" w:hAnsi="Times New Roman" w:eastAsia="仿宋_GB2312"/>
          <w:sz w:val="32"/>
          <w:szCs w:val="32"/>
        </w:rPr>
      </w:pPr>
    </w:p>
    <w:p w14:paraId="6D5CA2A0">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文化是一个国家、一个民族的</w:t>
      </w:r>
      <w:r>
        <w:rPr>
          <w:rFonts w:hint="eastAsia" w:ascii="Times New Roman" w:hAnsi="Times New Roman" w:eastAsia="仿宋_GB2312"/>
          <w:sz w:val="32"/>
          <w:szCs w:val="32"/>
        </w:rPr>
        <w:t>灵魂</w:t>
      </w:r>
      <w:r>
        <w:rPr>
          <w:rFonts w:ascii="Times New Roman" w:hAnsi="Times New Roman" w:eastAsia="仿宋_GB2312"/>
          <w:sz w:val="32"/>
          <w:szCs w:val="32"/>
        </w:rPr>
        <w:t>。文化兴则国运兴，文化强则民族强。</w:t>
      </w:r>
      <w:r>
        <w:rPr>
          <w:rFonts w:hint="eastAsia" w:ascii="Times New Roman" w:hAnsi="Times New Roman" w:eastAsia="仿宋_GB2312"/>
          <w:sz w:val="32"/>
          <w:szCs w:val="32"/>
        </w:rPr>
        <w:t>党的十八大以来，在以习近平同志为核心的党中央坚强领导下，在习近平文化思想指引下，坚持把文化建设摆在治国理政突出位置，作出一系列重大部署，形成新时代中国特色社会主义文化思想，推动文化建设在正本清源、守正创新中取得历史性成就，全社会文化自信显著增强，文化创造充满活力，文化事业和文化产业繁荣发展，人民群众精神文化生活更加丰富，文化强国建设迈出坚实步伐。</w:t>
      </w:r>
    </w:p>
    <w:p w14:paraId="162EC914">
      <w:pPr>
        <w:adjustRightInd w:val="0"/>
        <w:snapToGrid w:val="0"/>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文化产业作为文化建设的重要构成，是推动经济结构战略性调整、</w:t>
      </w:r>
      <w:r>
        <w:rPr>
          <w:rFonts w:hint="eastAsia" w:ascii="Times New Roman" w:hAnsi="Times New Roman" w:eastAsia="仿宋_GB2312"/>
          <w:sz w:val="32"/>
          <w:szCs w:val="32"/>
          <w:lang w:eastAsia="zh-CN"/>
        </w:rPr>
        <w:t>推动高质量发展</w:t>
      </w:r>
      <w:r>
        <w:rPr>
          <w:rFonts w:hint="eastAsia" w:ascii="Times New Roman" w:hAnsi="Times New Roman" w:eastAsia="仿宋_GB2312"/>
          <w:sz w:val="32"/>
          <w:szCs w:val="32"/>
        </w:rPr>
        <w:t>的重要支点，也是守护中华民族精神命脉、担负新时代文化使命、大力</w:t>
      </w:r>
      <w:r>
        <w:rPr>
          <w:rFonts w:hint="eastAsia" w:ascii="Times New Roman" w:hAnsi="Times New Roman" w:eastAsia="仿宋_GB2312"/>
          <w:sz w:val="32"/>
          <w:szCs w:val="32"/>
          <w:lang w:eastAsia="zh-CN"/>
        </w:rPr>
        <w:t>推进文化强国建设的</w:t>
      </w:r>
      <w:r>
        <w:rPr>
          <w:rFonts w:hint="eastAsia" w:ascii="Times New Roman" w:hAnsi="Times New Roman" w:eastAsia="仿宋_GB2312"/>
          <w:sz w:val="32"/>
          <w:szCs w:val="32"/>
        </w:rPr>
        <w:t>重要支撑</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十四五”以来，朝阳区紧扣国家关于文化建设的战略部署和首都全国文化中心建设的总体要求，坚持以改革创新促发展，以数智赋能提质效，以业态融合促消费，以品牌塑造优环境，深入推进文化产业和国家文化产业创新实验区高质量发展，取得显著成效。</w:t>
      </w:r>
    </w:p>
    <w:p w14:paraId="5ACA8CA7">
      <w:pPr>
        <w:widowControl/>
        <w:spacing w:line="560" w:lineRule="exact"/>
        <w:ind w:firstLine="640" w:firstLineChars="200"/>
        <w:rPr>
          <w:rFonts w:hint="eastAsia" w:ascii="Times New Roman" w:hAnsi="Times New Roman" w:eastAsia="仿宋_GB2312"/>
          <w:sz w:val="32"/>
          <w:szCs w:val="32"/>
        </w:rPr>
        <w:sectPr>
          <w:headerReference r:id="rId3" w:type="default"/>
          <w:footerReference r:id="rId4" w:type="default"/>
          <w:pgSz w:w="11906" w:h="16838"/>
          <w:pgMar w:top="2098" w:right="1474" w:bottom="1984" w:left="1587" w:header="851" w:footer="992" w:gutter="0"/>
          <w:pgNumType w:fmt="decimal"/>
          <w:cols w:space="0" w:num="1"/>
          <w:rtlGutter w:val="0"/>
          <w:docGrid w:type="lines" w:linePitch="312" w:charSpace="0"/>
        </w:sectPr>
      </w:pPr>
      <w:r>
        <w:rPr>
          <w:rFonts w:hint="eastAsia" w:ascii="仿宋_GB2312" w:hAnsi="宋体" w:eastAsia="仿宋_GB2312" w:cs="仿宋_GB2312"/>
          <w:color w:val="000000"/>
          <w:kern w:val="0"/>
          <w:sz w:val="32"/>
          <w:szCs w:val="32"/>
          <w:lang w:bidi="ar"/>
        </w:rPr>
        <w:t>“十五五”时期是</w:t>
      </w:r>
      <w:r>
        <w:rPr>
          <w:rFonts w:hint="eastAsia" w:ascii="仿宋_GB2312" w:hAnsi="宋体" w:eastAsia="仿宋_GB2312" w:cs="仿宋_GB2312"/>
          <w:color w:val="000000"/>
          <w:kern w:val="0"/>
          <w:sz w:val="32"/>
          <w:szCs w:val="32"/>
          <w:lang w:eastAsia="zh-CN" w:bidi="ar"/>
        </w:rPr>
        <w:t>基本实现社会主义现代化夯实基础、全力发力的关键时期，是北京率先基本实现社会主义现代化承前启后的关键五年，是朝阳建设具有国际影响力的中国式现代化强区的重要五年。</w:t>
      </w:r>
      <w:r>
        <w:rPr>
          <w:rFonts w:hint="eastAsia" w:ascii="Times New Roman" w:hAnsi="Times New Roman" w:eastAsia="仿宋_GB2312"/>
          <w:sz w:val="32"/>
          <w:szCs w:val="32"/>
        </w:rPr>
        <w:t>为深入学习贯彻习近平文化思想，落实市委对朝阳区提出的“四个走在前”“四个更加突出”的发展要求，聚焦朝阳</w:t>
      </w:r>
    </w:p>
    <w:p w14:paraId="23C1F76F">
      <w:pPr>
        <w:widowControl/>
        <w:spacing w:line="560" w:lineRule="exact"/>
        <w:rPr>
          <w:rFonts w:ascii="仿宋_GB2312" w:hAnsi="仿宋_GB2312" w:eastAsia="仿宋_GB2312" w:cs="仿宋_GB2312"/>
          <w:sz w:val="32"/>
          <w:szCs w:val="32"/>
        </w:rPr>
      </w:pPr>
      <w:r>
        <w:rPr>
          <w:rFonts w:hint="eastAsia" w:ascii="Times New Roman" w:hAnsi="Times New Roman" w:eastAsia="仿宋_GB2312"/>
          <w:sz w:val="32"/>
          <w:szCs w:val="32"/>
        </w:rPr>
        <w:t>区经济社会发展的战略部署，加速推动全区文化产业和国家文化产业创新实验区高质量发展，根据《国家文化和旅游部“十五五”文化产业发展规划》《北京市推进全国文化中心建设中长期规划（2019年-2035年）》《北京市文化产业发展引领区建设中长期规划（2019年-2035年）》</w:t>
      </w:r>
      <w:r>
        <w:rPr>
          <w:rFonts w:hint="eastAsia" w:ascii="Times New Roman" w:hAnsi="Times New Roman" w:eastAsia="仿宋_GB2312"/>
          <w:sz w:val="32"/>
          <w:szCs w:val="32"/>
          <w:highlight w:val="none"/>
        </w:rPr>
        <w:t>《北京市朝阳区国民经济和社会发展第十五个五年规划纲要》</w:t>
      </w:r>
      <w:r>
        <w:rPr>
          <w:rFonts w:hint="eastAsia" w:ascii="仿宋_GB2312" w:hAnsi="仿宋_GB2312" w:eastAsia="仿宋_GB2312" w:cs="仿宋_GB2312"/>
          <w:sz w:val="32"/>
          <w:szCs w:val="32"/>
        </w:rPr>
        <w:t>《朝阳区“十五五”时期</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全国文化中心建设</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 xml:space="preserve">规划》等文件，特制定本规划。 </w:t>
      </w:r>
    </w:p>
    <w:p w14:paraId="6DC169DA">
      <w:pPr>
        <w:widowControl/>
        <w:spacing w:line="560" w:lineRule="exact"/>
        <w:ind w:firstLine="640" w:firstLineChars="200"/>
        <w:rPr>
          <w:rFonts w:hint="eastAsia" w:eastAsia="仿宋_GB2312"/>
          <w:sz w:val="32"/>
          <w:szCs w:val="32"/>
        </w:rPr>
        <w:sectPr>
          <w:footerReference r:id="rId5" w:type="default"/>
          <w:pgSz w:w="11906" w:h="16838"/>
          <w:pgMar w:top="2098" w:right="1474" w:bottom="1984" w:left="1587" w:header="851" w:footer="992" w:gutter="0"/>
          <w:pgNumType w:fmt="decimal"/>
          <w:cols w:space="0" w:num="1"/>
          <w:rtlGutter w:val="0"/>
          <w:docGrid w:type="lines" w:linePitch="312" w:charSpace="0"/>
        </w:sectPr>
      </w:pPr>
      <w:r>
        <w:rPr>
          <w:rFonts w:hint="eastAsia" w:ascii="仿宋_GB2312" w:hAnsi="仿宋_GB2312" w:eastAsia="仿宋_GB2312" w:cs="仿宋_GB2312"/>
          <w:sz w:val="32"/>
          <w:szCs w:val="32"/>
        </w:rPr>
        <w:t>本规</w:t>
      </w:r>
      <w:r>
        <w:rPr>
          <w:rFonts w:hint="eastAsia" w:ascii="Times New Roman" w:hAnsi="Times New Roman" w:eastAsia="仿宋_GB2312"/>
          <w:sz w:val="32"/>
          <w:szCs w:val="32"/>
        </w:rPr>
        <w:t>划期为2026年至2030年。</w:t>
      </w:r>
    </w:p>
    <w:sdt>
      <w:sdtPr>
        <w:rPr>
          <w:rFonts w:hint="eastAsia" w:ascii="方正小标宋简体" w:hAnsi="方正小标宋简体" w:eastAsia="方正小标宋简体" w:cs="方正小标宋简体"/>
          <w:kern w:val="2"/>
          <w:sz w:val="36"/>
          <w:szCs w:val="36"/>
          <w:lang w:val="en-US" w:eastAsia="zh-CN" w:bidi="ar-SA"/>
        </w:rPr>
        <w:id w:val="147452373"/>
        <w15:color w:val="DBDBDB"/>
        <w:docPartObj>
          <w:docPartGallery w:val="Table of Contents"/>
          <w:docPartUnique/>
        </w:docPartObj>
      </w:sdtPr>
      <w:sdtEndPr>
        <w:rPr>
          <w:rFonts w:hint="eastAsia" w:ascii="方正小标宋简体" w:hAnsi="方正小标宋简体" w:eastAsia="方正小标宋简体" w:cs="方正小标宋简体"/>
          <w:kern w:val="2"/>
          <w:sz w:val="36"/>
          <w:szCs w:val="36"/>
          <w:lang w:val="en-US" w:eastAsia="zh-CN" w:bidi="ar-SA"/>
        </w:rPr>
      </w:sdtEndPr>
      <w:sdtContent>
        <w:p w14:paraId="5005EE04">
          <w:pPr>
            <w:keepNext w:val="0"/>
            <w:keepLines w:val="0"/>
            <w:pageBreakBefore w:val="0"/>
            <w:kinsoku/>
            <w:wordWrap/>
            <w:overflowPunct/>
            <w:topLinePunct w:val="0"/>
            <w:bidi w:val="0"/>
            <w:snapToGrid/>
            <w:spacing w:before="0" w:beforeLines="0" w:after="0" w:afterLines="0" w:line="560" w:lineRule="exact"/>
            <w:ind w:left="0" w:leftChars="0" w:right="0" w:rightChars="0" w:firstLine="0" w:firstLineChars="0"/>
            <w:jc w:val="center"/>
            <w:textAlignment w:val="auto"/>
            <w:rPr>
              <w:rFonts w:hint="eastAsia" w:ascii="Times New Roman" w:hAnsi="Times New Roman" w:eastAsia="方正小标宋简体" w:cs="Times New Roman"/>
              <w:color w:val="auto"/>
              <w:sz w:val="44"/>
              <w:szCs w:val="44"/>
              <w:lang w:val="zh-CN"/>
            </w:rPr>
          </w:pPr>
          <w:r>
            <w:rPr>
              <w:rFonts w:hint="eastAsia" w:ascii="Times New Roman" w:hAnsi="Times New Roman" w:eastAsia="方正小标宋简体" w:cs="Times New Roman"/>
              <w:color w:val="auto"/>
              <w:sz w:val="44"/>
              <w:szCs w:val="44"/>
              <w:lang w:val="zh-CN"/>
            </w:rPr>
            <w:t>目</w:t>
          </w:r>
          <w:r>
            <w:rPr>
              <w:rFonts w:hint="eastAsia" w:ascii="Times New Roman" w:hAnsi="Times New Roman" w:eastAsia="方正小标宋简体" w:cs="Times New Roman"/>
              <w:color w:val="auto"/>
              <w:sz w:val="44"/>
              <w:szCs w:val="44"/>
              <w:lang w:val="en-US" w:eastAsia="zh-CN"/>
            </w:rPr>
            <w:t xml:space="preserve"> </w:t>
          </w:r>
          <w:r>
            <w:rPr>
              <w:rFonts w:hint="eastAsia" w:ascii="Times New Roman" w:hAnsi="Times New Roman" w:eastAsia="方正小标宋简体" w:cs="Times New Roman"/>
              <w:color w:val="auto"/>
              <w:sz w:val="44"/>
              <w:szCs w:val="44"/>
              <w:lang w:val="zh-CN"/>
            </w:rPr>
            <w:t>录</w:t>
          </w:r>
        </w:p>
        <w:p w14:paraId="59124DD8">
          <w:pPr>
            <w:keepNext w:val="0"/>
            <w:keepLines w:val="0"/>
            <w:pageBreakBefore w:val="0"/>
            <w:kinsoku/>
            <w:wordWrap/>
            <w:overflowPunct/>
            <w:topLinePunct w:val="0"/>
            <w:bidi w:val="0"/>
            <w:snapToGrid/>
            <w:spacing w:before="0" w:beforeLines="0" w:after="0" w:afterLines="0" w:line="560" w:lineRule="exact"/>
            <w:ind w:left="0" w:leftChars="0" w:right="0" w:rightChars="0" w:firstLine="0" w:firstLineChars="0"/>
            <w:jc w:val="center"/>
            <w:textAlignment w:val="auto"/>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TOC \o "1-2" \h \u </w:instrText>
          </w:r>
          <w:r>
            <w:rPr>
              <w:rFonts w:ascii="Times New Roman" w:hAnsi="Times New Roman"/>
              <w:szCs w:val="24"/>
            </w:rPr>
            <w:fldChar w:fldCharType="separate"/>
          </w:r>
        </w:p>
        <w:p w14:paraId="482474EF">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_Toc3815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第一章 发展基础与形势</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_Toc3815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1</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55976859">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_Toc27055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第一节 发展基础</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_Toc27055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1</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3022BCED">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_Toc32595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发展形势</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_Toc32595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4</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560EF784">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_Toc13472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第二章 总体要求</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_Toc13472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6</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7E29C5E8">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_Toc14712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第一节 指导思想</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_Toc14712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6</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7B479490">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_Toc26212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发展原则</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_Toc26212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6</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575FB7D4">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_Toc28724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第三节 发展目标</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_Toc28724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7</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7BE802D0">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_Toc6201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第三章  构建链群驱动的现代文化产业体系</w:t>
          </w:r>
          <w:r>
            <w:rPr>
              <w:rFonts w:hint="default" w:ascii="Times New Roman" w:hAnsi="Times New Roman" w:eastAsia="宋体" w:cs="Times New Roman"/>
              <w:kern w:val="2"/>
              <w:sz w:val="32"/>
              <w:szCs w:val="32"/>
              <w:lang w:val="en-US" w:eastAsia="zh-CN" w:bidi="ar-SA"/>
            </w:rPr>
            <w:tab/>
          </w:r>
          <w:r>
            <w:rPr>
              <w:rFonts w:hint="eastAsia" w:ascii="Times New Roman" w:hAnsi="Times New Roman" w:cs="Times New Roman"/>
              <w:kern w:val="2"/>
              <w:sz w:val="32"/>
              <w:szCs w:val="32"/>
              <w:lang w:val="en-US" w:eastAsia="zh-CN" w:bidi="ar-SA"/>
            </w:rPr>
            <w:t>1</w:t>
          </w:r>
          <w:r>
            <w:rPr>
              <w:rFonts w:hint="default" w:ascii="Times New Roman" w:hAnsi="Times New Roman" w:eastAsia="宋体" w:cs="Times New Roman"/>
              <w:kern w:val="2"/>
              <w:sz w:val="32"/>
              <w:szCs w:val="32"/>
              <w:lang w:val="en-US" w:eastAsia="zh-CN" w:bidi="ar-SA"/>
            </w:rPr>
            <w:fldChar w:fldCharType="end"/>
          </w:r>
          <w:r>
            <w:rPr>
              <w:rFonts w:hint="eastAsia" w:ascii="Times New Roman" w:hAnsi="Times New Roman" w:cs="Times New Roman"/>
              <w:kern w:val="2"/>
              <w:sz w:val="32"/>
              <w:szCs w:val="32"/>
              <w:lang w:val="en-US" w:eastAsia="zh-CN" w:bidi="ar-SA"/>
            </w:rPr>
            <w:t>0</w:t>
          </w:r>
          <w:bookmarkStart w:id="105" w:name="_GoBack"/>
          <w:bookmarkEnd w:id="105"/>
        </w:p>
        <w:p w14:paraId="16E692FE">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_Toc10815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第一节 推进传统文化产业转型升级</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_Toc10815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10</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1D672C95">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_Toc1695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培育壮大新兴文化产业</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_Toc1695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475339F9">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_Toc26646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第三节 加快布局未来产业赛道</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_Toc26646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14</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0B56EE44">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_Toc5658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第四节 全力推动产业链群发展</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_Toc5658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15</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51B3019E">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_Toc12869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第四章 优化</w:t>
          </w:r>
          <w:r>
            <w:rPr>
              <w:rFonts w:hint="eastAsia" w:ascii="Times New Roman" w:hAnsi="Times New Roman" w:eastAsia="黑体" w:cs="Times New Roman"/>
              <w:bCs/>
              <w:kern w:val="2"/>
              <w:sz w:val="32"/>
              <w:szCs w:val="32"/>
              <w:lang w:val="en-US" w:eastAsia="zh-CN" w:bidi="ar-SA"/>
            </w:rPr>
            <w:t>“</w:t>
          </w:r>
          <w:r>
            <w:rPr>
              <w:rFonts w:hint="default" w:ascii="Times New Roman" w:hAnsi="Times New Roman" w:eastAsia="黑体" w:cs="Times New Roman"/>
              <w:bCs/>
              <w:kern w:val="2"/>
              <w:sz w:val="32"/>
              <w:szCs w:val="32"/>
              <w:lang w:val="en-US" w:eastAsia="zh-CN" w:bidi="ar-SA"/>
            </w:rPr>
            <w:t>两廊</w:t>
          </w:r>
          <w:r>
            <w:rPr>
              <w:rFonts w:hint="eastAsia" w:ascii="Times New Roman" w:hAnsi="Times New Roman" w:eastAsia="黑体" w:cs="Times New Roman"/>
              <w:bCs/>
              <w:kern w:val="2"/>
              <w:sz w:val="32"/>
              <w:szCs w:val="32"/>
              <w:lang w:val="en-US" w:eastAsia="zh-CN" w:bidi="ar-SA"/>
            </w:rPr>
            <w:t>四片区</w:t>
          </w:r>
          <w:r>
            <w:rPr>
              <w:rFonts w:hint="default" w:ascii="Times New Roman" w:hAnsi="Times New Roman" w:eastAsia="黑体" w:cs="Times New Roman"/>
              <w:bCs/>
              <w:kern w:val="2"/>
              <w:sz w:val="32"/>
              <w:szCs w:val="32"/>
              <w:lang w:val="en-US" w:eastAsia="zh-CN" w:bidi="ar-SA"/>
            </w:rPr>
            <w:t>百园</w:t>
          </w:r>
          <w:r>
            <w:rPr>
              <w:rFonts w:hint="eastAsia" w:ascii="Times New Roman" w:hAnsi="Times New Roman" w:eastAsia="黑体" w:cs="Times New Roman"/>
              <w:bCs/>
              <w:kern w:val="2"/>
              <w:sz w:val="32"/>
              <w:szCs w:val="32"/>
              <w:lang w:val="en-US" w:eastAsia="zh-CN" w:bidi="ar-SA"/>
            </w:rPr>
            <w:t>”</w:t>
          </w:r>
          <w:r>
            <w:rPr>
              <w:rFonts w:hint="default" w:ascii="Times New Roman" w:hAnsi="Times New Roman" w:eastAsia="黑体" w:cs="Times New Roman"/>
              <w:bCs/>
              <w:kern w:val="2"/>
              <w:sz w:val="32"/>
              <w:szCs w:val="32"/>
              <w:lang w:val="en-US" w:eastAsia="zh-CN" w:bidi="ar-SA"/>
            </w:rPr>
            <w:t>空间布局</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_Toc12869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17</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25DED2E7">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_Toc21202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 xml:space="preserve">第一节 </w:t>
          </w:r>
          <w:r>
            <w:rPr>
              <w:rFonts w:hint="default" w:ascii="Times New Roman" w:hAnsi="Times New Roman" w:eastAsia="楷体_GB2312" w:cs="Times New Roman"/>
              <w:bCs/>
              <w:spacing w:val="-20"/>
              <w:kern w:val="2"/>
              <w:sz w:val="32"/>
              <w:szCs w:val="32"/>
              <w:lang w:val="en-US" w:eastAsia="zh-CN" w:bidi="ar-SA"/>
            </w:rPr>
            <w:t>深化CBD</w:t>
          </w:r>
          <w:r>
            <w:rPr>
              <w:rFonts w:hint="default" w:ascii="Times New Roman" w:hAnsi="Times New Roman" w:eastAsia="宋体" w:cs="Times New Roman"/>
              <w:bCs/>
              <w:spacing w:val="-20"/>
              <w:kern w:val="2"/>
              <w:sz w:val="32"/>
              <w:szCs w:val="32"/>
              <w:lang w:val="en-US" w:eastAsia="zh-CN" w:bidi="ar-SA"/>
            </w:rPr>
            <w:t>－</w:t>
          </w:r>
          <w:r>
            <w:rPr>
              <w:rFonts w:hint="default" w:ascii="Times New Roman" w:hAnsi="Times New Roman" w:eastAsia="楷体_GB2312" w:cs="Times New Roman"/>
              <w:bCs/>
              <w:spacing w:val="-20"/>
              <w:kern w:val="2"/>
              <w:sz w:val="32"/>
              <w:szCs w:val="32"/>
              <w:lang w:val="en-US" w:eastAsia="zh-CN" w:bidi="ar-SA"/>
            </w:rPr>
            <w:t>定福庄国际文化传媒产业走廊建设</w:t>
          </w:r>
          <w:r>
            <w:rPr>
              <w:rFonts w:hint="default" w:ascii="Times New Roman" w:hAnsi="Times New Roman" w:eastAsia="楷体_GB2312" w:cs="Times New Roman"/>
              <w:bCs/>
              <w:spacing w:val="-20"/>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_Toc21202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17</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136AB4B7">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_Toc6896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构</w:t>
          </w:r>
          <w:r>
            <w:rPr>
              <w:rFonts w:hint="default" w:ascii="Times New Roman" w:hAnsi="Times New Roman" w:eastAsia="楷体_GB2312" w:cs="Times New Roman"/>
              <w:bCs/>
              <w:spacing w:val="-20"/>
              <w:kern w:val="2"/>
              <w:sz w:val="32"/>
              <w:szCs w:val="32"/>
              <w:lang w:val="en-US" w:eastAsia="zh-CN" w:bidi="ar-SA"/>
            </w:rPr>
            <w:t>筑大山子</w:t>
          </w:r>
          <w:r>
            <w:rPr>
              <w:rFonts w:hint="default" w:ascii="Times New Roman" w:hAnsi="Times New Roman" w:eastAsia="宋体" w:cs="Times New Roman"/>
              <w:bCs/>
              <w:spacing w:val="-20"/>
              <w:kern w:val="2"/>
              <w:sz w:val="32"/>
              <w:szCs w:val="32"/>
              <w:lang w:val="en-US" w:eastAsia="zh-CN" w:bidi="ar-SA"/>
            </w:rPr>
            <w:t>－</w:t>
          </w:r>
          <w:r>
            <w:rPr>
              <w:rFonts w:hint="default" w:ascii="Times New Roman" w:hAnsi="Times New Roman" w:eastAsia="楷体_GB2312" w:cs="Times New Roman"/>
              <w:bCs/>
              <w:spacing w:val="-20"/>
              <w:kern w:val="2"/>
              <w:sz w:val="32"/>
              <w:szCs w:val="32"/>
              <w:lang w:val="en-US" w:eastAsia="zh-CN" w:bidi="ar-SA"/>
            </w:rPr>
            <w:t>东坝AIGC文化科技创新走廊高地</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_Toc6896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18</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5A6B34B0">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_Toc27248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第三节 打造四大文化产业</w:t>
          </w:r>
          <w:r>
            <w:rPr>
              <w:rFonts w:hint="eastAsia" w:ascii="Times New Roman" w:hAnsi="Times New Roman" w:eastAsia="楷体_GB2312" w:cs="Times New Roman"/>
              <w:bCs/>
              <w:kern w:val="2"/>
              <w:sz w:val="32"/>
              <w:szCs w:val="32"/>
              <w:lang w:val="en-US" w:eastAsia="zh-CN" w:bidi="ar-SA"/>
            </w:rPr>
            <w:t>片区</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_Toc27248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18</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26AE6EE2">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_Toc21718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第四节 推动文化园区品牌化特色化发展</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_Toc21718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19</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36FEC557">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_Toc22951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第五章 深化国家文化产业创新实验区建设</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_Toc22951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21</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56D5E08B">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_Toc21271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第一节 深化部市区协同发展机制</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_Toc21271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04CF159B">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_Toc4942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纵深推进文化领域改革创新</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_Toc4942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450EC108">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_Toc16519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第三节 构建集成政策创新体系</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_Toc16519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22</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1AB9061A">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_Toc21745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第四节 建设全国性示范引领格局</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_Toc21745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23</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1256BDBA">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sz w:val="32"/>
              <w:szCs w:val="32"/>
            </w:rPr>
            <w:sectPr>
              <w:footerReference r:id="rId6" w:type="default"/>
              <w:pgSz w:w="11906" w:h="16838"/>
              <w:pgMar w:top="1417" w:right="1474" w:bottom="1417" w:left="1588" w:header="851" w:footer="992" w:gutter="0"/>
              <w:pgNumType w:fmt="decimal"/>
              <w:cols w:space="425" w:num="1"/>
              <w:docGrid w:type="lines" w:linePitch="312" w:charSpace="0"/>
            </w:sectPr>
          </w:pPr>
        </w:p>
        <w:p w14:paraId="40D6FC9E">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_Toc21087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第六章 实施文化产业十大能级跃升工程</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_Toc21087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24</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613F2C4B">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_Toc15684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第一节 数智文化创新工程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_Toc15684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24</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2E533AC0">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_Toc22904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文化数据开发利用工程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_Toc22904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24</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7BF58B42">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_Toc6882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第三节 IP创造与价值提升工程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_Toc6882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25</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50CC60A6">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_Toc20099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第四节 文化精品培育工程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_Toc20099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25</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5952A6F6">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_Toc24116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第五节 企业梯次化培育工程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_Toc24116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26</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705BF894">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_Toc14551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第六节 园区品质提升工程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_Toc14551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27</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43E49196">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_Toc3271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第七节 文化金融赋能工程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_Toc3271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27</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73C34B7D">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_Toc29281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第八节 菁英人才引育工程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_Toc29281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28</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1D8DCD41">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_Toc17829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第九节 文旅消费提振工程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_Toc17829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28</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24158E9A">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_Toc2639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第十节 文化企业出海工程</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_Toc2639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29</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4F3A01CF">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HYPERLINK \l _Toc24795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黑体" w:cs="Times New Roman"/>
              <w:bCs/>
              <w:kern w:val="2"/>
              <w:sz w:val="32"/>
              <w:szCs w:val="32"/>
              <w:lang w:val="en-US" w:eastAsia="zh-CN" w:bidi="ar-SA"/>
            </w:rPr>
            <w:t>第七章 保障措施</w:t>
          </w:r>
          <w:r>
            <w:rPr>
              <w:rFonts w:hint="default" w:ascii="Times New Roman" w:hAnsi="Times New Roman" w:eastAsia="宋体" w:cs="Times New Roman"/>
              <w:kern w:val="2"/>
              <w:sz w:val="32"/>
              <w:szCs w:val="32"/>
              <w:lang w:val="en-US" w:eastAsia="zh-CN" w:bidi="ar-SA"/>
            </w:rPr>
            <w:tab/>
          </w:r>
          <w:r>
            <w:rPr>
              <w:rFonts w:hint="default" w:ascii="Times New Roman" w:hAnsi="Times New Roman" w:eastAsia="宋体" w:cs="Times New Roman"/>
              <w:kern w:val="2"/>
              <w:sz w:val="32"/>
              <w:szCs w:val="32"/>
              <w:lang w:val="en-US" w:eastAsia="zh-CN" w:bidi="ar-SA"/>
            </w:rPr>
            <w:fldChar w:fldCharType="begin"/>
          </w:r>
          <w:r>
            <w:rPr>
              <w:rFonts w:hint="default" w:ascii="Times New Roman" w:hAnsi="Times New Roman" w:eastAsia="宋体" w:cs="Times New Roman"/>
              <w:kern w:val="2"/>
              <w:sz w:val="32"/>
              <w:szCs w:val="32"/>
              <w:lang w:val="en-US" w:eastAsia="zh-CN" w:bidi="ar-SA"/>
            </w:rPr>
            <w:instrText xml:space="preserve"> PAGEREF _Toc24795 \h </w:instrText>
          </w:r>
          <w:r>
            <w:rPr>
              <w:rFonts w:hint="default" w:ascii="Times New Roman" w:hAnsi="Times New Roman" w:eastAsia="宋体" w:cs="Times New Roman"/>
              <w:kern w:val="2"/>
              <w:sz w:val="32"/>
              <w:szCs w:val="32"/>
              <w:lang w:val="en-US" w:eastAsia="zh-CN" w:bidi="ar-SA"/>
            </w:rPr>
            <w:fldChar w:fldCharType="separate"/>
          </w:r>
          <w:r>
            <w:rPr>
              <w:rFonts w:hint="default" w:ascii="Times New Roman" w:hAnsi="Times New Roman" w:eastAsia="宋体" w:cs="Times New Roman"/>
              <w:kern w:val="2"/>
              <w:sz w:val="32"/>
              <w:szCs w:val="32"/>
              <w:lang w:val="en-US" w:eastAsia="zh-CN" w:bidi="ar-SA"/>
            </w:rPr>
            <w:t>31</w:t>
          </w:r>
          <w:r>
            <w:rPr>
              <w:rFonts w:hint="default" w:ascii="Times New Roman" w:hAnsi="Times New Roman" w:eastAsia="宋体" w:cs="Times New Roman"/>
              <w:kern w:val="2"/>
              <w:sz w:val="32"/>
              <w:szCs w:val="32"/>
              <w:lang w:val="en-US" w:eastAsia="zh-CN" w:bidi="ar-SA"/>
            </w:rPr>
            <w:fldChar w:fldCharType="end"/>
          </w:r>
          <w:r>
            <w:rPr>
              <w:rFonts w:hint="default" w:ascii="Times New Roman" w:hAnsi="Times New Roman" w:eastAsia="宋体" w:cs="Times New Roman"/>
              <w:kern w:val="2"/>
              <w:sz w:val="32"/>
              <w:szCs w:val="32"/>
              <w:lang w:val="en-US" w:eastAsia="zh-CN" w:bidi="ar-SA"/>
            </w:rPr>
            <w:fldChar w:fldCharType="end"/>
          </w:r>
        </w:p>
        <w:p w14:paraId="7B97B7CB">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_Toc4041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第一节 强化党建引领</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_Toc4041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31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44EE2C94">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_Toc19133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第二节 突出项目带动</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_Toc19133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31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6EF0AA37">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_Toc25691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第三节 优化营商环境</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_Toc25691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31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37322642">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hint="default" w:ascii="Times New Roman" w:hAnsi="Times New Roman" w:eastAsia="楷体_GB2312" w:cs="Times New Roman"/>
              <w:bCs/>
              <w:kern w:val="2"/>
              <w:sz w:val="32"/>
              <w:szCs w:val="32"/>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_Toc4867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第四节 加强督导落实</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_Toc4867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31</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73D75706">
          <w:pPr>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firstLine="1280" w:firstLineChars="400"/>
            <w:jc w:val="both"/>
            <w:textAlignment w:val="auto"/>
            <w:rPr>
              <w:rFonts w:ascii="Times New Roman" w:hAnsi="Times New Roman" w:eastAsia="宋体" w:cs="Times New Roman"/>
              <w:kern w:val="2"/>
              <w:sz w:val="28"/>
              <w:szCs w:val="28"/>
              <w:lang w:val="en-US" w:eastAsia="zh-CN" w:bidi="ar-SA"/>
            </w:rPr>
          </w:pP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HYPERLINK \l _Toc17333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第五节 扩大宣传推广</w:t>
          </w:r>
          <w:r>
            <w:rPr>
              <w:rFonts w:hint="default" w:ascii="Times New Roman" w:hAnsi="Times New Roman" w:eastAsia="楷体_GB2312" w:cs="Times New Roman"/>
              <w:bCs/>
              <w:kern w:val="2"/>
              <w:sz w:val="32"/>
              <w:szCs w:val="32"/>
              <w:lang w:val="en-US" w:eastAsia="zh-CN" w:bidi="ar-SA"/>
            </w:rPr>
            <w:tab/>
          </w:r>
          <w:r>
            <w:rPr>
              <w:rFonts w:hint="default" w:ascii="Times New Roman" w:hAnsi="Times New Roman" w:eastAsia="楷体_GB2312" w:cs="Times New Roman"/>
              <w:bCs/>
              <w:kern w:val="2"/>
              <w:sz w:val="32"/>
              <w:szCs w:val="32"/>
              <w:lang w:val="en-US" w:eastAsia="zh-CN" w:bidi="ar-SA"/>
            </w:rPr>
            <w:fldChar w:fldCharType="begin"/>
          </w:r>
          <w:r>
            <w:rPr>
              <w:rFonts w:hint="default" w:ascii="Times New Roman" w:hAnsi="Times New Roman" w:eastAsia="楷体_GB2312" w:cs="Times New Roman"/>
              <w:bCs/>
              <w:kern w:val="2"/>
              <w:sz w:val="32"/>
              <w:szCs w:val="32"/>
              <w:lang w:val="en-US" w:eastAsia="zh-CN" w:bidi="ar-SA"/>
            </w:rPr>
            <w:instrText xml:space="preserve"> PAGEREF _Toc17333 \h </w:instrText>
          </w:r>
          <w:r>
            <w:rPr>
              <w:rFonts w:hint="default" w:ascii="Times New Roman" w:hAnsi="Times New Roman" w:eastAsia="楷体_GB2312" w:cs="Times New Roman"/>
              <w:bCs/>
              <w:kern w:val="2"/>
              <w:sz w:val="32"/>
              <w:szCs w:val="32"/>
              <w:lang w:val="en-US" w:eastAsia="zh-CN" w:bidi="ar-SA"/>
            </w:rPr>
            <w:fldChar w:fldCharType="separate"/>
          </w:r>
          <w:r>
            <w:rPr>
              <w:rFonts w:hint="default" w:ascii="Times New Roman" w:hAnsi="Times New Roman" w:eastAsia="楷体_GB2312" w:cs="Times New Roman"/>
              <w:bCs/>
              <w:kern w:val="2"/>
              <w:sz w:val="32"/>
              <w:szCs w:val="32"/>
              <w:lang w:val="en-US" w:eastAsia="zh-CN" w:bidi="ar-SA"/>
            </w:rPr>
            <w:t>32</w:t>
          </w:r>
          <w:r>
            <w:rPr>
              <w:rFonts w:hint="default" w:ascii="Times New Roman" w:hAnsi="Times New Roman" w:eastAsia="楷体_GB2312" w:cs="Times New Roman"/>
              <w:bCs/>
              <w:kern w:val="2"/>
              <w:sz w:val="32"/>
              <w:szCs w:val="32"/>
              <w:lang w:val="en-US" w:eastAsia="zh-CN" w:bidi="ar-SA"/>
            </w:rPr>
            <w:fldChar w:fldCharType="end"/>
          </w:r>
          <w:r>
            <w:rPr>
              <w:rFonts w:hint="default" w:ascii="Times New Roman" w:hAnsi="Times New Roman" w:eastAsia="楷体_GB2312" w:cs="Times New Roman"/>
              <w:bCs/>
              <w:kern w:val="2"/>
              <w:sz w:val="32"/>
              <w:szCs w:val="32"/>
              <w:lang w:val="en-US" w:eastAsia="zh-CN" w:bidi="ar-SA"/>
            </w:rPr>
            <w:fldChar w:fldCharType="end"/>
          </w:r>
        </w:p>
        <w:p w14:paraId="013EA58B">
          <w:pPr>
            <w:keepNext w:val="0"/>
            <w:keepLines w:val="0"/>
            <w:pageBreakBefore w:val="0"/>
            <w:kinsoku/>
            <w:wordWrap/>
            <w:overflowPunct/>
            <w:topLinePunct w:val="0"/>
            <w:bidi w:val="0"/>
            <w:snapToGrid/>
            <w:spacing w:line="560" w:lineRule="exact"/>
            <w:textAlignment w:val="auto"/>
            <w:rPr>
              <w:rFonts w:ascii="Times New Roman" w:hAnsi="Times New Roman"/>
              <w:szCs w:val="24"/>
            </w:rPr>
          </w:pPr>
          <w:r>
            <w:rPr>
              <w:rFonts w:ascii="Times New Roman" w:hAnsi="Times New Roman"/>
              <w:szCs w:val="24"/>
            </w:rPr>
            <w:fldChar w:fldCharType="end"/>
          </w:r>
        </w:p>
      </w:sdtContent>
    </w:sdt>
    <w:p w14:paraId="7FE01D89">
      <w:pPr>
        <w:keepNext w:val="0"/>
        <w:keepLines w:val="0"/>
        <w:pageBreakBefore w:val="0"/>
        <w:kinsoku/>
        <w:wordWrap/>
        <w:overflowPunct/>
        <w:topLinePunct w:val="0"/>
        <w:bidi w:val="0"/>
        <w:snapToGrid/>
        <w:spacing w:line="560" w:lineRule="exact"/>
        <w:textAlignment w:val="auto"/>
        <w:rPr>
          <w:rFonts w:ascii="Times New Roman" w:hAnsi="Times New Roman"/>
          <w:szCs w:val="24"/>
        </w:rPr>
      </w:pPr>
    </w:p>
    <w:p w14:paraId="329319B8">
      <w:pPr>
        <w:keepNext w:val="0"/>
        <w:keepLines w:val="0"/>
        <w:pageBreakBefore w:val="0"/>
        <w:widowControl w:val="0"/>
        <w:kinsoku/>
        <w:wordWrap/>
        <w:overflowPunct/>
        <w:topLinePunct w:val="0"/>
        <w:autoSpaceDE w:val="0"/>
        <w:autoSpaceDN w:val="0"/>
        <w:bidi w:val="0"/>
        <w:adjustRightInd w:val="0"/>
        <w:snapToGrid/>
        <w:spacing w:after="156" w:afterLines="50" w:line="560" w:lineRule="exact"/>
        <w:jc w:val="center"/>
        <w:textAlignment w:val="auto"/>
        <w:outlineLvl w:val="0"/>
        <w:rPr>
          <w:rFonts w:hint="eastAsia" w:ascii="方正小标宋简体" w:hAnsi="方正小标宋简体" w:eastAsia="方正小标宋简体" w:cs="方正小标宋简体"/>
          <w:bCs/>
          <w:color w:val="000000"/>
          <w:sz w:val="32"/>
          <w:szCs w:val="32"/>
          <w:lang w:val="en-US" w:eastAsia="zh-CN" w:bidi="ar-SA"/>
        </w:rPr>
      </w:pPr>
      <w:bookmarkStart w:id="0" w:name="_Toc32441"/>
    </w:p>
    <w:p w14:paraId="3C0BB586">
      <w:pPr>
        <w:widowControl w:val="0"/>
        <w:autoSpaceDE w:val="0"/>
        <w:autoSpaceDN w:val="0"/>
        <w:adjustRightInd w:val="0"/>
        <w:spacing w:after="156" w:afterLines="50" w:line="560" w:lineRule="exact"/>
        <w:jc w:val="center"/>
        <w:outlineLvl w:val="0"/>
        <w:rPr>
          <w:rFonts w:hint="eastAsia" w:ascii="方正小标宋简体" w:hAnsi="方正小标宋简体" w:eastAsia="方正小标宋简体" w:cs="方正小标宋简体"/>
          <w:bCs/>
          <w:color w:val="000000"/>
          <w:sz w:val="32"/>
          <w:szCs w:val="32"/>
          <w:lang w:val="en-US" w:eastAsia="zh-CN" w:bidi="ar-SA"/>
        </w:rPr>
      </w:pPr>
    </w:p>
    <w:p w14:paraId="27F42D99">
      <w:pPr>
        <w:widowControl w:val="0"/>
        <w:autoSpaceDE w:val="0"/>
        <w:autoSpaceDN w:val="0"/>
        <w:adjustRightInd w:val="0"/>
        <w:spacing w:after="156" w:afterLines="50" w:line="560" w:lineRule="exact"/>
        <w:jc w:val="center"/>
        <w:outlineLvl w:val="0"/>
        <w:rPr>
          <w:rFonts w:hint="eastAsia" w:ascii="方正小标宋简体" w:hAnsi="方正小标宋简体" w:eastAsia="方正小标宋简体" w:cs="方正小标宋简体"/>
          <w:bCs/>
          <w:color w:val="000000"/>
          <w:sz w:val="32"/>
          <w:szCs w:val="32"/>
          <w:lang w:val="en-US" w:eastAsia="zh-CN" w:bidi="ar-SA"/>
        </w:rPr>
      </w:pPr>
    </w:p>
    <w:p w14:paraId="5B405584">
      <w:pPr>
        <w:widowControl w:val="0"/>
        <w:autoSpaceDE w:val="0"/>
        <w:autoSpaceDN w:val="0"/>
        <w:adjustRightInd w:val="0"/>
        <w:spacing w:after="156" w:afterLines="50" w:line="560" w:lineRule="exact"/>
        <w:jc w:val="both"/>
        <w:outlineLvl w:val="0"/>
        <w:rPr>
          <w:rFonts w:hint="eastAsia" w:ascii="方正小标宋简体" w:hAnsi="方正小标宋简体" w:eastAsia="方正小标宋简体" w:cs="方正小标宋简体"/>
          <w:bCs/>
          <w:color w:val="000000"/>
          <w:sz w:val="32"/>
          <w:szCs w:val="32"/>
          <w:lang w:val="en-US" w:eastAsia="zh-CN" w:bidi="ar-SA"/>
        </w:rPr>
      </w:pPr>
    </w:p>
    <w:p w14:paraId="1454113D">
      <w:pPr>
        <w:spacing w:after="156" w:afterLines="50" w:line="560" w:lineRule="exact"/>
        <w:jc w:val="center"/>
        <w:outlineLvl w:val="0"/>
        <w:rPr>
          <w:rFonts w:hint="eastAsia" w:ascii="方正小标宋简体" w:hAnsi="方正小标宋简体" w:eastAsia="方正小标宋简体" w:cs="方正小标宋简体"/>
          <w:bCs/>
          <w:sz w:val="32"/>
          <w:szCs w:val="32"/>
        </w:rPr>
        <w:sectPr>
          <w:footerReference r:id="rId7" w:type="default"/>
          <w:pgSz w:w="11906" w:h="16838"/>
          <w:pgMar w:top="1417" w:right="1474" w:bottom="1417" w:left="1588" w:header="851" w:footer="992" w:gutter="0"/>
          <w:pgNumType w:fmt="decimal"/>
          <w:cols w:space="425" w:num="1"/>
          <w:docGrid w:type="lines" w:linePitch="312" w:charSpace="0"/>
        </w:sectPr>
      </w:pPr>
    </w:p>
    <w:bookmarkEnd w:id="0"/>
    <w:p w14:paraId="2C4380E1">
      <w:pPr>
        <w:widowControl w:val="0"/>
        <w:numPr>
          <w:ilvl w:val="0"/>
          <w:numId w:val="1"/>
        </w:numPr>
        <w:autoSpaceDE w:val="0"/>
        <w:autoSpaceDN w:val="0"/>
        <w:adjustRightInd w:val="0"/>
        <w:spacing w:before="312" w:beforeLines="100" w:after="312" w:afterLines="100" w:line="560" w:lineRule="exact"/>
        <w:jc w:val="center"/>
        <w:outlineLvl w:val="0"/>
        <w:rPr>
          <w:rFonts w:ascii="方正小标宋简体" w:hAnsi="方正小标宋简体" w:eastAsia="方正小标宋简体" w:cs="方正小标宋简体"/>
          <w:bCs/>
          <w:color w:val="000000"/>
          <w:sz w:val="44"/>
          <w:szCs w:val="44"/>
          <w:lang w:val="en-US" w:eastAsia="zh-CN" w:bidi="ar-SA"/>
        </w:rPr>
      </w:pPr>
      <w:bookmarkStart w:id="1" w:name="_Toc3815"/>
      <w:r>
        <w:rPr>
          <w:rFonts w:hint="eastAsia" w:ascii="方正小标宋简体" w:hAnsi="方正小标宋简体" w:eastAsia="方正小标宋简体" w:cs="方正小标宋简体"/>
          <w:bCs/>
          <w:color w:val="000000"/>
          <w:sz w:val="36"/>
          <w:szCs w:val="36"/>
          <w:lang w:val="en-US" w:eastAsia="zh-CN" w:bidi="ar-SA"/>
        </w:rPr>
        <w:t>发展基础与形势</w:t>
      </w:r>
      <w:bookmarkEnd w:id="1"/>
    </w:p>
    <w:p w14:paraId="77E8F705">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rPr>
        <w:t>“十四五”以来，朝阳区文化产业规模和发展效能不断提升，数字文化新业态蓬勃发展，文商旅体消费活力不断释放，在北京和全国文化产业创新发展中的示范引领作用更加突出。随着我国经济高质量发展推进，文化建设提升至新战略高度，新技术推动文化产业加速变革重塑，朝阳区在培育文化新质生产力、推动高质量发展方面，面临新形势新挑战。</w:t>
      </w:r>
    </w:p>
    <w:p w14:paraId="454B3991">
      <w:pPr>
        <w:adjustRightInd w:val="0"/>
        <w:snapToGrid w:val="0"/>
        <w:spacing w:before="156" w:beforeLines="50" w:after="156" w:afterLines="50" w:line="560" w:lineRule="exact"/>
        <w:jc w:val="center"/>
        <w:outlineLvl w:val="1"/>
        <w:rPr>
          <w:rFonts w:ascii="楷体_GB2312" w:hAnsi="楷体_GB2312" w:eastAsia="楷体_GB2312" w:cs="楷体_GB2312"/>
          <w:b w:val="0"/>
          <w:bCs w:val="0"/>
          <w:sz w:val="32"/>
          <w:szCs w:val="32"/>
        </w:rPr>
      </w:pPr>
      <w:bookmarkStart w:id="2" w:name="_Toc27055"/>
      <w:r>
        <w:rPr>
          <w:rFonts w:hint="eastAsia" w:ascii="楷体_GB2312" w:hAnsi="楷体_GB2312" w:eastAsia="楷体_GB2312" w:cs="楷体_GB2312"/>
          <w:b w:val="0"/>
          <w:bCs w:val="0"/>
          <w:sz w:val="32"/>
          <w:szCs w:val="32"/>
        </w:rPr>
        <w:t>第一节 发展基础</w:t>
      </w:r>
      <w:bookmarkEnd w:id="2"/>
    </w:p>
    <w:p w14:paraId="0E847CC1">
      <w:pPr>
        <w:widowControl w:val="0"/>
        <w:spacing w:line="560" w:lineRule="exact"/>
        <w:ind w:firstLine="643" w:firstLineChars="200"/>
        <w:jc w:val="both"/>
        <w:rPr>
          <w:rFonts w:hint="default" w:ascii="Times New Roman" w:hAnsi="Times New Roman" w:eastAsia="仿宋_GB2312" w:cs="Times New Roman"/>
          <w:kern w:val="0"/>
          <w:sz w:val="32"/>
          <w:szCs w:val="32"/>
          <w:lang w:val="en-US" w:eastAsia="zh-CN" w:bidi="ar-SA"/>
        </w:rPr>
      </w:pPr>
      <w:bookmarkStart w:id="3" w:name="_Toc1889792814"/>
      <w:bookmarkStart w:id="4" w:name="_Toc206064166"/>
      <w:bookmarkStart w:id="5" w:name="_Toc182281078"/>
      <w:bookmarkStart w:id="6" w:name="_Toc206077034"/>
      <w:r>
        <w:rPr>
          <w:rFonts w:hint="eastAsia" w:ascii="仿宋_GB2312" w:hAnsi="仿宋_GB2312" w:eastAsia="仿宋_GB2312" w:cs="仿宋_GB2312"/>
          <w:b/>
          <w:bCs/>
          <w:kern w:val="0"/>
          <w:sz w:val="32"/>
          <w:szCs w:val="32"/>
          <w:lang w:val="en-US" w:eastAsia="zh-CN" w:bidi="ar-SA"/>
        </w:rPr>
        <w:t>文化产业发展质效实现新提升</w:t>
      </w:r>
      <w:bookmarkEnd w:id="3"/>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“十四五”期间，朝阳区</w:t>
      </w:r>
      <w:r>
        <w:rPr>
          <w:rFonts w:ascii="仿宋_GB2312" w:hAnsi="Times New Roman" w:eastAsia="仿宋_GB2312" w:cs="Times New Roman"/>
          <w:kern w:val="0"/>
          <w:sz w:val="32"/>
          <w:szCs w:val="32"/>
          <w:lang w:val="en-US" w:eastAsia="zh-CN" w:bidi="ar-SA"/>
        </w:rPr>
        <w:t>不断健全完善文化经济政策，持续优化营商环境，文化产业规模不断巩固壮大，产业结构持续优化</w:t>
      </w:r>
      <w:r>
        <w:rPr>
          <w:rFonts w:hint="eastAsia" w:ascii="仿宋_GB2312" w:hAnsi="Times New Roman" w:eastAsia="仿宋_GB2312" w:cs="Times New Roman"/>
          <w:kern w:val="0"/>
          <w:sz w:val="32"/>
          <w:szCs w:val="32"/>
          <w:lang w:val="en-US" w:eastAsia="zh-CN" w:bidi="ar-SA"/>
        </w:rPr>
        <w:t>，发展质效显著提升</w:t>
      </w:r>
      <w:r>
        <w:rPr>
          <w:rFonts w:ascii="仿宋_GB2312" w:hAnsi="Times New Roman" w:eastAsia="仿宋_GB2312" w:cs="Times New Roman"/>
          <w:kern w:val="0"/>
          <w:sz w:val="32"/>
          <w:szCs w:val="32"/>
          <w:lang w:val="en-US" w:eastAsia="zh-CN" w:bidi="ar-SA"/>
        </w:rPr>
        <w:t>。截</w:t>
      </w:r>
      <w:r>
        <w:rPr>
          <w:rFonts w:hint="default" w:ascii="Times New Roman" w:hAnsi="Times New Roman" w:eastAsia="仿宋_GB2312" w:cs="Times New Roman"/>
          <w:kern w:val="0"/>
          <w:sz w:val="32"/>
          <w:szCs w:val="32"/>
          <w:lang w:val="en-US" w:eastAsia="zh-CN" w:bidi="ar-SA"/>
        </w:rPr>
        <w:t>至202</w:t>
      </w:r>
      <w:r>
        <w:rPr>
          <w:rFonts w:hint="eastAsia" w:ascii="Times New Roman" w:hAnsi="Times New Roman" w:eastAsia="仿宋_GB2312" w:cs="Times New Roman"/>
          <w:kern w:val="0"/>
          <w:sz w:val="32"/>
          <w:szCs w:val="32"/>
          <w:lang w:val="en-US" w:eastAsia="zh-CN" w:bidi="ar-SA"/>
        </w:rPr>
        <w:t>5</w:t>
      </w:r>
      <w:r>
        <w:rPr>
          <w:rFonts w:hint="default" w:ascii="Times New Roman" w:hAnsi="Times New Roman" w:eastAsia="仿宋_GB2312" w:cs="Times New Roman"/>
          <w:kern w:val="0"/>
          <w:sz w:val="32"/>
          <w:szCs w:val="32"/>
          <w:lang w:val="en-US" w:eastAsia="zh-CN" w:bidi="ar-SA"/>
        </w:rPr>
        <w:t>年底，全区登记注册文化企业近10万家，规上文化企业达到</w:t>
      </w:r>
      <w:r>
        <w:rPr>
          <w:rFonts w:hint="eastAsia" w:ascii="Times New Roman" w:hAnsi="Times New Roman" w:eastAsia="仿宋_GB2312" w:cs="Times New Roman"/>
          <w:kern w:val="0"/>
          <w:sz w:val="32"/>
          <w:szCs w:val="32"/>
          <w:lang w:val="en-US" w:eastAsia="zh-CN" w:bidi="ar-SA"/>
        </w:rPr>
        <w:t>2920</w:t>
      </w:r>
      <w:r>
        <w:rPr>
          <w:rFonts w:hint="default" w:ascii="Times New Roman" w:hAnsi="Times New Roman" w:eastAsia="仿宋_GB2312" w:cs="Times New Roman"/>
          <w:kern w:val="0"/>
          <w:sz w:val="32"/>
          <w:szCs w:val="32"/>
          <w:lang w:val="en-US" w:eastAsia="zh-CN" w:bidi="ar-SA"/>
        </w:rPr>
        <w:t>家，分别</w:t>
      </w:r>
      <w:r>
        <w:rPr>
          <w:rFonts w:hint="eastAsia" w:ascii="仿宋_GB2312" w:hAnsi="仿宋_GB2312" w:eastAsia="仿宋_GB2312" w:cs="仿宋_GB2312"/>
          <w:kern w:val="0"/>
          <w:sz w:val="32"/>
          <w:szCs w:val="32"/>
          <w:lang w:val="en-US" w:eastAsia="zh-CN" w:bidi="ar-SA"/>
        </w:rPr>
        <w:t>较“十三五”末增</w:t>
      </w:r>
      <w:r>
        <w:rPr>
          <w:rFonts w:hint="default" w:ascii="Times New Roman" w:hAnsi="Times New Roman" w:eastAsia="仿宋_GB2312" w:cs="Times New Roman"/>
          <w:kern w:val="0"/>
          <w:sz w:val="32"/>
          <w:szCs w:val="32"/>
          <w:lang w:val="en-US" w:eastAsia="zh-CN" w:bidi="ar-SA"/>
        </w:rPr>
        <w:t>加了1万余家和</w:t>
      </w:r>
      <w:r>
        <w:rPr>
          <w:rFonts w:hint="eastAsia" w:ascii="Times New Roman" w:hAnsi="Times New Roman" w:eastAsia="仿宋_GB2312" w:cs="Times New Roman"/>
          <w:kern w:val="0"/>
          <w:sz w:val="32"/>
          <w:szCs w:val="32"/>
          <w:lang w:val="en-US" w:eastAsia="zh-CN" w:bidi="ar-SA"/>
        </w:rPr>
        <w:t>951</w:t>
      </w:r>
      <w:r>
        <w:rPr>
          <w:rFonts w:hint="default" w:ascii="Times New Roman" w:hAnsi="Times New Roman" w:eastAsia="仿宋_GB2312" w:cs="Times New Roman"/>
          <w:kern w:val="0"/>
          <w:sz w:val="32"/>
          <w:szCs w:val="32"/>
          <w:lang w:val="en-US" w:eastAsia="zh-CN" w:bidi="ar-SA"/>
        </w:rPr>
        <w:t>家，占比均超全市四成</w:t>
      </w:r>
      <w:r>
        <w:rPr>
          <w:rFonts w:hint="eastAsia" w:ascii="Times New Roman" w:hAnsi="Times New Roman" w:eastAsia="仿宋_GB2312" w:cs="Times New Roman"/>
          <w:kern w:val="0"/>
          <w:sz w:val="32"/>
          <w:szCs w:val="32"/>
          <w:lang w:val="en-US" w:eastAsia="zh-CN" w:bidi="ar-SA"/>
        </w:rPr>
        <w:t>；2025年规模以上文化企业</w:t>
      </w:r>
      <w:r>
        <w:rPr>
          <w:rFonts w:hint="default" w:ascii="Times New Roman" w:hAnsi="Times New Roman" w:eastAsia="仿宋_GB2312" w:cs="Times New Roman"/>
          <w:kern w:val="0"/>
          <w:sz w:val="32"/>
          <w:szCs w:val="32"/>
          <w:lang w:val="en-US" w:eastAsia="zh-CN" w:bidi="ar-SA"/>
        </w:rPr>
        <w:t>实现</w:t>
      </w:r>
      <w:r>
        <w:rPr>
          <w:rFonts w:hint="eastAsia" w:ascii="Times New Roman" w:hAnsi="Times New Roman" w:eastAsia="仿宋_GB2312" w:cs="Times New Roman"/>
          <w:kern w:val="0"/>
          <w:sz w:val="32"/>
          <w:szCs w:val="32"/>
          <w:lang w:val="en-US" w:eastAsia="zh-CN" w:bidi="ar-SA"/>
        </w:rPr>
        <w:t>营收超4000</w:t>
      </w:r>
      <w:r>
        <w:rPr>
          <w:rFonts w:hint="default" w:ascii="Times New Roman" w:hAnsi="Times New Roman" w:eastAsia="仿宋_GB2312" w:cs="Times New Roman"/>
          <w:kern w:val="0"/>
          <w:sz w:val="32"/>
          <w:szCs w:val="32"/>
          <w:lang w:val="en-US" w:eastAsia="zh-CN" w:bidi="ar-SA"/>
        </w:rPr>
        <w:t>亿元，占全市的15%，占全国的2.4%。</w:t>
      </w:r>
      <w:r>
        <w:rPr>
          <w:rFonts w:hint="eastAsia" w:ascii="仿宋_GB2312" w:hAnsi="Times New Roman" w:eastAsia="仿宋_GB2312" w:cs="Times New Roman"/>
          <w:kern w:val="0"/>
          <w:sz w:val="32"/>
          <w:szCs w:val="32"/>
          <w:lang w:val="en-US" w:eastAsia="zh-CN" w:bidi="ar-SA"/>
        </w:rPr>
        <w:t>以培育“链主”企业为牵引，</w:t>
      </w:r>
      <w:r>
        <w:rPr>
          <w:rFonts w:ascii="仿宋_GB2312" w:hAnsi="Times New Roman" w:eastAsia="仿宋_GB2312" w:cs="Times New Roman"/>
          <w:kern w:val="0"/>
          <w:sz w:val="32"/>
          <w:szCs w:val="32"/>
          <w:lang w:val="en-US" w:eastAsia="zh-CN" w:bidi="ar-SA"/>
        </w:rPr>
        <w:t>认定</w:t>
      </w:r>
      <w:r>
        <w:rPr>
          <w:rFonts w:ascii="Times New Roman" w:hAnsi="Times New Roman" w:eastAsia="仿宋_GB2312" w:cs="Times New Roman"/>
          <w:kern w:val="0"/>
          <w:sz w:val="32"/>
          <w:szCs w:val="32"/>
          <w:lang w:val="en-US" w:eastAsia="zh-CN" w:bidi="ar-SA"/>
        </w:rPr>
        <w:t>5</w:t>
      </w:r>
      <w:r>
        <w:rPr>
          <w:rFonts w:ascii="仿宋_GB2312" w:hAnsi="Times New Roman" w:eastAsia="仿宋_GB2312" w:cs="Times New Roman"/>
          <w:kern w:val="0"/>
          <w:sz w:val="32"/>
          <w:szCs w:val="32"/>
          <w:lang w:val="en-US" w:eastAsia="zh-CN" w:bidi="ar-SA"/>
        </w:rPr>
        <w:t>家</w:t>
      </w:r>
      <w:r>
        <w:rPr>
          <w:rFonts w:hint="eastAsia" w:ascii="仿宋_GB2312" w:hAnsi="仿宋_GB2312" w:eastAsia="仿宋_GB2312" w:cs="仿宋_GB2312"/>
          <w:kern w:val="0"/>
          <w:sz w:val="32"/>
          <w:szCs w:val="32"/>
          <w:lang w:val="en-US" w:eastAsia="zh-CN" w:bidi="ar-SA"/>
        </w:rPr>
        <w:t>“领航企业”</w:t>
      </w:r>
      <w:r>
        <w:rPr>
          <w:rFonts w:ascii="仿宋_GB2312" w:hAnsi="Times New Roman" w:eastAsia="仿宋_GB2312" w:cs="Times New Roman"/>
          <w:kern w:val="0"/>
          <w:sz w:val="32"/>
          <w:szCs w:val="32"/>
          <w:lang w:val="en-US" w:eastAsia="zh-CN" w:bidi="ar-SA"/>
        </w:rPr>
        <w:t>、</w:t>
      </w:r>
      <w:r>
        <w:rPr>
          <w:rFonts w:ascii="Times New Roman" w:hAnsi="Times New Roman" w:eastAsia="仿宋_GB2312" w:cs="Times New Roman"/>
          <w:kern w:val="0"/>
          <w:sz w:val="32"/>
          <w:szCs w:val="32"/>
          <w:lang w:val="en-US" w:eastAsia="zh-CN" w:bidi="ar-SA"/>
        </w:rPr>
        <w:t>16家</w:t>
      </w:r>
      <w:r>
        <w:rPr>
          <w:rFonts w:hint="eastAsia" w:ascii="仿宋_GB2312" w:hAnsi="仿宋_GB2312" w:eastAsia="仿宋_GB2312" w:cs="仿宋_GB2312"/>
          <w:kern w:val="0"/>
          <w:sz w:val="32"/>
          <w:szCs w:val="32"/>
          <w:lang w:val="en-US" w:eastAsia="zh-CN" w:bidi="ar-SA"/>
        </w:rPr>
        <w:t>“领鹰企业”、</w:t>
      </w:r>
      <w:r>
        <w:rPr>
          <w:rFonts w:ascii="Times New Roman" w:hAnsi="Times New Roman" w:eastAsia="仿宋_GB2312" w:cs="Times New Roman"/>
          <w:kern w:val="0"/>
          <w:sz w:val="32"/>
          <w:szCs w:val="32"/>
          <w:lang w:val="en-US" w:eastAsia="zh-CN" w:bidi="ar-SA"/>
        </w:rPr>
        <w:t>1000</w:t>
      </w:r>
      <w:r>
        <w:rPr>
          <w:rFonts w:ascii="仿宋_GB2312" w:hAnsi="Times New Roman" w:eastAsia="仿宋_GB2312" w:cs="Times New Roman"/>
          <w:kern w:val="0"/>
          <w:sz w:val="32"/>
          <w:szCs w:val="32"/>
          <w:lang w:val="en-US" w:eastAsia="zh-CN" w:bidi="ar-SA"/>
        </w:rPr>
        <w:t>余</w:t>
      </w:r>
      <w:r>
        <w:rPr>
          <w:rFonts w:hint="eastAsia" w:ascii="仿宋_GB2312" w:hAnsi="仿宋_GB2312" w:eastAsia="仿宋_GB2312" w:cs="仿宋_GB2312"/>
          <w:kern w:val="0"/>
          <w:sz w:val="32"/>
          <w:szCs w:val="32"/>
          <w:lang w:val="en-US" w:eastAsia="zh-CN" w:bidi="ar-SA"/>
        </w:rPr>
        <w:t>家“蜂鸟企业”。</w:t>
      </w:r>
      <w:r>
        <w:rPr>
          <w:rFonts w:hint="default" w:ascii="Times New Roman" w:hAnsi="Times New Roman" w:eastAsia="仿宋_GB2312" w:cs="Times New Roman"/>
          <w:kern w:val="0"/>
          <w:sz w:val="32"/>
          <w:szCs w:val="32"/>
          <w:lang w:val="en-US" w:eastAsia="zh-CN" w:bidi="ar-SA"/>
        </w:rPr>
        <w:t>2022年因文化产</w:t>
      </w:r>
      <w:r>
        <w:rPr>
          <w:rFonts w:hint="eastAsia" w:ascii="仿宋_GB2312" w:hAnsi="Times New Roman" w:eastAsia="仿宋_GB2312" w:cs="Times New Roman"/>
          <w:kern w:val="0"/>
          <w:sz w:val="32"/>
          <w:szCs w:val="32"/>
          <w:lang w:val="en-US" w:eastAsia="zh-CN" w:bidi="ar-SA"/>
        </w:rPr>
        <w:t>业和旅游产业发展态势好</w:t>
      </w:r>
      <w:r>
        <w:rPr>
          <w:rFonts w:ascii="仿宋_GB2312" w:hAnsi="Times New Roman" w:eastAsia="仿宋_GB2312" w:cs="Times New Roman"/>
          <w:kern w:val="0"/>
          <w:sz w:val="32"/>
          <w:szCs w:val="32"/>
          <w:lang w:val="en-US" w:eastAsia="zh-CN" w:bidi="ar-SA"/>
        </w:rPr>
        <w:t>获</w:t>
      </w:r>
      <w:r>
        <w:rPr>
          <w:rFonts w:hint="eastAsia" w:ascii="仿宋_GB2312" w:hAnsi="Times New Roman" w:eastAsia="仿宋_GB2312" w:cs="Times New Roman"/>
          <w:kern w:val="0"/>
          <w:sz w:val="32"/>
          <w:szCs w:val="32"/>
          <w:lang w:val="en-US" w:eastAsia="zh-CN" w:bidi="ar-SA"/>
        </w:rPr>
        <w:t>“</w:t>
      </w:r>
      <w:r>
        <w:rPr>
          <w:rFonts w:ascii="仿宋_GB2312" w:hAnsi="Times New Roman" w:eastAsia="仿宋_GB2312" w:cs="Times New Roman"/>
          <w:kern w:val="0"/>
          <w:sz w:val="32"/>
          <w:szCs w:val="32"/>
          <w:lang w:val="en-US" w:eastAsia="zh-CN" w:bidi="ar-SA"/>
        </w:rPr>
        <w:t>国务院督查激励</w:t>
      </w:r>
      <w:r>
        <w:rPr>
          <w:rFonts w:hint="eastAsia" w:ascii="仿宋_GB2312" w:hAnsi="Times New Roman" w:eastAsia="仿宋_GB2312" w:cs="Times New Roman"/>
          <w:kern w:val="0"/>
          <w:sz w:val="32"/>
          <w:szCs w:val="32"/>
          <w:lang w:val="en-US" w:eastAsia="zh-CN" w:bidi="ar-SA"/>
        </w:rPr>
        <w:t>”。</w:t>
      </w:r>
      <w:bookmarkEnd w:id="4"/>
      <w:bookmarkEnd w:id="5"/>
      <w:bookmarkEnd w:id="6"/>
      <w:r>
        <w:rPr>
          <w:rFonts w:hint="eastAsia" w:ascii="Times New Roman" w:hAnsi="Times New Roman" w:eastAsia="仿宋_GB2312" w:cs="Times New Roman"/>
          <w:kern w:val="0"/>
          <w:sz w:val="32"/>
          <w:szCs w:val="32"/>
          <w:lang w:val="en-US" w:eastAsia="zh-CN" w:bidi="ar-SA"/>
        </w:rPr>
        <w:t>2025年文创实验区管委会获评全国宣传系统先进集体。</w:t>
      </w:r>
    </w:p>
    <w:p w14:paraId="52728A2C">
      <w:pPr>
        <w:widowControl w:val="0"/>
        <w:spacing w:line="560" w:lineRule="exact"/>
        <w:ind w:firstLine="643" w:firstLineChars="200"/>
        <w:jc w:val="both"/>
        <w:rPr>
          <w:rFonts w:hint="eastAsia" w:ascii="仿宋_GB2312" w:hAnsi="Times New Roman" w:eastAsia="仿宋_GB2312" w:cs="Times New Roman"/>
          <w:kern w:val="0"/>
          <w:sz w:val="32"/>
          <w:szCs w:val="32"/>
          <w:lang w:val="en-US" w:eastAsia="zh-CN" w:bidi="ar-SA"/>
        </w:rPr>
      </w:pPr>
      <w:bookmarkStart w:id="7" w:name="_Toc464685768"/>
      <w:bookmarkStart w:id="8" w:name="_Toc206077035"/>
      <w:bookmarkStart w:id="9" w:name="_Toc1286397324"/>
      <w:bookmarkStart w:id="10" w:name="_Toc206064167"/>
      <w:r>
        <w:rPr>
          <w:rFonts w:hint="eastAsia" w:ascii="仿宋_GB2312" w:hAnsi="仿宋_GB2312" w:eastAsia="仿宋_GB2312" w:cs="仿宋_GB2312"/>
          <w:b/>
          <w:bCs/>
          <w:kern w:val="0"/>
          <w:sz w:val="32"/>
          <w:szCs w:val="32"/>
          <w:lang w:val="en-US" w:eastAsia="zh-CN" w:bidi="ar-SA"/>
        </w:rPr>
        <w:t>国家文创实验区建设迈入新阶段。</w:t>
      </w:r>
      <w:bookmarkEnd w:id="7"/>
      <w:r>
        <w:rPr>
          <w:rFonts w:hint="eastAsia" w:ascii="仿宋_GB2312" w:hAnsi="仿宋_GB2312" w:eastAsia="仿宋_GB2312" w:cs="仿宋_GB2312"/>
          <w:b w:val="0"/>
          <w:bCs w:val="0"/>
          <w:kern w:val="0"/>
          <w:sz w:val="32"/>
          <w:szCs w:val="32"/>
          <w:lang w:val="en-US" w:eastAsia="zh-CN" w:bidi="ar-SA"/>
        </w:rPr>
        <w:t>发挥</w:t>
      </w:r>
      <w:r>
        <w:rPr>
          <w:rFonts w:hint="eastAsia" w:ascii="仿宋_GB2312" w:hAnsi="Times New Roman" w:eastAsia="仿宋_GB2312" w:cs="Times New Roman"/>
          <w:kern w:val="0"/>
          <w:sz w:val="32"/>
          <w:szCs w:val="32"/>
          <w:lang w:val="en-US" w:eastAsia="zh-CN" w:bidi="ar-SA"/>
        </w:rPr>
        <w:t>国家文化产业创新实验区“试验田”优势，深入推进文化</w:t>
      </w:r>
      <w:r>
        <w:rPr>
          <w:rFonts w:ascii="仿宋_GB2312" w:hAnsi="Times New Roman" w:eastAsia="仿宋_GB2312" w:cs="Times New Roman"/>
          <w:kern w:val="0"/>
          <w:sz w:val="32"/>
          <w:szCs w:val="32"/>
          <w:lang w:val="en-US" w:eastAsia="zh-CN" w:bidi="ar-SA"/>
        </w:rPr>
        <w:t>领域</w:t>
      </w:r>
      <w:r>
        <w:rPr>
          <w:rFonts w:hint="eastAsia" w:ascii="仿宋_GB2312" w:hAnsi="Times New Roman" w:eastAsia="仿宋_GB2312" w:cs="Times New Roman"/>
          <w:kern w:val="0"/>
          <w:sz w:val="32"/>
          <w:szCs w:val="32"/>
          <w:lang w:val="en-US" w:eastAsia="zh-CN" w:bidi="ar-SA"/>
        </w:rPr>
        <w:t>改革创新，形成部市区集成赋能的政策体系。</w:t>
      </w:r>
      <w:r>
        <w:rPr>
          <w:rFonts w:ascii="仿宋_GB2312" w:hAnsi="Times New Roman" w:eastAsia="仿宋_GB2312" w:cs="Times New Roman"/>
          <w:kern w:val="0"/>
          <w:sz w:val="32"/>
          <w:szCs w:val="32"/>
          <w:lang w:val="en-US" w:eastAsia="zh-CN" w:bidi="ar-SA"/>
        </w:rPr>
        <w:t>国家层面文化消费、影视及文化艺术品保税等政策率先落地</w:t>
      </w:r>
      <w:r>
        <w:rPr>
          <w:rFonts w:hint="eastAsia" w:ascii="仿宋_GB2312" w:hAnsi="Times New Roman" w:eastAsia="仿宋_GB2312" w:cs="Times New Roman"/>
          <w:kern w:val="0"/>
          <w:sz w:val="32"/>
          <w:szCs w:val="32"/>
          <w:lang w:val="en-US" w:eastAsia="zh-CN" w:bidi="ar-SA"/>
        </w:rPr>
        <w:t>，北京市出台关于推进实验区高质量发展的“政策</w:t>
      </w:r>
      <w:r>
        <w:rPr>
          <w:rFonts w:hint="default" w:ascii="Times New Roman" w:hAnsi="Times New Roman" w:eastAsia="仿宋_GB2312" w:cs="Times New Roman"/>
          <w:kern w:val="0"/>
          <w:sz w:val="32"/>
          <w:szCs w:val="32"/>
          <w:lang w:val="en-US" w:eastAsia="zh-CN" w:bidi="ar-SA"/>
        </w:rPr>
        <w:t>18</w:t>
      </w:r>
      <w:r>
        <w:rPr>
          <w:rFonts w:hint="eastAsia" w:ascii="仿宋_GB2312" w:hAnsi="Times New Roman" w:eastAsia="仿宋_GB2312" w:cs="Times New Roman"/>
          <w:kern w:val="0"/>
          <w:sz w:val="32"/>
          <w:szCs w:val="32"/>
          <w:lang w:val="en-US" w:eastAsia="zh-CN" w:bidi="ar-SA"/>
        </w:rPr>
        <w:t>条”。朝阳区出台“政策</w:t>
      </w:r>
      <w:r>
        <w:rPr>
          <w:rFonts w:hint="default" w:ascii="Times New Roman" w:hAnsi="Times New Roman" w:eastAsia="仿宋_GB2312" w:cs="Times New Roman"/>
          <w:kern w:val="0"/>
          <w:sz w:val="32"/>
          <w:szCs w:val="32"/>
          <w:lang w:val="en-US" w:eastAsia="zh-CN" w:bidi="ar-SA"/>
        </w:rPr>
        <w:t>17</w:t>
      </w:r>
      <w:r>
        <w:rPr>
          <w:rFonts w:hint="eastAsia" w:ascii="仿宋_GB2312" w:hAnsi="Times New Roman" w:eastAsia="仿宋_GB2312" w:cs="Times New Roman"/>
          <w:kern w:val="0"/>
          <w:sz w:val="32"/>
          <w:szCs w:val="32"/>
          <w:lang w:val="en-US" w:eastAsia="zh-CN" w:bidi="ar-SA"/>
        </w:rPr>
        <w:t>条”和网游电竞、数字视听等专项政策，每年安排</w:t>
      </w:r>
      <w:r>
        <w:rPr>
          <w:rFonts w:hint="default" w:ascii="Times New Roman" w:hAnsi="Times New Roman" w:eastAsia="仿宋_GB2312" w:cs="Times New Roman"/>
          <w:kern w:val="0"/>
          <w:sz w:val="32"/>
          <w:szCs w:val="32"/>
          <w:lang w:val="en-US" w:eastAsia="zh-CN" w:bidi="ar-SA"/>
        </w:rPr>
        <w:t>1.5亿</w:t>
      </w:r>
      <w:r>
        <w:rPr>
          <w:rFonts w:hint="eastAsia" w:ascii="仿宋_GB2312" w:hAnsi="Times New Roman" w:eastAsia="仿宋_GB2312" w:cs="Times New Roman"/>
          <w:kern w:val="0"/>
          <w:sz w:val="32"/>
          <w:szCs w:val="32"/>
          <w:lang w:val="en-US" w:eastAsia="zh-CN" w:bidi="ar-SA"/>
        </w:rPr>
        <w:t>元产业资金，加大优质企业项目支持力度。</w:t>
      </w:r>
      <w:r>
        <w:rPr>
          <w:rFonts w:hint="eastAsia" w:ascii="仿宋_GB2312" w:hAnsi="仿宋_GB2312" w:eastAsia="仿宋_GB2312" w:cs="仿宋_GB2312"/>
          <w:bCs w:val="0"/>
          <w:kern w:val="0"/>
          <w:sz w:val="32"/>
          <w:szCs w:val="32"/>
          <w:lang w:val="en-US" w:eastAsia="zh-CN" w:bidi="ar-SA"/>
        </w:rPr>
        <w:t>文</w:t>
      </w:r>
      <w:r>
        <w:rPr>
          <w:rFonts w:ascii="仿宋_GB2312" w:hAnsi="Times New Roman" w:eastAsia="仿宋_GB2312" w:cs="Times New Roman"/>
          <w:bCs/>
          <w:kern w:val="0"/>
          <w:sz w:val="32"/>
          <w:szCs w:val="32"/>
          <w:lang w:val="en-US" w:eastAsia="zh-CN" w:bidi="ar-SA"/>
        </w:rPr>
        <w:t>化金融服务</w:t>
      </w:r>
      <w:r>
        <w:rPr>
          <w:rFonts w:hint="eastAsia" w:ascii="仿宋_GB2312" w:hAnsi="Times New Roman" w:eastAsia="仿宋_GB2312" w:cs="Times New Roman"/>
          <w:bCs/>
          <w:kern w:val="0"/>
          <w:sz w:val="32"/>
          <w:szCs w:val="32"/>
          <w:lang w:val="en-US" w:eastAsia="zh-CN" w:bidi="ar-SA"/>
        </w:rPr>
        <w:t>模式入选国家服务业扩大开放综合试点示范建设最佳实践案例。</w:t>
      </w:r>
      <w:r>
        <w:rPr>
          <w:rFonts w:hint="eastAsia" w:ascii="Times New Roman" w:hAnsi="Times New Roman" w:eastAsia="仿宋_GB2312" w:cs="Times New Roman"/>
          <w:kern w:val="0"/>
          <w:sz w:val="32"/>
          <w:szCs w:val="32"/>
          <w:highlight w:val="none"/>
          <w:lang w:val="en-US" w:eastAsia="zh-CN" w:bidi="ar-SA"/>
        </w:rPr>
        <w:t>2025年国家文创实验区规模以上文化企业</w:t>
      </w:r>
      <w:r>
        <w:rPr>
          <w:rFonts w:hint="default" w:ascii="Times New Roman" w:hAnsi="Times New Roman" w:eastAsia="仿宋_GB2312" w:cs="Times New Roman"/>
          <w:kern w:val="0"/>
          <w:sz w:val="32"/>
          <w:szCs w:val="32"/>
          <w:highlight w:val="none"/>
          <w:lang w:val="en-US" w:eastAsia="zh-CN" w:bidi="ar-SA"/>
        </w:rPr>
        <w:t>实现</w:t>
      </w:r>
      <w:r>
        <w:rPr>
          <w:rFonts w:hint="eastAsia" w:ascii="Times New Roman" w:hAnsi="Times New Roman" w:eastAsia="仿宋_GB2312" w:cs="Times New Roman"/>
          <w:kern w:val="0"/>
          <w:sz w:val="32"/>
          <w:szCs w:val="32"/>
          <w:highlight w:val="none"/>
          <w:lang w:val="en-US" w:eastAsia="zh-CN" w:bidi="ar-SA"/>
        </w:rPr>
        <w:t>营收1896.5</w:t>
      </w:r>
      <w:r>
        <w:rPr>
          <w:rFonts w:hint="default" w:ascii="Times New Roman" w:hAnsi="Times New Roman" w:eastAsia="仿宋_GB2312" w:cs="Times New Roman"/>
          <w:kern w:val="0"/>
          <w:sz w:val="32"/>
          <w:szCs w:val="32"/>
          <w:highlight w:val="none"/>
          <w:lang w:val="en-US" w:eastAsia="zh-CN" w:bidi="ar-SA"/>
        </w:rPr>
        <w:t>亿元，分别占到朝阳区、北京市和全国的</w:t>
      </w:r>
      <w:r>
        <w:rPr>
          <w:rFonts w:hint="eastAsia" w:ascii="Times New Roman" w:hAnsi="Times New Roman" w:eastAsia="仿宋_GB2312" w:cs="Times New Roman"/>
          <w:kern w:val="0"/>
          <w:sz w:val="32"/>
          <w:szCs w:val="32"/>
          <w:highlight w:val="none"/>
          <w:lang w:val="en-US" w:eastAsia="zh-CN" w:bidi="ar-SA"/>
        </w:rPr>
        <w:t>47.4</w:t>
      </w:r>
      <w:r>
        <w:rPr>
          <w:rFonts w:hint="default" w:ascii="Times New Roman" w:hAnsi="Times New Roman" w:eastAsia="仿宋_GB2312" w:cs="Times New Roman"/>
          <w:kern w:val="0"/>
          <w:sz w:val="32"/>
          <w:szCs w:val="32"/>
          <w:highlight w:val="none"/>
          <w:lang w:val="en-US" w:eastAsia="zh-CN" w:bidi="ar-SA"/>
        </w:rPr>
        <w:t>%、</w:t>
      </w:r>
      <w:r>
        <w:rPr>
          <w:rFonts w:hint="eastAsia" w:ascii="Times New Roman" w:hAnsi="Times New Roman" w:eastAsia="仿宋_GB2312" w:cs="Times New Roman"/>
          <w:kern w:val="0"/>
          <w:sz w:val="32"/>
          <w:szCs w:val="32"/>
          <w:highlight w:val="none"/>
          <w:lang w:val="en-US" w:eastAsia="zh-CN" w:bidi="ar-SA"/>
        </w:rPr>
        <w:t>7.2</w:t>
      </w:r>
      <w:r>
        <w:rPr>
          <w:rFonts w:hint="default" w:ascii="Times New Roman" w:hAnsi="Times New Roman" w:eastAsia="仿宋_GB2312" w:cs="Times New Roman"/>
          <w:kern w:val="0"/>
          <w:sz w:val="32"/>
          <w:szCs w:val="32"/>
          <w:highlight w:val="none"/>
          <w:lang w:val="en-US" w:eastAsia="zh-CN" w:bidi="ar-SA"/>
        </w:rPr>
        <w:t>%和1.</w:t>
      </w:r>
      <w:r>
        <w:rPr>
          <w:rFonts w:hint="eastAsia" w:ascii="Times New Roman" w:hAnsi="Times New Roman" w:eastAsia="仿宋_GB2312" w:cs="Times New Roman"/>
          <w:kern w:val="0"/>
          <w:sz w:val="32"/>
          <w:szCs w:val="32"/>
          <w:highlight w:val="none"/>
          <w:lang w:val="en-US" w:eastAsia="zh-CN" w:bidi="ar-SA"/>
        </w:rPr>
        <w:t>2</w:t>
      </w:r>
      <w:r>
        <w:rPr>
          <w:rFonts w:hint="default" w:ascii="Times New Roman" w:hAnsi="Times New Roman" w:eastAsia="仿宋_GB2312" w:cs="Times New Roman"/>
          <w:kern w:val="0"/>
          <w:sz w:val="32"/>
          <w:szCs w:val="32"/>
          <w:highlight w:val="none"/>
          <w:lang w:val="en-US" w:eastAsia="zh-CN" w:bidi="ar-SA"/>
        </w:rPr>
        <w:t>%</w:t>
      </w:r>
      <w:r>
        <w:rPr>
          <w:rFonts w:hint="eastAsia" w:ascii="Times New Roman" w:hAnsi="Times New Roman" w:eastAsia="仿宋_GB2312" w:cs="Times New Roman"/>
          <w:kern w:val="0"/>
          <w:sz w:val="32"/>
          <w:szCs w:val="32"/>
          <w:highlight w:val="none"/>
          <w:lang w:val="en-US" w:eastAsia="zh-CN" w:bidi="ar-SA"/>
        </w:rPr>
        <w:t>，</w:t>
      </w:r>
      <w:r>
        <w:rPr>
          <w:rFonts w:hint="default" w:ascii="Times New Roman" w:hAnsi="Times New Roman" w:eastAsia="仿宋_GB2312" w:cs="Times New Roman"/>
          <w:kern w:val="0"/>
          <w:sz w:val="32"/>
          <w:szCs w:val="32"/>
          <w:highlight w:val="none"/>
          <w:lang w:val="en-US" w:eastAsia="zh-CN" w:bidi="ar-SA"/>
        </w:rPr>
        <w:t>实验区</w:t>
      </w:r>
      <w:r>
        <w:rPr>
          <w:rFonts w:hint="eastAsia" w:ascii="Times New Roman" w:hAnsi="Times New Roman" w:eastAsia="仿宋_GB2312" w:cs="Times New Roman"/>
          <w:kern w:val="0"/>
          <w:sz w:val="32"/>
          <w:szCs w:val="32"/>
          <w:highlight w:val="none"/>
          <w:lang w:val="en-US" w:eastAsia="zh-CN" w:bidi="ar-SA"/>
        </w:rPr>
        <w:t>示范引领作用不断增强，十年创新发展成果全国推广</w:t>
      </w:r>
      <w:r>
        <w:rPr>
          <w:rFonts w:hint="default" w:ascii="Times New Roman" w:hAnsi="Times New Roman" w:eastAsia="仿宋_GB2312" w:cs="Times New Roman"/>
          <w:kern w:val="0"/>
          <w:sz w:val="32"/>
          <w:szCs w:val="32"/>
          <w:highlight w:val="none"/>
          <w:lang w:val="en-US" w:eastAsia="zh-CN" w:bidi="ar-SA"/>
        </w:rPr>
        <w:t>。</w:t>
      </w:r>
    </w:p>
    <w:bookmarkEnd w:id="8"/>
    <w:bookmarkEnd w:id="9"/>
    <w:bookmarkEnd w:id="10"/>
    <w:p w14:paraId="23D8B53A">
      <w:pPr>
        <w:widowControl w:val="0"/>
        <w:spacing w:line="560" w:lineRule="exact"/>
        <w:ind w:firstLine="643" w:firstLineChars="200"/>
        <w:jc w:val="both"/>
        <w:rPr>
          <w:rFonts w:ascii="仿宋_GB2312" w:hAnsi="Times New Roman" w:eastAsia="仿宋_GB2312" w:cs="Times New Roman"/>
          <w:kern w:val="0"/>
          <w:sz w:val="32"/>
          <w:szCs w:val="32"/>
          <w:lang w:val="en-US" w:eastAsia="zh-CN" w:bidi="ar-SA"/>
        </w:rPr>
      </w:pPr>
      <w:bookmarkStart w:id="11" w:name="_Toc1723162284"/>
      <w:bookmarkStart w:id="12" w:name="_Toc206077036"/>
      <w:bookmarkStart w:id="13" w:name="_Toc206064168"/>
      <w:bookmarkStart w:id="14" w:name="_Toc1761950119"/>
      <w:r>
        <w:rPr>
          <w:rFonts w:hint="eastAsia" w:ascii="仿宋_GB2312" w:hAnsi="仿宋_GB2312" w:eastAsia="仿宋_GB2312" w:cs="仿宋_GB2312"/>
          <w:b/>
          <w:kern w:val="0"/>
          <w:sz w:val="32"/>
          <w:szCs w:val="32"/>
          <w:lang w:val="en-US" w:eastAsia="zh-CN" w:bidi="ar-SA"/>
        </w:rPr>
        <w:t>文创园区品质实现新跨越</w:t>
      </w:r>
      <w:bookmarkEnd w:id="11"/>
      <w:r>
        <w:rPr>
          <w:rFonts w:hint="eastAsia" w:ascii="仿宋_GB2312" w:hAnsi="仿宋_GB2312" w:eastAsia="仿宋_GB2312" w:cs="仿宋_GB2312"/>
          <w:b/>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深入实施“园区品质提升计划”，出台文化产业园区高质量发展的意见，采取重点培育和“揭榜挂帅”相结合的机制，培育形成</w:t>
      </w:r>
      <w:r>
        <w:rPr>
          <w:rFonts w:hint="default" w:ascii="Times New Roman" w:hAnsi="Times New Roman" w:eastAsia="仿宋_GB2312" w:cs="Times New Roman"/>
          <w:kern w:val="0"/>
          <w:sz w:val="32"/>
          <w:szCs w:val="32"/>
          <w:lang w:val="en-US" w:eastAsia="zh-CN" w:bidi="ar-SA"/>
        </w:rPr>
        <w:t>5家百亿园区。加大特色园区培育，认定一批文化科技、文化消费</w:t>
      </w:r>
      <w:r>
        <w:rPr>
          <w:rFonts w:hint="eastAsia" w:ascii="Times New Roman" w:hAnsi="Times New Roman" w:eastAsia="仿宋_GB2312" w:cs="Times New Roman"/>
          <w:kern w:val="0"/>
          <w:sz w:val="32"/>
          <w:szCs w:val="32"/>
          <w:lang w:val="en-US" w:eastAsia="zh-CN" w:bidi="ar-SA"/>
        </w:rPr>
        <w:t>和特色品牌</w:t>
      </w:r>
      <w:r>
        <w:rPr>
          <w:rFonts w:hint="default" w:ascii="Times New Roman" w:hAnsi="Times New Roman" w:eastAsia="仿宋_GB2312" w:cs="Times New Roman"/>
          <w:kern w:val="0"/>
          <w:sz w:val="32"/>
          <w:szCs w:val="32"/>
          <w:lang w:val="en-US" w:eastAsia="zh-CN" w:bidi="ar-SA"/>
        </w:rPr>
        <w:t>园区。百家园区中有</w:t>
      </w:r>
      <w:r>
        <w:rPr>
          <w:rFonts w:ascii="Times New Roman" w:hAnsi="Times New Roman" w:eastAsia="仿宋_GB2312" w:cs="Times New Roman"/>
          <w:kern w:val="0"/>
          <w:sz w:val="32"/>
          <w:szCs w:val="32"/>
          <w:lang w:val="en-US" w:eastAsia="zh-CN" w:bidi="ar-SA"/>
        </w:rPr>
        <w:t>36家园区被认定为市级园区，居全市</w:t>
      </w:r>
      <w:r>
        <w:rPr>
          <w:rFonts w:hint="default" w:ascii="Times New Roman" w:hAnsi="Times New Roman" w:eastAsia="仿宋_GB2312" w:cs="Times New Roman"/>
          <w:kern w:val="0"/>
          <w:sz w:val="32"/>
          <w:szCs w:val="32"/>
          <w:lang w:val="en-US" w:eastAsia="zh-CN" w:bidi="ar-SA"/>
        </w:rPr>
        <w:t>首位。798</w:t>
      </w:r>
      <w:r>
        <w:rPr>
          <w:rFonts w:hint="default" w:ascii="Times New Roman" w:hAnsi="Times New Roman" w:eastAsia="微软雅黑"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751、郎园Station等园区成为潮流新地标，数字视听、数字广告等一</w:t>
      </w:r>
      <w:r>
        <w:rPr>
          <w:rFonts w:hint="eastAsia" w:ascii="仿宋_GB2312" w:hAnsi="Times New Roman" w:eastAsia="仿宋_GB2312" w:cs="Times New Roman"/>
          <w:kern w:val="0"/>
          <w:sz w:val="32"/>
          <w:szCs w:val="32"/>
          <w:lang w:val="en-US" w:eastAsia="zh-CN" w:bidi="ar-SA"/>
        </w:rPr>
        <w:t>批数智化园区快速发展。郎园、竞园等一批园区实现在全国的品牌输出。</w:t>
      </w:r>
      <w:r>
        <w:rPr>
          <w:rFonts w:ascii="仿宋_GB2312" w:hAnsi="Times New Roman" w:eastAsia="仿宋_GB2312" w:cs="Times New Roman"/>
          <w:kern w:val="0"/>
          <w:sz w:val="32"/>
          <w:szCs w:val="32"/>
          <w:lang w:val="en-US" w:eastAsia="zh-CN" w:bidi="ar-SA"/>
        </w:rPr>
        <w:t>建成全国</w:t>
      </w:r>
      <w:r>
        <w:rPr>
          <w:rFonts w:hint="eastAsia" w:ascii="仿宋_GB2312" w:hAnsi="仿宋_GB2312" w:eastAsia="仿宋_GB2312" w:cs="仿宋_GB2312"/>
          <w:kern w:val="0"/>
          <w:sz w:val="32"/>
          <w:szCs w:val="32"/>
          <w:lang w:val="en-US" w:eastAsia="zh-CN" w:bidi="ar-SA"/>
        </w:rPr>
        <w:t>首个“云园区”，</w:t>
      </w:r>
      <w:r>
        <w:rPr>
          <w:rFonts w:hint="eastAsia" w:ascii="仿宋_GB2312" w:hAnsi="仿宋_GB2312" w:eastAsia="仿宋_GB2312" w:cs="仿宋_GB2312"/>
          <w:kern w:val="0"/>
          <w:sz w:val="32"/>
          <w:szCs w:val="32"/>
          <w:highlight w:val="none"/>
          <w:lang w:val="en-US" w:eastAsia="zh-CN" w:bidi="ar-SA"/>
        </w:rPr>
        <w:t>吸引</w:t>
      </w:r>
      <w:r>
        <w:rPr>
          <w:rFonts w:hint="default" w:ascii="Times New Roman" w:hAnsi="Times New Roman" w:eastAsia="仿宋_GB2312" w:cs="Times New Roman"/>
          <w:kern w:val="0"/>
          <w:sz w:val="32"/>
          <w:szCs w:val="32"/>
          <w:highlight w:val="none"/>
          <w:lang w:val="en-US" w:eastAsia="zh-CN" w:bidi="ar-SA"/>
        </w:rPr>
        <w:t>125家供应商、</w:t>
      </w:r>
      <w:r>
        <w:rPr>
          <w:rFonts w:hint="eastAsia" w:ascii="Times New Roman" w:hAnsi="Times New Roman" w:eastAsia="仿宋_GB2312" w:cs="Times New Roman"/>
          <w:kern w:val="0"/>
          <w:sz w:val="32"/>
          <w:szCs w:val="32"/>
          <w:highlight w:val="none"/>
          <w:lang w:val="en-US" w:eastAsia="zh-CN" w:bidi="ar-SA"/>
        </w:rPr>
        <w:t>102家</w:t>
      </w:r>
      <w:r>
        <w:rPr>
          <w:rFonts w:hint="default" w:ascii="Times New Roman" w:hAnsi="Times New Roman" w:eastAsia="仿宋_GB2312" w:cs="Times New Roman"/>
          <w:kern w:val="0"/>
          <w:sz w:val="32"/>
          <w:szCs w:val="32"/>
          <w:highlight w:val="none"/>
          <w:lang w:val="en-US" w:eastAsia="zh-CN" w:bidi="ar-SA"/>
        </w:rPr>
        <w:t>园区、超1.86万家企业在云端集聚。</w:t>
      </w:r>
      <w:r>
        <w:rPr>
          <w:rFonts w:hint="default" w:ascii="Times New Roman" w:hAnsi="Times New Roman" w:eastAsia="仿宋_GB2312" w:cs="Times New Roman"/>
          <w:kern w:val="0"/>
          <w:sz w:val="32"/>
          <w:szCs w:val="32"/>
          <w:lang w:val="en-US" w:eastAsia="zh-CN" w:bidi="ar-SA"/>
        </w:rPr>
        <w:t>引导园</w:t>
      </w:r>
      <w:r>
        <w:rPr>
          <w:rFonts w:hint="eastAsia" w:ascii="仿宋_GB2312" w:hAnsi="Times New Roman" w:eastAsia="仿宋_GB2312" w:cs="Times New Roman"/>
          <w:kern w:val="0"/>
          <w:sz w:val="32"/>
          <w:szCs w:val="32"/>
          <w:lang w:val="en-US" w:eastAsia="zh-CN" w:bidi="ar-SA"/>
        </w:rPr>
        <w:t>区更大范围、更宽领域、更深层次的协同联动，形成一批特色产业集群。</w:t>
      </w:r>
      <w:bookmarkEnd w:id="12"/>
      <w:bookmarkEnd w:id="13"/>
      <w:bookmarkEnd w:id="14"/>
    </w:p>
    <w:p w14:paraId="2D5DE5B9">
      <w:pPr>
        <w:widowControl w:val="0"/>
        <w:spacing w:line="560" w:lineRule="exact"/>
        <w:ind w:firstLine="643" w:firstLineChars="200"/>
        <w:jc w:val="both"/>
        <w:rPr>
          <w:rFonts w:ascii="Times New Roman" w:hAnsi="Times New Roman" w:eastAsia="楷体_GB2312" w:cs="Times New Roman"/>
          <w:b/>
          <w:bCs/>
          <w:kern w:val="0"/>
          <w:sz w:val="32"/>
          <w:szCs w:val="32"/>
          <w:lang w:val="en-US" w:eastAsia="zh-CN" w:bidi="ar-SA"/>
        </w:rPr>
      </w:pPr>
      <w:bookmarkStart w:id="15" w:name="_Toc224043746"/>
      <w:bookmarkStart w:id="16" w:name="_Toc206064169"/>
      <w:bookmarkStart w:id="17" w:name="_Toc206077037"/>
      <w:bookmarkStart w:id="18" w:name="_Toc1443641550"/>
      <w:r>
        <w:rPr>
          <w:rFonts w:hint="eastAsia" w:ascii="仿宋_GB2312" w:hAnsi="仿宋_GB2312" w:eastAsia="仿宋_GB2312" w:cs="仿宋_GB2312"/>
          <w:b/>
          <w:bCs/>
          <w:kern w:val="0"/>
          <w:sz w:val="32"/>
          <w:szCs w:val="32"/>
          <w:lang w:val="en-US" w:eastAsia="zh-CN" w:bidi="ar-SA"/>
        </w:rPr>
        <w:t>数字新业态展现新动能</w:t>
      </w:r>
      <w:bookmarkEnd w:id="15"/>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紧抓人工智能等新技术发展机遇，深入推进</w:t>
      </w:r>
      <w:r>
        <w:rPr>
          <w:rFonts w:hint="eastAsia" w:ascii="仿宋_GB2312" w:hAnsi="Times New Roman" w:eastAsia="仿宋_GB2312" w:cs="Times New Roman"/>
          <w:bCs/>
          <w:kern w:val="0"/>
          <w:sz w:val="32"/>
          <w:szCs w:val="32"/>
          <w:lang w:val="en-US" w:eastAsia="zh-CN" w:bidi="ar-SA"/>
        </w:rPr>
        <w:t>文化科技融合，加快发展数字文化新业态，建成运营全市首</w:t>
      </w:r>
      <w:r>
        <w:rPr>
          <w:rFonts w:hint="default" w:ascii="Times New Roman" w:hAnsi="Times New Roman" w:eastAsia="仿宋_GB2312" w:cs="Times New Roman"/>
          <w:bCs/>
          <w:kern w:val="0"/>
          <w:sz w:val="32"/>
          <w:szCs w:val="32"/>
          <w:lang w:val="en-US" w:eastAsia="zh-CN" w:bidi="ar-SA"/>
        </w:rPr>
        <w:t>个AIGC视听产业创新中心，落地全市规模最大的电竞场馆微博电竞中心</w:t>
      </w:r>
      <w:r>
        <w:rPr>
          <w:rFonts w:hint="eastAsia" w:ascii="Times New Roman" w:hAnsi="Times New Roman" w:eastAsia="仿宋_GB2312" w:cs="Times New Roman"/>
          <w:bCs/>
          <w:kern w:val="0"/>
          <w:sz w:val="32"/>
          <w:szCs w:val="32"/>
          <w:lang w:val="en-US" w:eastAsia="zh-CN" w:bidi="ar-SA"/>
        </w:rPr>
        <w:t>和全国首个虚拟现实电影放映新空间798超维视界</w:t>
      </w:r>
      <w:r>
        <w:rPr>
          <w:rFonts w:hint="eastAsia" w:ascii="仿宋_GB2312" w:hAnsi="Times New Roman" w:eastAsia="仿宋_GB2312" w:cs="Times New Roman"/>
          <w:bCs/>
          <w:kern w:val="0"/>
          <w:sz w:val="32"/>
          <w:szCs w:val="32"/>
          <w:lang w:val="en-US" w:eastAsia="zh-CN" w:bidi="ar-SA"/>
        </w:rPr>
        <w:t>，以及全</w:t>
      </w:r>
      <w:r>
        <w:rPr>
          <w:rFonts w:hint="eastAsia" w:ascii="仿宋_GB2312" w:hAnsi="Times New Roman" w:eastAsia="仿宋_GB2312" w:cs="Times New Roman"/>
          <w:kern w:val="0"/>
          <w:sz w:val="32"/>
          <w:szCs w:val="32"/>
          <w:lang w:val="en-US" w:eastAsia="zh-CN" w:bidi="ar-SA"/>
        </w:rPr>
        <w:t>国首家“三体</w:t>
      </w:r>
      <w:r>
        <w:rPr>
          <w:rFonts w:hint="eastAsia" w:ascii="微软雅黑" w:hAnsi="微软雅黑" w:eastAsia="微软雅黑" w:cs="微软雅黑"/>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四维空间”科幻体验中心，</w:t>
      </w:r>
      <w:r>
        <w:rPr>
          <w:rFonts w:hint="eastAsia" w:ascii="仿宋_GB2312" w:hAnsi="Times New Roman" w:eastAsia="仿宋_GB2312" w:cs="Times New Roman"/>
          <w:bCs/>
          <w:kern w:val="0"/>
          <w:sz w:val="32"/>
          <w:szCs w:val="32"/>
          <w:lang w:val="en-US" w:eastAsia="zh-CN" w:bidi="ar-SA"/>
        </w:rPr>
        <w:t>推进虎鲸文娱数字影棚等重大项目建设，积极抢占数智文化新赛道。设立全市首个影视服务中心，</w:t>
      </w:r>
      <w:r>
        <w:rPr>
          <w:rFonts w:ascii="仿宋_GB2312" w:hAnsi="Times New Roman" w:eastAsia="仿宋_GB2312" w:cs="Times New Roman"/>
          <w:bCs/>
          <w:kern w:val="0"/>
          <w:sz w:val="32"/>
          <w:szCs w:val="32"/>
          <w:lang w:val="en-US" w:eastAsia="zh-CN" w:bidi="ar-SA"/>
        </w:rPr>
        <w:t>率先试点广播电视政务审批帮办窗口</w:t>
      </w:r>
      <w:r>
        <w:rPr>
          <w:rFonts w:hint="eastAsia" w:ascii="仿宋_GB2312" w:hAnsi="Times New Roman" w:eastAsia="仿宋_GB2312" w:cs="Times New Roman"/>
          <w:bCs/>
          <w:kern w:val="0"/>
          <w:sz w:val="32"/>
          <w:szCs w:val="32"/>
          <w:lang w:val="en-US" w:eastAsia="zh-CN" w:bidi="ar-SA"/>
        </w:rPr>
        <w:t>。</w:t>
      </w:r>
      <w:r>
        <w:rPr>
          <w:rFonts w:ascii="Times New Roman" w:hAnsi="Times New Roman" w:eastAsia="仿宋_GB2312" w:cs="Times New Roman"/>
          <w:kern w:val="0"/>
          <w:sz w:val="32"/>
          <w:szCs w:val="32"/>
          <w:lang w:val="en-US" w:eastAsia="zh-CN" w:bidi="ar-SA"/>
        </w:rPr>
        <w:t>文化新业态</w:t>
      </w:r>
      <w:r>
        <w:rPr>
          <w:rFonts w:hint="default" w:ascii="Times New Roman" w:hAnsi="Times New Roman" w:eastAsia="仿宋_GB2312" w:cs="Times New Roman"/>
          <w:kern w:val="0"/>
          <w:sz w:val="32"/>
          <w:szCs w:val="32"/>
          <w:lang w:val="en-US" w:eastAsia="zh-CN" w:bidi="ar-SA"/>
        </w:rPr>
        <w:t>链主</w:t>
      </w:r>
      <w:r>
        <w:rPr>
          <w:rFonts w:ascii="Times New Roman" w:hAnsi="Times New Roman" w:eastAsia="仿宋_GB2312" w:cs="Times New Roman"/>
          <w:kern w:val="0"/>
          <w:sz w:val="32"/>
          <w:szCs w:val="32"/>
          <w:lang w:val="en-US" w:eastAsia="zh-CN" w:bidi="ar-SA"/>
        </w:rPr>
        <w:t>企业加速聚集，</w:t>
      </w:r>
      <w:r>
        <w:rPr>
          <w:rFonts w:hint="default" w:ascii="Times New Roman" w:hAnsi="Times New Roman" w:eastAsia="仿宋_GB2312" w:cs="Times New Roman"/>
          <w:kern w:val="0"/>
          <w:sz w:val="32"/>
          <w:szCs w:val="32"/>
          <w:lang w:val="en-US" w:eastAsia="zh-CN" w:bidi="ar-SA"/>
        </w:rPr>
        <w:t>数字视听、网游电竞、沉浸式体验等新业态蓬勃发展，202</w:t>
      </w:r>
      <w:r>
        <w:rPr>
          <w:rFonts w:hint="eastAsia" w:ascii="Times New Roman" w:hAnsi="Times New Roman" w:eastAsia="仿宋_GB2312" w:cs="Times New Roman"/>
          <w:kern w:val="0"/>
          <w:sz w:val="32"/>
          <w:szCs w:val="32"/>
          <w:lang w:val="en-US" w:eastAsia="zh-CN" w:bidi="ar-SA"/>
        </w:rPr>
        <w:t>5</w:t>
      </w:r>
      <w:r>
        <w:rPr>
          <w:rFonts w:hint="default" w:ascii="Times New Roman" w:hAnsi="Times New Roman" w:eastAsia="仿宋_GB2312" w:cs="Times New Roman"/>
          <w:kern w:val="0"/>
          <w:sz w:val="32"/>
          <w:szCs w:val="32"/>
          <w:lang w:val="en-US" w:eastAsia="zh-CN" w:bidi="ar-SA"/>
        </w:rPr>
        <w:t>年</w:t>
      </w:r>
      <w:r>
        <w:rPr>
          <w:rFonts w:hint="eastAsia" w:ascii="Times New Roman" w:hAnsi="Times New Roman" w:eastAsia="仿宋_GB2312" w:cs="Times New Roman"/>
          <w:kern w:val="0"/>
          <w:sz w:val="32"/>
          <w:szCs w:val="32"/>
          <w:lang w:val="en-US" w:eastAsia="zh-CN" w:bidi="ar-SA"/>
        </w:rPr>
        <w:t>朝阳区</w:t>
      </w:r>
      <w:r>
        <w:rPr>
          <w:rFonts w:hint="default" w:ascii="Times New Roman" w:hAnsi="Times New Roman" w:eastAsia="仿宋_GB2312" w:cs="Times New Roman"/>
          <w:kern w:val="0"/>
          <w:sz w:val="32"/>
          <w:szCs w:val="32"/>
          <w:lang w:val="en-US" w:eastAsia="zh-CN" w:bidi="ar-SA"/>
        </w:rPr>
        <w:t>数字文化产业</w:t>
      </w:r>
      <w:r>
        <w:rPr>
          <w:rFonts w:ascii="Times New Roman" w:hAnsi="Times New Roman" w:eastAsia="仿宋_GB2312" w:cs="Times New Roman"/>
          <w:kern w:val="0"/>
          <w:sz w:val="32"/>
          <w:szCs w:val="32"/>
          <w:lang w:val="en-US" w:eastAsia="zh-CN" w:bidi="ar-SA"/>
        </w:rPr>
        <w:t>实现收入</w:t>
      </w:r>
      <w:r>
        <w:rPr>
          <w:rFonts w:hint="eastAsia" w:ascii="Times New Roman" w:hAnsi="Times New Roman" w:eastAsia="仿宋_GB2312" w:cs="Times New Roman"/>
          <w:kern w:val="0"/>
          <w:sz w:val="32"/>
          <w:szCs w:val="32"/>
          <w:lang w:val="en-US" w:eastAsia="zh-CN" w:bidi="ar-SA"/>
        </w:rPr>
        <w:t>1655.6</w:t>
      </w:r>
      <w:r>
        <w:rPr>
          <w:rFonts w:hint="default" w:ascii="Times New Roman" w:hAnsi="Times New Roman" w:eastAsia="仿宋_GB2312" w:cs="Times New Roman"/>
          <w:kern w:val="0"/>
          <w:sz w:val="32"/>
          <w:szCs w:val="32"/>
          <w:lang w:val="en-US" w:eastAsia="zh-CN" w:bidi="ar-SA"/>
        </w:rPr>
        <w:t>亿元，占文化产业总收入的</w:t>
      </w:r>
      <w:r>
        <w:rPr>
          <w:rFonts w:hint="eastAsia" w:ascii="Times New Roman" w:hAnsi="Times New Roman" w:eastAsia="仿宋_GB2312" w:cs="Times New Roman"/>
          <w:kern w:val="0"/>
          <w:sz w:val="32"/>
          <w:szCs w:val="32"/>
          <w:lang w:val="en-US" w:eastAsia="zh-CN" w:bidi="ar-SA"/>
        </w:rPr>
        <w:t>41.4</w:t>
      </w:r>
      <w:r>
        <w:rPr>
          <w:rFonts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同比增长12.9%，</w:t>
      </w:r>
      <w:r>
        <w:rPr>
          <w:rFonts w:ascii="Times New Roman" w:hAnsi="Times New Roman" w:eastAsia="仿宋_GB2312" w:cs="Times New Roman"/>
          <w:kern w:val="0"/>
          <w:sz w:val="32"/>
          <w:szCs w:val="32"/>
          <w:lang w:val="en-US" w:eastAsia="zh-CN" w:bidi="ar-SA"/>
        </w:rPr>
        <w:t>成为</w:t>
      </w:r>
      <w:r>
        <w:rPr>
          <w:rFonts w:hint="eastAsia" w:ascii="Times New Roman" w:hAnsi="Times New Roman" w:eastAsia="仿宋_GB2312" w:cs="Times New Roman"/>
          <w:kern w:val="0"/>
          <w:sz w:val="32"/>
          <w:szCs w:val="32"/>
          <w:lang w:val="en-US" w:eastAsia="zh-CN" w:bidi="ar-SA"/>
        </w:rPr>
        <w:t>发展</w:t>
      </w:r>
      <w:r>
        <w:rPr>
          <w:rFonts w:hint="default" w:ascii="Times New Roman" w:hAnsi="Times New Roman" w:eastAsia="仿宋_GB2312" w:cs="Times New Roman"/>
          <w:kern w:val="0"/>
          <w:sz w:val="32"/>
          <w:szCs w:val="32"/>
          <w:lang w:val="en-US" w:eastAsia="zh-CN" w:bidi="ar-SA"/>
        </w:rPr>
        <w:t>新引擎</w:t>
      </w:r>
      <w:r>
        <w:rPr>
          <w:rFonts w:ascii="Times New Roman" w:hAnsi="Times New Roman" w:eastAsia="仿宋_GB2312" w:cs="Times New Roman"/>
          <w:kern w:val="0"/>
          <w:sz w:val="32"/>
          <w:szCs w:val="32"/>
          <w:lang w:val="en-US" w:eastAsia="zh-CN" w:bidi="ar-SA"/>
        </w:rPr>
        <w:t>。</w:t>
      </w:r>
      <w:bookmarkEnd w:id="16"/>
      <w:bookmarkEnd w:id="17"/>
      <w:bookmarkEnd w:id="18"/>
    </w:p>
    <w:p w14:paraId="39573821">
      <w:pPr>
        <w:widowControl w:val="0"/>
        <w:spacing w:line="560" w:lineRule="exact"/>
        <w:ind w:firstLine="643" w:firstLineChars="200"/>
        <w:jc w:val="both"/>
        <w:rPr>
          <w:rFonts w:ascii="仿宋_GB2312" w:hAnsi="Times New Roman" w:eastAsia="仿宋_GB2312" w:cs="Times New Roman"/>
          <w:kern w:val="0"/>
          <w:sz w:val="32"/>
          <w:szCs w:val="32"/>
          <w:lang w:val="en-US" w:eastAsia="zh-CN" w:bidi="ar-SA"/>
        </w:rPr>
      </w:pPr>
      <w:bookmarkStart w:id="19" w:name="_Toc964405831"/>
      <w:bookmarkStart w:id="20" w:name="_Toc206064170"/>
      <w:bookmarkStart w:id="21" w:name="_Toc206077038"/>
      <w:bookmarkStart w:id="22" w:name="_Toc1013287044"/>
      <w:r>
        <w:rPr>
          <w:rFonts w:hint="eastAsia" w:ascii="仿宋_GB2312" w:hAnsi="仿宋_GB2312" w:eastAsia="仿宋_GB2312" w:cs="仿宋_GB2312"/>
          <w:b/>
          <w:bCs/>
          <w:kern w:val="0"/>
          <w:sz w:val="32"/>
          <w:szCs w:val="32"/>
          <w:lang w:val="en-US" w:eastAsia="zh-CN" w:bidi="ar-SA"/>
        </w:rPr>
        <w:t>文旅消费彰显新活力</w:t>
      </w:r>
      <w:bookmarkEnd w:id="19"/>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深入推进文商旅融合发展，出台促进文旅消费的八大政策，大力发展“赛事经济”“潮流消费”“演唱会经济”等文化消费新业态新场景。每年举办演唱会百余场，带动消费</w:t>
      </w:r>
      <w:r>
        <w:rPr>
          <w:rFonts w:hint="default" w:ascii="Times New Roman" w:hAnsi="Times New Roman" w:eastAsia="仿宋_GB2312" w:cs="Times New Roman"/>
          <w:kern w:val="0"/>
          <w:sz w:val="32"/>
          <w:szCs w:val="32"/>
          <w:lang w:val="en-US" w:eastAsia="zh-CN" w:bidi="ar-SA"/>
        </w:rPr>
        <w:t>超100亿元。</w:t>
      </w:r>
      <w:r>
        <w:rPr>
          <w:rFonts w:hint="eastAsia" w:ascii="Times New Roman" w:hAnsi="Times New Roman" w:eastAsia="仿宋_GB2312" w:cs="Times New Roman"/>
          <w:b w:val="0"/>
          <w:bCs/>
          <w:kern w:val="0"/>
          <w:sz w:val="32"/>
          <w:szCs w:val="32"/>
          <w:highlight w:val="none"/>
          <w:lang w:val="en-US" w:eastAsia="zh-CN" w:bidi="ar-SA"/>
        </w:rPr>
        <w:t>王者荣耀总决赛吸引6.2万名观众，创吉尼斯世界纪录。</w:t>
      </w:r>
      <w:r>
        <w:rPr>
          <w:rFonts w:hint="default" w:ascii="Times New Roman" w:hAnsi="Times New Roman" w:eastAsia="仿宋_GB2312" w:cs="Times New Roman"/>
          <w:kern w:val="0"/>
          <w:sz w:val="32"/>
          <w:szCs w:val="32"/>
          <w:lang w:val="en-US" w:eastAsia="zh-CN" w:bidi="ar-SA"/>
        </w:rPr>
        <w:t>认定18家文旅消费特色街区、20家演艺新空间，落地首家国家文创实验区</w:t>
      </w:r>
      <w:r>
        <w:rPr>
          <w:rFonts w:hint="default" w:ascii="Times New Roman" w:hAnsi="Times New Roman" w:eastAsia="微软雅黑"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国潮文创店。每年在重点园区举办的文化消费活动2000余场，推出798艺术季、国际音响展、国际设计节、郎园图书市集等一批品牌活动。全区汇聚泡泡玛特、</w:t>
      </w:r>
      <w:r>
        <w:rPr>
          <w:rFonts w:hint="eastAsia" w:ascii="Times New Roman" w:hAnsi="Times New Roman" w:eastAsia="仿宋_GB2312" w:cs="Times New Roman"/>
          <w:kern w:val="0"/>
          <w:sz w:val="32"/>
          <w:szCs w:val="32"/>
          <w:lang w:val="en-US" w:eastAsia="zh-CN" w:bidi="ar-SA"/>
        </w:rPr>
        <w:t>奇梦岛、</w:t>
      </w:r>
      <w:r>
        <w:rPr>
          <w:rFonts w:hint="default" w:ascii="Times New Roman" w:hAnsi="Times New Roman" w:eastAsia="仿宋_GB2312" w:cs="Times New Roman"/>
          <w:kern w:val="0"/>
          <w:sz w:val="32"/>
          <w:szCs w:val="32"/>
          <w:lang w:val="en-US" w:eastAsia="zh-CN" w:bidi="ar-SA"/>
        </w:rPr>
        <w:t>乐自天成等潮玩品牌，Labubu</w:t>
      </w:r>
      <w:r>
        <w:rPr>
          <w:rFonts w:hint="eastAsia" w:ascii="Times New Roman" w:hAnsi="Times New Roman" w:eastAsia="仿宋_GB2312" w:cs="Times New Roman"/>
          <w:kern w:val="0"/>
          <w:sz w:val="32"/>
          <w:szCs w:val="32"/>
          <w:lang w:val="en-US" w:eastAsia="zh-CN" w:bidi="ar-SA"/>
        </w:rPr>
        <w:t>作为消费新趋势代表入选2025全球经济大事件</w:t>
      </w:r>
      <w:r>
        <w:rPr>
          <w:rFonts w:hint="default" w:ascii="Times New Roman" w:hAnsi="Times New Roman" w:eastAsia="仿宋_GB2312" w:cs="Times New Roman"/>
          <w:kern w:val="0"/>
          <w:sz w:val="32"/>
          <w:szCs w:val="32"/>
          <w:lang w:val="en-US" w:eastAsia="zh-CN" w:bidi="ar-SA"/>
        </w:rPr>
        <w:t>。2023年朝</w:t>
      </w:r>
      <w:r>
        <w:rPr>
          <w:rFonts w:hint="eastAsia" w:ascii="仿宋_GB2312" w:hAnsi="Times New Roman" w:eastAsia="仿宋_GB2312" w:cs="Times New Roman"/>
          <w:kern w:val="0"/>
          <w:sz w:val="32"/>
          <w:szCs w:val="32"/>
          <w:lang w:val="en-US" w:eastAsia="zh-CN" w:bidi="ar-SA"/>
        </w:rPr>
        <w:t>阳入选首批国家文化产业和旅游产业融合发展示范区建设单位。</w:t>
      </w:r>
      <w:bookmarkEnd w:id="20"/>
      <w:bookmarkEnd w:id="21"/>
      <w:bookmarkEnd w:id="22"/>
    </w:p>
    <w:p w14:paraId="53D4E749">
      <w:pPr>
        <w:widowControl w:val="0"/>
        <w:spacing w:line="560" w:lineRule="exact"/>
        <w:ind w:firstLine="643" w:firstLineChars="200"/>
        <w:jc w:val="both"/>
        <w:rPr>
          <w:rFonts w:ascii="仿宋_GB2312" w:hAnsi="Times New Roman" w:eastAsia="仿宋_GB2312" w:cs="Times New Roman"/>
          <w:kern w:val="0"/>
          <w:sz w:val="32"/>
          <w:szCs w:val="32"/>
          <w:lang w:val="en-US" w:eastAsia="zh-CN" w:bidi="ar-SA"/>
        </w:rPr>
      </w:pPr>
      <w:bookmarkStart w:id="23" w:name="_Toc1709717708"/>
      <w:bookmarkStart w:id="24" w:name="_Toc770027798"/>
      <w:bookmarkStart w:id="25" w:name="_Toc206064171"/>
      <w:bookmarkStart w:id="26" w:name="_Toc206077039"/>
      <w:r>
        <w:rPr>
          <w:rFonts w:hint="eastAsia" w:ascii="仿宋_GB2312" w:hAnsi="仿宋_GB2312" w:eastAsia="仿宋_GB2312" w:cs="仿宋_GB2312"/>
          <w:b/>
          <w:bCs/>
          <w:kern w:val="0"/>
          <w:sz w:val="32"/>
          <w:szCs w:val="32"/>
          <w:lang w:val="en-US" w:eastAsia="zh-CN" w:bidi="ar-SA"/>
        </w:rPr>
        <w:t>文化贸易呈现新亮点</w:t>
      </w:r>
      <w:bookmarkEnd w:id="23"/>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依</w:t>
      </w:r>
      <w:r>
        <w:rPr>
          <w:rFonts w:hint="eastAsia" w:ascii="仿宋_GB2312" w:hAnsi="仿宋_GB2312" w:eastAsia="仿宋_GB2312" w:cs="仿宋_GB2312"/>
          <w:kern w:val="0"/>
          <w:sz w:val="32"/>
          <w:szCs w:val="32"/>
          <w:lang w:val="en-US" w:eastAsia="zh-CN" w:bidi="ar-SA"/>
        </w:rPr>
        <w:t>托“两区”政策</w:t>
      </w:r>
      <w:r>
        <w:rPr>
          <w:rFonts w:ascii="仿宋_GB2312" w:hAnsi="Times New Roman" w:eastAsia="仿宋_GB2312" w:cs="Times New Roman"/>
          <w:kern w:val="0"/>
          <w:sz w:val="32"/>
          <w:szCs w:val="32"/>
          <w:lang w:val="en-US" w:eastAsia="zh-CN" w:bidi="ar-SA"/>
        </w:rPr>
        <w:t>优势，在文化领域率先实施外资准入开放举措，吸引索尼音乐</w:t>
      </w:r>
      <w:r>
        <w:rPr>
          <w:rFonts w:hint="eastAsia" w:ascii="仿宋_GB2312" w:hAnsi="Times New Roman" w:eastAsia="仿宋_GB2312" w:cs="Times New Roman"/>
          <w:kern w:val="0"/>
          <w:sz w:val="32"/>
          <w:szCs w:val="32"/>
          <w:lang w:val="en-US" w:eastAsia="zh-CN" w:bidi="ar-SA"/>
        </w:rPr>
        <w:t>、爱贝克斯</w:t>
      </w:r>
      <w:r>
        <w:rPr>
          <w:rFonts w:ascii="仿宋_GB2312" w:hAnsi="Times New Roman" w:eastAsia="仿宋_GB2312" w:cs="Times New Roman"/>
          <w:kern w:val="0"/>
          <w:sz w:val="32"/>
          <w:szCs w:val="32"/>
          <w:lang w:val="en-US" w:eastAsia="zh-CN" w:bidi="ar-SA"/>
        </w:rPr>
        <w:t>等国际企业落户，</w:t>
      </w:r>
      <w:r>
        <w:rPr>
          <w:rFonts w:hint="eastAsia" w:ascii="仿宋_GB2312" w:hAnsi="Times New Roman" w:eastAsia="仿宋_GB2312" w:cs="Times New Roman"/>
          <w:kern w:val="0"/>
          <w:sz w:val="32"/>
          <w:szCs w:val="32"/>
          <w:lang w:val="en-US" w:eastAsia="zh-CN" w:bidi="ar-SA"/>
        </w:rPr>
        <w:t>建成</w:t>
      </w:r>
      <w:r>
        <w:rPr>
          <w:rFonts w:ascii="仿宋_GB2312" w:hAnsi="Times New Roman" w:eastAsia="仿宋_GB2312" w:cs="Times New Roman"/>
          <w:kern w:val="0"/>
          <w:sz w:val="32"/>
          <w:szCs w:val="32"/>
          <w:lang w:val="en-US" w:eastAsia="zh-CN" w:bidi="ar-SA"/>
        </w:rPr>
        <w:t>正大宝库等</w:t>
      </w:r>
      <w:r>
        <w:rPr>
          <w:rFonts w:hint="eastAsia" w:ascii="仿宋_GB2312" w:hAnsi="Times New Roman" w:eastAsia="仿宋_GB2312" w:cs="Times New Roman"/>
          <w:kern w:val="0"/>
          <w:sz w:val="32"/>
          <w:szCs w:val="32"/>
          <w:lang w:val="en-US" w:eastAsia="zh-CN" w:bidi="ar-SA"/>
        </w:rPr>
        <w:t>文化艺术</w:t>
      </w:r>
      <w:r>
        <w:rPr>
          <w:rFonts w:ascii="仿宋_GB2312" w:hAnsi="Times New Roman" w:eastAsia="仿宋_GB2312" w:cs="Times New Roman"/>
          <w:kern w:val="0"/>
          <w:sz w:val="32"/>
          <w:szCs w:val="32"/>
          <w:lang w:val="en-US" w:eastAsia="zh-CN" w:bidi="ar-SA"/>
        </w:rPr>
        <w:t>保税项目</w:t>
      </w:r>
      <w:r>
        <w:rPr>
          <w:rFonts w:hint="eastAsia" w:ascii="仿宋_GB2312" w:hAnsi="Times New Roman" w:eastAsia="仿宋_GB2312" w:cs="Times New Roman"/>
          <w:kern w:val="0"/>
          <w:sz w:val="32"/>
          <w:szCs w:val="32"/>
          <w:lang w:val="en-US" w:eastAsia="zh-CN" w:bidi="ar-SA"/>
        </w:rPr>
        <w:t>，</w:t>
      </w:r>
      <w:r>
        <w:rPr>
          <w:rFonts w:hint="eastAsia" w:ascii="仿宋_GB2312" w:hAnsi="Times New Roman" w:eastAsia="仿宋_GB2312" w:cs="Times New Roman"/>
          <w:color w:val="000000"/>
          <w:kern w:val="0"/>
          <w:sz w:val="32"/>
          <w:szCs w:val="32"/>
          <w:lang w:val="en-US" w:eastAsia="zh-CN" w:bidi="ar-SA"/>
        </w:rPr>
        <w:t>率先支持英皇电影成为全国首</w:t>
      </w:r>
      <w:r>
        <w:rPr>
          <w:rFonts w:hint="default" w:ascii="Times New Roman" w:hAnsi="Times New Roman" w:eastAsia="仿宋_GB2312" w:cs="Times New Roman"/>
          <w:color w:val="000000"/>
          <w:kern w:val="0"/>
          <w:sz w:val="32"/>
          <w:szCs w:val="32"/>
          <w:lang w:val="en-US" w:eastAsia="zh-CN" w:bidi="ar-SA"/>
        </w:rPr>
        <w:t>家CEPA电影制作开放</w:t>
      </w:r>
      <w:r>
        <w:rPr>
          <w:rFonts w:hint="eastAsia" w:ascii="仿宋_GB2312" w:hAnsi="Times New Roman" w:eastAsia="仿宋_GB2312" w:cs="Times New Roman"/>
          <w:color w:val="000000"/>
          <w:kern w:val="0"/>
          <w:sz w:val="32"/>
          <w:szCs w:val="32"/>
          <w:lang w:val="en-US" w:eastAsia="zh-CN" w:bidi="ar-SA"/>
        </w:rPr>
        <w:t>政策受益企业。鼓励引导</w:t>
      </w:r>
      <w:r>
        <w:rPr>
          <w:rFonts w:ascii="仿宋_GB2312" w:hAnsi="Times New Roman" w:eastAsia="仿宋_GB2312" w:cs="Times New Roman"/>
          <w:kern w:val="0"/>
          <w:sz w:val="32"/>
          <w:szCs w:val="32"/>
          <w:lang w:val="en-US" w:eastAsia="zh-CN" w:bidi="ar-SA"/>
        </w:rPr>
        <w:t>文化企业拓展国际市场，</w:t>
      </w:r>
      <w:r>
        <w:rPr>
          <w:rFonts w:hint="eastAsia" w:ascii="仿宋_GB2312" w:hAnsi="Times New Roman" w:eastAsia="仿宋_GB2312" w:cs="Times New Roman"/>
          <w:kern w:val="0"/>
          <w:sz w:val="32"/>
          <w:szCs w:val="32"/>
          <w:lang w:val="en-US" w:eastAsia="zh-CN" w:bidi="ar-SA"/>
        </w:rPr>
        <w:t>“十四五”期间</w:t>
      </w:r>
      <w:r>
        <w:rPr>
          <w:rFonts w:ascii="仿宋_GB2312" w:hAnsi="Times New Roman" w:eastAsia="仿宋_GB2312" w:cs="Times New Roman"/>
          <w:kern w:val="0"/>
          <w:sz w:val="32"/>
          <w:szCs w:val="32"/>
          <w:lang w:val="en-US" w:eastAsia="zh-CN" w:bidi="ar-SA"/>
        </w:rPr>
        <w:t>培育</w:t>
      </w:r>
      <w:r>
        <w:rPr>
          <w:rFonts w:hint="eastAsia" w:ascii="仿宋_GB2312" w:hAnsi="Times New Roman" w:eastAsia="仿宋_GB2312" w:cs="Times New Roman"/>
          <w:kern w:val="0"/>
          <w:sz w:val="32"/>
          <w:szCs w:val="32"/>
          <w:lang w:val="en-US" w:eastAsia="zh-CN" w:bidi="ar-SA"/>
        </w:rPr>
        <w:t>形成</w:t>
      </w:r>
      <w:r>
        <w:rPr>
          <w:rFonts w:ascii="仿宋_GB2312" w:hAnsi="Times New Roman" w:eastAsia="仿宋_GB2312" w:cs="Times New Roman"/>
          <w:kern w:val="0"/>
          <w:sz w:val="32"/>
          <w:szCs w:val="32"/>
          <w:lang w:val="en-US" w:eastAsia="zh-CN" w:bidi="ar-SA"/>
        </w:rPr>
        <w:t>掌阅科技、环球视通等</w:t>
      </w:r>
      <w:r>
        <w:rPr>
          <w:rFonts w:hint="default" w:ascii="Times New Roman" w:hAnsi="Times New Roman" w:eastAsia="仿宋_GB2312" w:cs="Times New Roman"/>
          <w:kern w:val="0"/>
          <w:sz w:val="32"/>
          <w:szCs w:val="32"/>
          <w:lang w:val="en-US" w:eastAsia="zh-CN" w:bidi="ar-SA"/>
        </w:rPr>
        <w:t>37家重点文化出口企业和24个重点文化出口项目，位居全市前列</w:t>
      </w:r>
      <w:r>
        <w:rPr>
          <w:rFonts w:hint="eastAsia" w:ascii="Times New Roman" w:hAnsi="Times New Roman" w:eastAsia="仿宋_GB2312" w:cs="Times New Roman"/>
          <w:kern w:val="0"/>
          <w:sz w:val="32"/>
          <w:szCs w:val="32"/>
          <w:lang w:val="en-US" w:eastAsia="zh-CN" w:bidi="ar-SA"/>
        </w:rPr>
        <w:t>，网络文学、网络游戏、网络影视等数字出海亮点频出，国际文化贸易规模不断壮大</w:t>
      </w:r>
      <w:r>
        <w:rPr>
          <w:rFonts w:ascii="Times New Roman" w:hAnsi="Times New Roman" w:eastAsia="仿宋_GB2312" w:cs="Times New Roman"/>
          <w:kern w:val="0"/>
          <w:sz w:val="32"/>
          <w:szCs w:val="32"/>
          <w:lang w:val="en-US" w:eastAsia="zh-CN" w:bidi="ar-SA"/>
        </w:rPr>
        <w:t>。积极搭建海外推广平台，</w:t>
      </w:r>
      <w:r>
        <w:rPr>
          <w:rFonts w:hint="default" w:ascii="Times New Roman" w:hAnsi="Times New Roman" w:eastAsia="仿宋_GB2312" w:cs="Times New Roman"/>
          <w:kern w:val="0"/>
          <w:sz w:val="32"/>
          <w:szCs w:val="32"/>
          <w:lang w:val="en-US" w:eastAsia="zh-CN" w:bidi="ar-SA"/>
        </w:rPr>
        <w:t>助力</w:t>
      </w:r>
      <w:r>
        <w:rPr>
          <w:rFonts w:ascii="Times New Roman" w:hAnsi="Times New Roman" w:eastAsia="仿宋_GB2312" w:cs="Times New Roman"/>
          <w:kern w:val="0"/>
          <w:sz w:val="32"/>
          <w:szCs w:val="32"/>
          <w:lang w:val="en-US" w:eastAsia="zh-CN" w:bidi="ar-SA"/>
        </w:rPr>
        <w:t>《我的阿勒泰》《流浪地球2》等优质作品出海，文化国际影响力</w:t>
      </w:r>
      <w:r>
        <w:rPr>
          <w:rFonts w:hint="default" w:ascii="Times New Roman" w:hAnsi="Times New Roman" w:eastAsia="仿宋_GB2312" w:cs="Times New Roman"/>
          <w:kern w:val="0"/>
          <w:sz w:val="32"/>
          <w:szCs w:val="32"/>
          <w:lang w:val="en-US" w:eastAsia="zh-CN" w:bidi="ar-SA"/>
        </w:rPr>
        <w:t>不断提升</w:t>
      </w:r>
      <w:r>
        <w:rPr>
          <w:rFonts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2021年朝阳</w:t>
      </w:r>
      <w:r>
        <w:rPr>
          <w:rFonts w:hint="eastAsia" w:ascii="仿宋_GB2312" w:hAnsi="Times New Roman" w:eastAsia="仿宋_GB2312" w:cs="Times New Roman"/>
          <w:kern w:val="0"/>
          <w:sz w:val="32"/>
          <w:szCs w:val="32"/>
          <w:lang w:val="en-US" w:eastAsia="zh-CN" w:bidi="ar-SA"/>
        </w:rPr>
        <w:t>区获评第二批</w:t>
      </w:r>
      <w:r>
        <w:rPr>
          <w:rFonts w:ascii="仿宋_GB2312" w:hAnsi="Times New Roman" w:eastAsia="仿宋_GB2312" w:cs="Times New Roman"/>
          <w:kern w:val="0"/>
          <w:sz w:val="32"/>
          <w:szCs w:val="32"/>
          <w:lang w:val="en-US" w:eastAsia="zh-CN" w:bidi="ar-SA"/>
        </w:rPr>
        <w:t>国家文化出口基地</w:t>
      </w:r>
      <w:r>
        <w:rPr>
          <w:rFonts w:hint="eastAsia" w:ascii="仿宋_GB2312" w:hAnsi="Times New Roman" w:eastAsia="仿宋_GB2312" w:cs="Times New Roman"/>
          <w:kern w:val="0"/>
          <w:sz w:val="32"/>
          <w:szCs w:val="32"/>
          <w:lang w:val="en-US" w:eastAsia="zh-CN" w:bidi="ar-SA"/>
        </w:rPr>
        <w:t>。</w:t>
      </w:r>
      <w:bookmarkEnd w:id="24"/>
      <w:bookmarkEnd w:id="25"/>
      <w:bookmarkEnd w:id="26"/>
      <w:bookmarkStart w:id="27" w:name="_Toc55484084"/>
      <w:bookmarkEnd w:id="27"/>
      <w:bookmarkStart w:id="28" w:name="_Toc55484577"/>
      <w:bookmarkEnd w:id="28"/>
    </w:p>
    <w:p w14:paraId="40193414">
      <w:pPr>
        <w:adjustRightInd w:val="0"/>
        <w:snapToGrid w:val="0"/>
        <w:spacing w:before="156" w:beforeLines="50" w:after="156" w:afterLines="50" w:line="560" w:lineRule="exact"/>
        <w:jc w:val="center"/>
        <w:outlineLvl w:val="1"/>
        <w:rPr>
          <w:rFonts w:ascii="楷体_GB2312" w:hAnsi="楷体_GB2312" w:eastAsia="楷体_GB2312" w:cs="楷体_GB2312"/>
          <w:b w:val="0"/>
          <w:bCs w:val="0"/>
          <w:sz w:val="32"/>
          <w:szCs w:val="32"/>
        </w:rPr>
      </w:pPr>
      <w:bookmarkStart w:id="29" w:name="_Toc32595"/>
      <w:r>
        <w:rPr>
          <w:rFonts w:hint="eastAsia" w:ascii="楷体_GB2312" w:hAnsi="楷体_GB2312" w:eastAsia="楷体_GB2312" w:cs="楷体_GB2312"/>
          <w:b w:val="0"/>
          <w:bCs w:val="0"/>
          <w:sz w:val="32"/>
          <w:szCs w:val="32"/>
        </w:rPr>
        <w:t>第二节 发展形势</w:t>
      </w:r>
      <w:bookmarkEnd w:id="29"/>
    </w:p>
    <w:p w14:paraId="0624FCFF">
      <w:pPr>
        <w:widowControl w:val="0"/>
        <w:spacing w:line="560" w:lineRule="exact"/>
        <w:ind w:firstLine="643" w:firstLineChars="200"/>
        <w:jc w:val="both"/>
        <w:rPr>
          <w:rFonts w:ascii="仿宋_GB2312" w:hAnsi="Times New Roman" w:eastAsia="仿宋_GB2312" w:cs="Times New Roman"/>
          <w:kern w:val="0"/>
          <w:sz w:val="32"/>
          <w:szCs w:val="32"/>
          <w:lang w:val="en-US" w:eastAsia="zh-CN" w:bidi="ar-SA"/>
        </w:rPr>
      </w:pPr>
      <w:bookmarkStart w:id="30" w:name="_Toc1416316497"/>
      <w:bookmarkStart w:id="31" w:name="_Toc206064173"/>
      <w:bookmarkStart w:id="32" w:name="_Toc768096511"/>
      <w:bookmarkStart w:id="33" w:name="_Toc206077041"/>
      <w:r>
        <w:rPr>
          <w:rFonts w:hint="eastAsia" w:ascii="仿宋_GB2312" w:hAnsi="仿宋_GB2312" w:eastAsia="仿宋_GB2312" w:cs="仿宋_GB2312"/>
          <w:b/>
          <w:bCs/>
          <w:kern w:val="0"/>
          <w:sz w:val="32"/>
          <w:szCs w:val="32"/>
          <w:lang w:val="en-US" w:eastAsia="zh-CN" w:bidi="ar-SA"/>
        </w:rPr>
        <w:t>国际形势演变加速文化领域竞争</w:t>
      </w:r>
      <w:bookmarkEnd w:id="30"/>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百年变局下国际竞争尤其是文化影响力竞争愈演愈烈。朝阳区作为北京国际文化交流与贸易的重要窗口，近年来涌现出泡泡玛特、蓝色光标等一批外向型文化企业，网络文学、网络游戏、网络影视剧、潮玩文创等“文化新四样”出海呈现良好发展态势，区域国际化资源优势持续释放出强劲潜能。朝阳区需紧抓“两区”建设机遇，深化文化领域开放政策创新，以国家文化出口基地建设为重要抓手，大力提升国际文化贸易水平。</w:t>
      </w:r>
      <w:bookmarkEnd w:id="31"/>
      <w:bookmarkEnd w:id="32"/>
      <w:bookmarkEnd w:id="33"/>
    </w:p>
    <w:p w14:paraId="12DAA568">
      <w:pPr>
        <w:widowControl w:val="0"/>
        <w:spacing w:line="560" w:lineRule="exact"/>
        <w:ind w:firstLine="643" w:firstLineChars="200"/>
        <w:jc w:val="both"/>
        <w:rPr>
          <w:rFonts w:ascii="仿宋_GB2312" w:hAnsi="Times New Roman" w:eastAsia="仿宋_GB2312" w:cs="Times New Roman"/>
          <w:kern w:val="0"/>
          <w:sz w:val="32"/>
          <w:szCs w:val="32"/>
          <w:lang w:val="en-US" w:eastAsia="zh-CN" w:bidi="ar-SA"/>
        </w:rPr>
      </w:pPr>
      <w:bookmarkStart w:id="34" w:name="_Toc1322621731"/>
      <w:bookmarkStart w:id="35" w:name="_Toc206077042"/>
      <w:bookmarkStart w:id="36" w:name="_Toc206064174"/>
      <w:bookmarkStart w:id="37" w:name="_Toc873858260"/>
      <w:r>
        <w:rPr>
          <w:rFonts w:hint="eastAsia" w:ascii="仿宋_GB2312" w:hAnsi="仿宋_GB2312" w:eastAsia="仿宋_GB2312" w:cs="仿宋_GB2312"/>
          <w:b/>
          <w:bCs/>
          <w:kern w:val="0"/>
          <w:sz w:val="32"/>
          <w:szCs w:val="32"/>
          <w:lang w:val="en-US" w:eastAsia="zh-CN" w:bidi="ar-SA"/>
        </w:rPr>
        <w:t>文化强国战略明确发展目标方向</w:t>
      </w:r>
      <w:bookmarkEnd w:id="34"/>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当前我国文化强国建设稳步向纵深推进。国家层面已对文化领域改革作出全面部署，一系列改革政策的红利持续释放，既为文化创新发展注入强劲动能，也为新时代文化产业高质量发展明确了新方向、提出了新要求。作为全国唯一的文化产业创新实验区核心承载地，朝阳区在推动文化领域改革创新体系建设中一直走在前列，发挥了重要的示范引领作用。面对新的发展形势，朝阳区应紧抓建设机遇，在文化政策先行先试、创新经验模式等方面展现更大作为，为全国文化领域改革贡献更多“朝阳方案”。</w:t>
      </w:r>
      <w:bookmarkEnd w:id="35"/>
      <w:bookmarkEnd w:id="36"/>
      <w:bookmarkEnd w:id="37"/>
    </w:p>
    <w:p w14:paraId="3436C6BE">
      <w:pPr>
        <w:widowControl w:val="0"/>
        <w:spacing w:line="560" w:lineRule="exact"/>
        <w:ind w:firstLine="643" w:firstLineChars="200"/>
        <w:jc w:val="both"/>
        <w:rPr>
          <w:rFonts w:ascii="仿宋_GB2312" w:hAnsi="Times New Roman" w:eastAsia="仿宋_GB2312" w:cs="Times New Roman"/>
          <w:kern w:val="0"/>
          <w:sz w:val="32"/>
          <w:szCs w:val="32"/>
          <w:lang w:val="en-US" w:eastAsia="zh-CN" w:bidi="ar-SA"/>
        </w:rPr>
      </w:pPr>
      <w:bookmarkStart w:id="38" w:name="_Toc700202820"/>
      <w:bookmarkStart w:id="39" w:name="_Toc295113987"/>
      <w:bookmarkStart w:id="40" w:name="_Toc206064175"/>
      <w:bookmarkStart w:id="41" w:name="_Toc206077043"/>
      <w:r>
        <w:rPr>
          <w:rFonts w:hint="eastAsia" w:ascii="仿宋_GB2312" w:hAnsi="仿宋_GB2312" w:eastAsia="仿宋_GB2312" w:cs="仿宋_GB2312"/>
          <w:b/>
          <w:bCs/>
          <w:kern w:val="0"/>
          <w:sz w:val="32"/>
          <w:szCs w:val="32"/>
          <w:lang w:val="en-US" w:eastAsia="zh-CN" w:bidi="ar-SA"/>
        </w:rPr>
        <w:t>全国文化中心建设纵深推进提出更高要求</w:t>
      </w:r>
      <w:bookmarkEnd w:id="38"/>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随着北京全国文化中心建设日益深化，文化产业发展被赋予系统性、高质量的更高要求。作为北京文化产业发展的重要承载区，朝阳区应充分发挥区域文化企业、人才、场景等聚集优势，持续优化政策供给，重点培育具有国际竞争力的龙头企业及特色产业集群，引导要素资源向优质文化项目集中，推动区域文化产业深度契合首都城市功能定位，成为服务全国文化中心建设的重要力量。</w:t>
      </w:r>
    </w:p>
    <w:bookmarkEnd w:id="39"/>
    <w:bookmarkEnd w:id="40"/>
    <w:bookmarkEnd w:id="41"/>
    <w:p w14:paraId="2AEA533B">
      <w:pPr>
        <w:spacing w:line="560" w:lineRule="exact"/>
        <w:ind w:firstLine="643"/>
        <w:rPr>
          <w:rFonts w:hint="eastAsia"/>
        </w:rPr>
        <w:sectPr>
          <w:footerReference r:id="rId8" w:type="default"/>
          <w:pgSz w:w="11906" w:h="16838"/>
          <w:pgMar w:top="1417" w:right="1474" w:bottom="1417" w:left="1588" w:header="851" w:footer="992" w:gutter="0"/>
          <w:pgNumType w:fmt="decimal" w:start="1"/>
          <w:cols w:space="425" w:num="1"/>
          <w:docGrid w:type="lines" w:linePitch="312" w:charSpace="0"/>
        </w:sectPr>
      </w:pPr>
      <w:bookmarkStart w:id="42" w:name="_Toc98410180"/>
      <w:bookmarkStart w:id="43" w:name="_Toc1441038586"/>
      <w:bookmarkStart w:id="44" w:name="_Toc206064176"/>
      <w:bookmarkStart w:id="45" w:name="_Toc206077044"/>
      <w:r>
        <w:rPr>
          <w:rFonts w:hint="eastAsia" w:ascii="仿宋_GB2312" w:hAnsi="仿宋_GB2312" w:eastAsia="仿宋_GB2312" w:cs="仿宋_GB2312"/>
          <w:b/>
          <w:bCs/>
          <w:kern w:val="0"/>
          <w:sz w:val="32"/>
          <w:szCs w:val="32"/>
          <w:lang w:val="en-US" w:eastAsia="zh-CN" w:bidi="ar-SA"/>
        </w:rPr>
        <w:t>新技术创新应用加速产业深刻变革</w:t>
      </w:r>
      <w:bookmarkEnd w:id="42"/>
      <w:r>
        <w:rPr>
          <w:rFonts w:hint="eastAsia" w:ascii="仿宋_GB2312" w:hAnsi="仿宋_GB2312" w:eastAsia="仿宋_GB2312" w:cs="仿宋_GB2312"/>
          <w:b/>
          <w:bCs/>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数字技术正加速重构文化产业底层逻辑，推动生产、消费及产业生态全面革新。人工智能、大数据、云计算、超高清等技术突破将进一步提升文化生产智能化水平，推动数智化时代到来。数字技术对培育文化新业态、催生新增长点的作用愈发凸显，数字文化作为国家文化数字化战略和文化强国战略双战略交汇点，战略地位持续提升。新的产业变革机遇期，朝阳区需加快文化产业数字化布局，完善数字基建、高质量数据集、行业</w:t>
      </w:r>
      <w:r>
        <w:rPr>
          <w:rFonts w:hint="eastAsia" w:ascii="仿宋_GB2312" w:hAnsi="Times New Roman" w:eastAsia="仿宋_GB2312" w:cs="Times New Roman"/>
          <w:kern w:val="0"/>
          <w:sz w:val="32"/>
          <w:szCs w:val="40"/>
          <w:lang w:val="en-US" w:eastAsia="zh-CN" w:bidi="ar-SA"/>
        </w:rPr>
        <w:t>大模型、智能体工具链平台</w:t>
      </w:r>
      <w:r>
        <w:rPr>
          <w:rFonts w:hint="eastAsia" w:ascii="仿宋_GB2312" w:hAnsi="Times New Roman" w:eastAsia="仿宋_GB2312" w:cs="Times New Roman"/>
          <w:kern w:val="0"/>
          <w:sz w:val="32"/>
          <w:szCs w:val="32"/>
          <w:lang w:val="en-US" w:eastAsia="zh-CN" w:bidi="ar-SA"/>
        </w:rPr>
        <w:t>建设，推进文化科技场景示范，培育技术驱动的文化新质生产力，增强数字文化竞争力。</w:t>
      </w:r>
      <w:bookmarkEnd w:id="43"/>
      <w:bookmarkEnd w:id="44"/>
      <w:bookmarkEnd w:id="45"/>
    </w:p>
    <w:p w14:paraId="08CE5491">
      <w:pPr>
        <w:widowControl w:val="0"/>
        <w:autoSpaceDE/>
        <w:autoSpaceDN/>
        <w:adjustRightInd w:val="0"/>
        <w:spacing w:before="156" w:beforeLines="50" w:after="156" w:afterLines="50" w:line="560" w:lineRule="exact"/>
        <w:ind w:firstLine="0" w:firstLineChars="0"/>
        <w:jc w:val="center"/>
        <w:outlineLvl w:val="0"/>
        <w:rPr>
          <w:rFonts w:ascii="楷体_GB2312" w:hAnsi="楷体_GB2312" w:eastAsia="楷体_GB2312" w:cs="楷体_GB2312"/>
          <w:b/>
          <w:color w:val="000000"/>
          <w:sz w:val="32"/>
          <w:szCs w:val="32"/>
          <w:lang w:val="en-US" w:eastAsia="zh-CN" w:bidi="ar-SA"/>
        </w:rPr>
      </w:pPr>
      <w:bookmarkStart w:id="46" w:name="_Toc13472"/>
      <w:r>
        <w:rPr>
          <w:rFonts w:hint="eastAsia" w:ascii="方正小标宋简体" w:hAnsi="方正小标宋简体" w:eastAsia="方正小标宋简体" w:cs="方正小标宋简体"/>
          <w:bCs/>
          <w:color w:val="000000"/>
          <w:sz w:val="36"/>
          <w:szCs w:val="36"/>
          <w:lang w:val="en-US" w:eastAsia="zh-CN" w:bidi="ar-SA"/>
        </w:rPr>
        <w:t>第二章 总体要求</w:t>
      </w:r>
      <w:bookmarkEnd w:id="46"/>
    </w:p>
    <w:p w14:paraId="7B247FDA">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47" w:name="_Toc876110741"/>
      <w:bookmarkStart w:id="48" w:name="_Toc14712"/>
      <w:r>
        <w:rPr>
          <w:rFonts w:hint="eastAsia" w:ascii="楷体_GB2312" w:hAnsi="楷体_GB2312" w:eastAsia="楷体_GB2312" w:cs="楷体_GB2312"/>
          <w:b w:val="0"/>
          <w:bCs/>
          <w:color w:val="000000"/>
          <w:sz w:val="32"/>
          <w:szCs w:val="32"/>
          <w:lang w:val="en-US" w:eastAsia="zh-CN" w:bidi="ar-SA"/>
        </w:rPr>
        <w:t>第一节 指导思想</w:t>
      </w:r>
      <w:bookmarkEnd w:id="47"/>
      <w:bookmarkEnd w:id="48"/>
    </w:p>
    <w:p w14:paraId="4FEC9224">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highlight w:val="none"/>
          <w:lang w:eastAsia="zh-CN"/>
        </w:rPr>
        <w:t>全面贯彻习近平新时代中国特色社会主义思想</w:t>
      </w:r>
      <w:r>
        <w:rPr>
          <w:rFonts w:ascii="Times New Roman" w:hAnsi="Times New Roman" w:eastAsia="仿宋_GB2312"/>
          <w:sz w:val="32"/>
          <w:szCs w:val="32"/>
          <w:highlight w:val="none"/>
        </w:rPr>
        <w:t>，深入贯彻党的二十大</w:t>
      </w:r>
      <w:r>
        <w:rPr>
          <w:rFonts w:hint="eastAsia" w:ascii="Times New Roman" w:hAnsi="Times New Roman" w:eastAsia="仿宋_GB2312"/>
          <w:sz w:val="32"/>
          <w:szCs w:val="32"/>
          <w:highlight w:val="none"/>
          <w:lang w:eastAsia="zh-CN"/>
        </w:rPr>
        <w:t>和</w:t>
      </w:r>
      <w:r>
        <w:rPr>
          <w:rFonts w:ascii="Times New Roman" w:hAnsi="Times New Roman" w:eastAsia="仿宋_GB2312"/>
          <w:sz w:val="32"/>
          <w:szCs w:val="32"/>
          <w:highlight w:val="none"/>
        </w:rPr>
        <w:t>二十届</w:t>
      </w:r>
      <w:r>
        <w:rPr>
          <w:rFonts w:hint="eastAsia" w:ascii="Times New Roman" w:hAnsi="Times New Roman" w:eastAsia="仿宋_GB2312"/>
          <w:sz w:val="32"/>
          <w:szCs w:val="32"/>
          <w:highlight w:val="none"/>
          <w:lang w:eastAsia="zh-CN"/>
        </w:rPr>
        <w:t>历次</w:t>
      </w:r>
      <w:r>
        <w:rPr>
          <w:rFonts w:ascii="Times New Roman" w:hAnsi="Times New Roman" w:eastAsia="仿宋_GB2312"/>
          <w:sz w:val="32"/>
          <w:szCs w:val="32"/>
          <w:highlight w:val="none"/>
        </w:rPr>
        <w:t>全会精神，深入贯彻习近平总书记对北京的重要讲话精神，坚定不移贯彻新发展理念，坚持社会主义先进文化前进方向，</w:t>
      </w:r>
      <w:r>
        <w:rPr>
          <w:rFonts w:hint="eastAsia" w:ascii="Times New Roman" w:hAnsi="Times New Roman" w:eastAsia="仿宋_GB2312"/>
          <w:sz w:val="32"/>
          <w:szCs w:val="32"/>
          <w:highlight w:val="none"/>
        </w:rPr>
        <w:t>紧紧围绕首都“四个中心”城市战略定位，聚焦</w:t>
      </w:r>
      <w:r>
        <w:rPr>
          <w:rFonts w:hint="eastAsia" w:ascii="Times New Roman" w:hAnsi="Times New Roman" w:eastAsia="仿宋_GB2312"/>
          <w:sz w:val="32"/>
          <w:szCs w:val="32"/>
          <w:highlight w:val="none"/>
          <w:lang w:eastAsia="zh-CN"/>
        </w:rPr>
        <w:t>提升“五区”功能、建好</w:t>
      </w:r>
      <w:r>
        <w:rPr>
          <w:rFonts w:hint="eastAsia" w:ascii="Times New Roman" w:hAnsi="Times New Roman" w:eastAsia="仿宋_GB2312"/>
          <w:sz w:val="32"/>
          <w:szCs w:val="32"/>
          <w:highlight w:val="none"/>
        </w:rPr>
        <w:t>“五宜”</w:t>
      </w:r>
      <w:r>
        <w:rPr>
          <w:rFonts w:hint="eastAsia" w:ascii="Times New Roman" w:hAnsi="Times New Roman" w:eastAsia="仿宋_GB2312"/>
          <w:sz w:val="32"/>
          <w:szCs w:val="32"/>
          <w:highlight w:val="none"/>
          <w:lang w:eastAsia="zh-CN"/>
        </w:rPr>
        <w:t>朝阳</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锚定建设首都文化创新引领区发展目标，</w:t>
      </w:r>
      <w:r>
        <w:rPr>
          <w:rFonts w:hint="eastAsia" w:ascii="Times New Roman" w:hAnsi="Times New Roman" w:eastAsia="仿宋_GB2312"/>
          <w:sz w:val="32"/>
          <w:szCs w:val="32"/>
        </w:rPr>
        <w:t>充分发挥</w:t>
      </w:r>
      <w:r>
        <w:rPr>
          <w:rFonts w:hint="eastAsia" w:ascii="Times New Roman" w:hAnsi="Times New Roman" w:eastAsia="仿宋_GB2312"/>
          <w:sz w:val="32"/>
          <w:szCs w:val="32"/>
          <w:lang w:eastAsia="zh-CN"/>
        </w:rPr>
        <w:t>国家文化产业创新实验区</w:t>
      </w:r>
      <w:r>
        <w:rPr>
          <w:rFonts w:hint="eastAsia" w:ascii="仿宋_GB2312" w:hAnsi="仿宋_GB2312" w:eastAsia="仿宋_GB2312" w:cs="仿宋_GB2312"/>
          <w:sz w:val="32"/>
          <w:szCs w:val="32"/>
        </w:rPr>
        <w:t>示范带动作用，强化</w:t>
      </w:r>
      <w:r>
        <w:rPr>
          <w:rFonts w:hint="eastAsia" w:ascii="仿宋_GB2312" w:hAnsi="仿宋_GB2312" w:eastAsia="仿宋_GB2312" w:cs="仿宋_GB2312"/>
          <w:sz w:val="32"/>
          <w:szCs w:val="32"/>
          <w:lang w:eastAsia="zh-CN"/>
        </w:rPr>
        <w:t>精细化、</w:t>
      </w:r>
      <w:r>
        <w:rPr>
          <w:rFonts w:hint="eastAsia" w:ascii="仿宋_GB2312" w:hAnsi="仿宋_GB2312" w:eastAsia="仿宋_GB2312" w:cs="仿宋_GB2312"/>
          <w:sz w:val="32"/>
          <w:szCs w:val="32"/>
        </w:rPr>
        <w:t>系统性、链群式发展思维，大力开展首创性、集成式探索创新，深入推进文化产业数智化转型升级，不断激发文商旅体</w:t>
      </w:r>
      <w:r>
        <w:rPr>
          <w:rFonts w:hint="eastAsia" w:ascii="仿宋_GB2312" w:hAnsi="仿宋_GB2312" w:eastAsia="仿宋_GB2312" w:cs="仿宋_GB2312"/>
          <w:sz w:val="32"/>
          <w:szCs w:val="32"/>
          <w:lang w:eastAsia="zh-CN"/>
        </w:rPr>
        <w:t>展</w:t>
      </w:r>
      <w:r>
        <w:rPr>
          <w:rFonts w:hint="eastAsia" w:ascii="仿宋_GB2312" w:hAnsi="仿宋_GB2312" w:eastAsia="仿宋_GB2312" w:cs="仿宋_GB2312"/>
          <w:sz w:val="32"/>
          <w:szCs w:val="32"/>
        </w:rPr>
        <w:t>消费活力，积极培育“链主”领航的企业体系，全力构建朝阳特色的现代文化产业体系和链群产业生态，持续优化高效协同联动的空间布局，努力将朝阳区建设成为具有国际影响力的文化创意之城，更</w:t>
      </w:r>
      <w:r>
        <w:rPr>
          <w:rFonts w:hint="eastAsia" w:ascii="仿宋_GB2312" w:hAnsi="仿宋_GB2312" w:eastAsia="仿宋_GB2312" w:cs="仿宋_GB2312"/>
          <w:sz w:val="32"/>
          <w:szCs w:val="32"/>
          <w:lang w:eastAsia="zh-CN"/>
        </w:rPr>
        <w:t>好地</w:t>
      </w:r>
      <w:r>
        <w:rPr>
          <w:rFonts w:hint="eastAsia" w:ascii="仿宋_GB2312" w:hAnsi="仿宋_GB2312" w:eastAsia="仿宋_GB2312" w:cs="仿宋_GB2312"/>
          <w:sz w:val="32"/>
          <w:szCs w:val="32"/>
        </w:rPr>
        <w:t>服务首都全国文化中心建设，为推动文化强国建设</w:t>
      </w:r>
      <w:r>
        <w:rPr>
          <w:rFonts w:hint="eastAsia" w:ascii="仿宋_GB2312" w:hAnsi="仿宋_GB2312" w:eastAsia="仿宋_GB2312" w:cs="仿宋_GB2312"/>
          <w:sz w:val="32"/>
          <w:szCs w:val="32"/>
          <w:lang w:eastAsia="zh-CN"/>
        </w:rPr>
        <w:t>作出</w:t>
      </w:r>
      <w:r>
        <w:rPr>
          <w:rFonts w:hint="eastAsia" w:ascii="仿宋_GB2312" w:hAnsi="仿宋_GB2312" w:eastAsia="仿宋_GB2312" w:cs="仿宋_GB2312"/>
          <w:sz w:val="32"/>
          <w:szCs w:val="32"/>
        </w:rPr>
        <w:t>更大贡献。</w:t>
      </w:r>
    </w:p>
    <w:p w14:paraId="73DB8E07">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49" w:name="_Toc26212"/>
      <w:bookmarkStart w:id="50" w:name="_Toc1645340155"/>
      <w:r>
        <w:rPr>
          <w:rFonts w:hint="eastAsia" w:ascii="楷体_GB2312" w:hAnsi="楷体_GB2312" w:eastAsia="楷体_GB2312" w:cs="楷体_GB2312"/>
          <w:b w:val="0"/>
          <w:bCs/>
          <w:color w:val="000000"/>
          <w:sz w:val="32"/>
          <w:szCs w:val="32"/>
          <w:lang w:val="en-US" w:eastAsia="zh-CN" w:bidi="ar-SA"/>
        </w:rPr>
        <w:t>第二节 发展原则</w:t>
      </w:r>
      <w:bookmarkEnd w:id="49"/>
      <w:bookmarkEnd w:id="50"/>
    </w:p>
    <w:p w14:paraId="5EBCA2BA">
      <w:pPr>
        <w:spacing w:line="560" w:lineRule="exact"/>
        <w:ind w:firstLine="643" w:firstLineChars="200"/>
        <w:rPr>
          <w:rFonts w:ascii="仿宋_GB2312" w:hAnsi="仿宋" w:eastAsia="仿宋_GB2312"/>
          <w:bCs/>
          <w:color w:val="000000"/>
          <w:sz w:val="32"/>
          <w:szCs w:val="32"/>
        </w:rPr>
      </w:pPr>
      <w:r>
        <w:rPr>
          <w:rFonts w:hint="eastAsia" w:ascii="仿宋_GB2312" w:hAnsi="仿宋" w:eastAsia="仿宋_GB2312"/>
          <w:b/>
          <w:color w:val="000000"/>
          <w:sz w:val="32"/>
          <w:szCs w:val="32"/>
        </w:rPr>
        <w:t>坚持改革创新。</w:t>
      </w:r>
      <w:r>
        <w:rPr>
          <w:rFonts w:hint="eastAsia" w:ascii="仿宋_GB2312" w:hAnsi="仿宋" w:eastAsia="仿宋_GB2312"/>
          <w:b w:val="0"/>
          <w:bCs/>
          <w:color w:val="000000"/>
          <w:sz w:val="32"/>
          <w:szCs w:val="32"/>
          <w:lang w:eastAsia="zh-CN"/>
        </w:rPr>
        <w:t>深化国家文化产业创新实验区建设，</w:t>
      </w:r>
      <w:r>
        <w:rPr>
          <w:rFonts w:hint="eastAsia" w:ascii="仿宋_GB2312" w:hAnsi="仿宋" w:eastAsia="仿宋_GB2312"/>
          <w:bCs/>
          <w:color w:val="000000"/>
          <w:sz w:val="32"/>
          <w:szCs w:val="32"/>
        </w:rPr>
        <w:t>以改革创新为核心动力，聚焦行业痛点与发展短板，深化文化体制机制、政策、科技及产业创新，破除行业</w:t>
      </w:r>
      <w:r>
        <w:rPr>
          <w:rFonts w:hint="eastAsia" w:ascii="仿宋_GB2312" w:hAnsi="仿宋" w:eastAsia="仿宋_GB2312"/>
          <w:bCs/>
          <w:color w:val="000000"/>
          <w:sz w:val="32"/>
          <w:szCs w:val="32"/>
          <w:lang w:eastAsia="zh-CN"/>
        </w:rPr>
        <w:t>、</w:t>
      </w:r>
      <w:r>
        <w:rPr>
          <w:rFonts w:hint="eastAsia" w:ascii="仿宋_GB2312" w:hAnsi="仿宋" w:eastAsia="仿宋_GB2312"/>
          <w:bCs/>
          <w:color w:val="000000"/>
          <w:sz w:val="32"/>
          <w:szCs w:val="32"/>
        </w:rPr>
        <w:t>要素</w:t>
      </w:r>
      <w:r>
        <w:rPr>
          <w:rFonts w:hint="eastAsia" w:ascii="仿宋_GB2312" w:hAnsi="仿宋" w:eastAsia="仿宋_GB2312"/>
          <w:bCs/>
          <w:color w:val="000000"/>
          <w:sz w:val="32"/>
          <w:szCs w:val="32"/>
          <w:lang w:eastAsia="zh-CN"/>
        </w:rPr>
        <w:t>流通</w:t>
      </w:r>
      <w:r>
        <w:rPr>
          <w:rFonts w:hint="eastAsia" w:ascii="仿宋_GB2312" w:hAnsi="仿宋" w:eastAsia="仿宋_GB2312"/>
          <w:bCs/>
          <w:color w:val="000000"/>
          <w:sz w:val="32"/>
          <w:szCs w:val="32"/>
        </w:rPr>
        <w:t>壁垒，完善市场决定资源配置与政府引导相结合的机制，以创新驱动强化高质量发展内生动力，全面激发文化创新活力。</w:t>
      </w:r>
    </w:p>
    <w:p w14:paraId="061FC0FD">
      <w:pPr>
        <w:spacing w:line="560" w:lineRule="exact"/>
        <w:ind w:firstLine="643" w:firstLineChars="200"/>
        <w:rPr>
          <w:rFonts w:ascii="仿宋_GB2312" w:hAnsi="仿宋" w:eastAsia="仿宋_GB2312"/>
          <w:color w:val="000000"/>
          <w:sz w:val="32"/>
          <w:szCs w:val="32"/>
        </w:rPr>
      </w:pPr>
      <w:r>
        <w:rPr>
          <w:rFonts w:hint="eastAsia" w:ascii="仿宋_GB2312" w:hAnsi="仿宋" w:eastAsia="仿宋_GB2312"/>
          <w:b/>
          <w:color w:val="000000"/>
          <w:sz w:val="32"/>
          <w:szCs w:val="32"/>
        </w:rPr>
        <w:t>坚持数智赋能。</w:t>
      </w:r>
      <w:r>
        <w:rPr>
          <w:rFonts w:hint="eastAsia" w:ascii="仿宋_GB2312" w:hAnsi="仿宋" w:eastAsia="仿宋_GB2312"/>
          <w:color w:val="000000"/>
          <w:sz w:val="32"/>
          <w:szCs w:val="32"/>
        </w:rPr>
        <w:t>紧抓数字化、智能化技术创新机遇，探索文化与科技融合机制，打造数字文化技术研发及成果转化平台，推动传统行业数字化转型，以数字技术赋能内容创作、业态创新和产业升级，培育新型文化业态，构建数智文化产业体系。</w:t>
      </w:r>
    </w:p>
    <w:p w14:paraId="628ABA02">
      <w:pPr>
        <w:widowControl w:val="0"/>
        <w:spacing w:line="560" w:lineRule="exact"/>
        <w:ind w:firstLine="642"/>
        <w:jc w:val="both"/>
        <w:rPr>
          <w:rFonts w:ascii="仿宋_GB2312" w:hAnsi="仿宋" w:eastAsia="仿宋_GB2312" w:cs="Times New Roman"/>
          <w:b w:val="0"/>
          <w:bCs w:val="0"/>
          <w:color w:val="000000"/>
          <w:kern w:val="2"/>
          <w:sz w:val="32"/>
          <w:szCs w:val="32"/>
          <w:lang w:val="en-US" w:eastAsia="zh-CN" w:bidi="ar-SA"/>
        </w:rPr>
      </w:pPr>
      <w:r>
        <w:rPr>
          <w:rFonts w:hint="eastAsia" w:ascii="仿宋_GB2312" w:hAnsi="仿宋" w:eastAsia="仿宋_GB2312" w:cs="Times New Roman"/>
          <w:b/>
          <w:color w:val="000000"/>
          <w:kern w:val="2"/>
          <w:sz w:val="32"/>
          <w:szCs w:val="32"/>
          <w:lang w:val="en-US" w:eastAsia="zh-CN" w:bidi="ar-SA"/>
        </w:rPr>
        <w:t>坚持链群发展。</w:t>
      </w:r>
      <w:r>
        <w:rPr>
          <w:rFonts w:hint="eastAsia" w:ascii="仿宋_GB2312" w:hAnsi="仿宋" w:eastAsia="仿宋_GB2312" w:cs="Times New Roman"/>
          <w:b w:val="0"/>
          <w:color w:val="000000"/>
          <w:kern w:val="2"/>
          <w:sz w:val="32"/>
          <w:szCs w:val="32"/>
          <w:lang w:val="en-US" w:eastAsia="zh-CN" w:bidi="ar-SA"/>
        </w:rPr>
        <w:t>以强链、延链、补链为核心抓手，加快培育龙头链主企业，推动新兴主导产业做大做强，前瞻布局未来产业，构建协同高效的链群产业生态。</w:t>
      </w:r>
      <w:r>
        <w:rPr>
          <w:rFonts w:hint="eastAsia" w:ascii="仿宋_GB2312" w:hAnsi="仿宋" w:eastAsia="仿宋_GB2312" w:cs="Times New Roman"/>
          <w:b w:val="0"/>
          <w:bCs w:val="0"/>
          <w:color w:val="000000"/>
          <w:kern w:val="2"/>
          <w:sz w:val="32"/>
          <w:szCs w:val="32"/>
          <w:lang w:val="en-US" w:eastAsia="zh-CN" w:bidi="ar-SA"/>
        </w:rPr>
        <w:t>推进文商旅体展多业态跨界联动，推动创新链、产业链、价值链与人才链深度融合，更好赋能城市经济社会发展。</w:t>
      </w:r>
    </w:p>
    <w:p w14:paraId="5E3E056A">
      <w:pPr>
        <w:adjustRightInd w:val="0"/>
        <w:snapToGrid w:val="0"/>
        <w:spacing w:line="560" w:lineRule="exact"/>
        <w:ind w:firstLine="643" w:firstLineChars="200"/>
        <w:rPr>
          <w:rFonts w:hint="eastAsia" w:ascii="Times New Roman" w:hAnsi="Times New Roman" w:eastAsia="仿宋_GB2312"/>
          <w:sz w:val="32"/>
          <w:szCs w:val="32"/>
        </w:rPr>
      </w:pPr>
      <w:r>
        <w:rPr>
          <w:rFonts w:ascii="Times New Roman" w:hAnsi="Times New Roman" w:eastAsia="仿宋_GB2312"/>
          <w:b/>
          <w:bCs/>
          <w:sz w:val="32"/>
          <w:szCs w:val="32"/>
        </w:rPr>
        <w:t>坚持开放</w:t>
      </w:r>
      <w:r>
        <w:rPr>
          <w:rFonts w:hint="eastAsia" w:ascii="Times New Roman" w:hAnsi="Times New Roman" w:eastAsia="仿宋_GB2312"/>
          <w:b/>
          <w:bCs/>
          <w:sz w:val="32"/>
          <w:szCs w:val="32"/>
        </w:rPr>
        <w:t>包容</w:t>
      </w:r>
      <w:r>
        <w:rPr>
          <w:rFonts w:ascii="Times New Roman" w:hAnsi="Times New Roman" w:eastAsia="仿宋_GB2312"/>
          <w:b/>
          <w:bCs/>
          <w:sz w:val="32"/>
          <w:szCs w:val="32"/>
        </w:rPr>
        <w:t>。</w:t>
      </w:r>
      <w:r>
        <w:rPr>
          <w:rFonts w:hint="eastAsia" w:ascii="Times New Roman" w:hAnsi="Times New Roman" w:eastAsia="仿宋_GB2312"/>
          <w:sz w:val="32"/>
          <w:szCs w:val="32"/>
        </w:rPr>
        <w:t>把握“两区”建设契机，深化文化领域改革开放，促进多元文化交流与文明互鉴。以开放姿态吸纳全球优质资源，推动中华文化更广泛走向世界，提升区域文化产品及企业的国际竞争力与影响力。构建多渠道、立体式对外传播格局，生动讲述中国故事、北京故事、朝阳故事。</w:t>
      </w:r>
    </w:p>
    <w:p w14:paraId="1F694762">
      <w:pPr>
        <w:spacing w:line="560" w:lineRule="exact"/>
        <w:ind w:firstLine="643" w:firstLineChars="200"/>
        <w:rPr>
          <w:rFonts w:ascii="Times New Roman" w:hAnsi="Times New Roman"/>
          <w:szCs w:val="24"/>
        </w:rPr>
      </w:pPr>
      <w:r>
        <w:rPr>
          <w:rFonts w:ascii="Times New Roman" w:hAnsi="Times New Roman" w:eastAsia="仿宋_GB2312"/>
          <w:b/>
          <w:bCs/>
          <w:sz w:val="32"/>
          <w:szCs w:val="32"/>
        </w:rPr>
        <w:t>坚持以人为本</w:t>
      </w:r>
      <w:r>
        <w:rPr>
          <w:rFonts w:ascii="Times New Roman" w:hAnsi="Times New Roman" w:eastAsia="仿宋_GB2312"/>
          <w:sz w:val="32"/>
          <w:szCs w:val="32"/>
        </w:rPr>
        <w:t>。坚持以人民为中心的工作导向，</w:t>
      </w:r>
      <w:r>
        <w:rPr>
          <w:rFonts w:hint="eastAsia" w:ascii="Times New Roman" w:hAnsi="Times New Roman" w:eastAsia="仿宋_GB2312"/>
          <w:sz w:val="32"/>
          <w:szCs w:val="32"/>
          <w:lang w:eastAsia="zh-CN"/>
        </w:rPr>
        <w:t>坚持</w:t>
      </w:r>
      <w:r>
        <w:rPr>
          <w:rFonts w:hint="eastAsia" w:ascii="Times New Roman" w:hAnsi="Times New Roman" w:eastAsia="仿宋_GB2312"/>
          <w:sz w:val="32"/>
          <w:szCs w:val="32"/>
        </w:rPr>
        <w:t>把社会效益放在首位、社会效益和经济效益相统一，把握时代变化和人民需求</w:t>
      </w:r>
      <w:r>
        <w:rPr>
          <w:rFonts w:ascii="Times New Roman" w:hAnsi="Times New Roman" w:eastAsia="仿宋_GB2312"/>
          <w:sz w:val="32"/>
          <w:szCs w:val="32"/>
        </w:rPr>
        <w:t>，</w:t>
      </w:r>
      <w:r>
        <w:rPr>
          <w:rFonts w:hint="eastAsia" w:ascii="Times New Roman" w:hAnsi="Times New Roman" w:eastAsia="仿宋_GB2312"/>
          <w:sz w:val="32"/>
          <w:szCs w:val="32"/>
        </w:rPr>
        <w:t>优化文化</w:t>
      </w:r>
      <w:r>
        <w:rPr>
          <w:rFonts w:ascii="Times New Roman" w:hAnsi="Times New Roman" w:eastAsia="仿宋_GB2312"/>
          <w:sz w:val="32"/>
          <w:szCs w:val="32"/>
        </w:rPr>
        <w:t>产品</w:t>
      </w:r>
      <w:r>
        <w:rPr>
          <w:rFonts w:hint="eastAsia" w:ascii="Times New Roman" w:hAnsi="Times New Roman" w:eastAsia="仿宋_GB2312"/>
          <w:sz w:val="32"/>
          <w:szCs w:val="32"/>
        </w:rPr>
        <w:t>和服务</w:t>
      </w:r>
      <w:r>
        <w:rPr>
          <w:rFonts w:ascii="Times New Roman" w:hAnsi="Times New Roman" w:eastAsia="仿宋_GB2312"/>
          <w:sz w:val="32"/>
          <w:szCs w:val="32"/>
        </w:rPr>
        <w:t>供给</w:t>
      </w:r>
      <w:r>
        <w:rPr>
          <w:rFonts w:hint="eastAsia" w:ascii="Times New Roman" w:hAnsi="Times New Roman" w:eastAsia="仿宋_GB2312"/>
          <w:sz w:val="32"/>
          <w:szCs w:val="32"/>
        </w:rPr>
        <w:t>机制</w:t>
      </w:r>
      <w:r>
        <w:rPr>
          <w:rFonts w:ascii="Times New Roman" w:hAnsi="Times New Roman" w:eastAsia="仿宋_GB2312"/>
          <w:sz w:val="32"/>
          <w:szCs w:val="32"/>
        </w:rPr>
        <w:t>，</w:t>
      </w:r>
      <w:r>
        <w:rPr>
          <w:rFonts w:hint="eastAsia" w:ascii="Times New Roman" w:hAnsi="Times New Roman" w:eastAsia="仿宋_GB2312"/>
          <w:sz w:val="32"/>
          <w:szCs w:val="32"/>
        </w:rPr>
        <w:t>推动文化事业与文化产业</w:t>
      </w:r>
      <w:r>
        <w:rPr>
          <w:rFonts w:hint="eastAsia" w:ascii="Times New Roman" w:hAnsi="Times New Roman" w:eastAsia="仿宋_GB2312"/>
          <w:sz w:val="32"/>
          <w:szCs w:val="32"/>
          <w:lang w:eastAsia="zh-CN"/>
        </w:rPr>
        <w:t>融合贯通、</w:t>
      </w:r>
      <w:r>
        <w:rPr>
          <w:rFonts w:hint="eastAsia" w:ascii="Times New Roman" w:hAnsi="Times New Roman" w:eastAsia="仿宋_GB2312"/>
          <w:sz w:val="32"/>
          <w:szCs w:val="32"/>
        </w:rPr>
        <w:t>高质量发展，</w:t>
      </w:r>
      <w:r>
        <w:rPr>
          <w:rFonts w:hint="eastAsia" w:ascii="Times New Roman" w:hAnsi="Times New Roman" w:eastAsia="仿宋_GB2312"/>
          <w:sz w:val="32"/>
          <w:szCs w:val="32"/>
          <w:lang w:eastAsia="zh-CN"/>
        </w:rPr>
        <w:t>不断增强</w:t>
      </w:r>
      <w:r>
        <w:rPr>
          <w:rFonts w:ascii="Times New Roman" w:hAnsi="Times New Roman" w:eastAsia="仿宋_GB2312"/>
          <w:sz w:val="32"/>
          <w:szCs w:val="32"/>
        </w:rPr>
        <w:t>人民</w:t>
      </w:r>
      <w:r>
        <w:rPr>
          <w:rFonts w:hint="eastAsia" w:ascii="Times New Roman" w:hAnsi="Times New Roman" w:eastAsia="仿宋_GB2312"/>
          <w:sz w:val="32"/>
          <w:szCs w:val="32"/>
          <w:lang w:eastAsia="zh-CN"/>
        </w:rPr>
        <w:t>群众文化获得感幸福感</w:t>
      </w:r>
      <w:r>
        <w:rPr>
          <w:rFonts w:ascii="Times New Roman" w:hAnsi="Times New Roman" w:eastAsia="仿宋_GB2312"/>
          <w:sz w:val="32"/>
          <w:szCs w:val="32"/>
        </w:rPr>
        <w:t>。</w:t>
      </w:r>
    </w:p>
    <w:p w14:paraId="680960F2">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51" w:name="_Toc28724"/>
      <w:bookmarkStart w:id="52" w:name="_Toc85062666"/>
      <w:r>
        <w:rPr>
          <w:rFonts w:hint="eastAsia" w:ascii="楷体_GB2312" w:hAnsi="楷体_GB2312" w:eastAsia="楷体_GB2312" w:cs="楷体_GB2312"/>
          <w:b w:val="0"/>
          <w:bCs/>
          <w:color w:val="000000"/>
          <w:sz w:val="32"/>
          <w:szCs w:val="32"/>
          <w:lang w:val="en-US" w:eastAsia="zh-CN" w:bidi="ar-SA"/>
        </w:rPr>
        <w:t>第三节 发展目标</w:t>
      </w:r>
      <w:bookmarkEnd w:id="51"/>
      <w:bookmarkEnd w:id="52"/>
    </w:p>
    <w:p w14:paraId="0DCD25BD">
      <w:pPr>
        <w:spacing w:line="560" w:lineRule="exact"/>
        <w:ind w:firstLine="640" w:firstLineChars="200"/>
        <w:rPr>
          <w:rFonts w:ascii="Times New Roman" w:hAnsi="Times New Roman" w:eastAsia="仿宋_GB2312"/>
          <w:b w:val="0"/>
          <w:bCs w:val="0"/>
          <w:sz w:val="32"/>
          <w:szCs w:val="32"/>
          <w:highlight w:val="none"/>
        </w:rPr>
      </w:pPr>
      <w:r>
        <w:rPr>
          <w:rFonts w:hint="eastAsia" w:ascii="Times New Roman" w:hAnsi="Times New Roman" w:eastAsia="仿宋_GB2312"/>
          <w:sz w:val="32"/>
          <w:szCs w:val="32"/>
          <w:lang w:eastAsia="zh-CN"/>
        </w:rPr>
        <w:t>“十五五”期间，</w:t>
      </w:r>
      <w:r>
        <w:rPr>
          <w:rFonts w:ascii="Times New Roman" w:hAnsi="Times New Roman" w:eastAsia="仿宋_GB2312"/>
          <w:sz w:val="32"/>
          <w:szCs w:val="32"/>
        </w:rPr>
        <w:t>集成一批文化创新发展政策，</w:t>
      </w:r>
      <w:r>
        <w:rPr>
          <w:rFonts w:hint="eastAsia" w:ascii="Times New Roman" w:hAnsi="Times New Roman" w:eastAsia="仿宋_GB2312"/>
          <w:sz w:val="32"/>
          <w:szCs w:val="32"/>
        </w:rPr>
        <w:t>引进培育一批链主龙头企业，</w:t>
      </w:r>
      <w:r>
        <w:rPr>
          <w:rFonts w:ascii="Times New Roman" w:hAnsi="Times New Roman" w:eastAsia="仿宋_GB2312"/>
          <w:sz w:val="32"/>
          <w:szCs w:val="32"/>
        </w:rPr>
        <w:t>建成一批文化</w:t>
      </w:r>
      <w:r>
        <w:rPr>
          <w:rFonts w:hint="eastAsia" w:ascii="Times New Roman" w:hAnsi="Times New Roman" w:eastAsia="仿宋_GB2312"/>
          <w:sz w:val="32"/>
          <w:szCs w:val="32"/>
        </w:rPr>
        <w:t>科技</w:t>
      </w:r>
      <w:r>
        <w:rPr>
          <w:rFonts w:ascii="Times New Roman" w:hAnsi="Times New Roman" w:eastAsia="仿宋_GB2312"/>
          <w:sz w:val="32"/>
          <w:szCs w:val="32"/>
        </w:rPr>
        <w:t>功能性、平台性项目，打造一批功能更加完备高效的公共服务体系，探索形成一批可复制推广的经验模式，各类文化主体发展活力充分释放，新型文化业态和文旅消费蓬勃发展，</w:t>
      </w:r>
      <w:r>
        <w:rPr>
          <w:rFonts w:hint="eastAsia" w:ascii="Times New Roman" w:hAnsi="Times New Roman" w:eastAsia="仿宋_GB2312"/>
          <w:sz w:val="32"/>
          <w:szCs w:val="32"/>
          <w:highlight w:val="none"/>
        </w:rPr>
        <w:t>文化产业</w:t>
      </w:r>
      <w:r>
        <w:rPr>
          <w:rFonts w:hint="eastAsia" w:ascii="Times New Roman" w:hAnsi="Times New Roman" w:eastAsia="仿宋_GB2312"/>
          <w:sz w:val="32"/>
          <w:szCs w:val="32"/>
          <w:highlight w:val="none"/>
          <w:lang w:eastAsia="zh-CN"/>
        </w:rPr>
        <w:t>收入年均</w:t>
      </w:r>
      <w:r>
        <w:rPr>
          <w:rFonts w:hint="eastAsia" w:ascii="Times New Roman" w:hAnsi="Times New Roman" w:eastAsia="仿宋_GB2312"/>
          <w:sz w:val="32"/>
          <w:szCs w:val="32"/>
        </w:rPr>
        <w:t>增速高于GDP</w:t>
      </w:r>
      <w:r>
        <w:rPr>
          <w:rFonts w:hint="eastAsia" w:ascii="Times New Roman" w:hAnsi="Times New Roman" w:eastAsia="仿宋_GB2312"/>
          <w:sz w:val="32"/>
          <w:szCs w:val="32"/>
          <w:lang w:eastAsia="zh-CN"/>
        </w:rPr>
        <w:t>年均</w:t>
      </w:r>
      <w:r>
        <w:rPr>
          <w:rFonts w:hint="eastAsia" w:ascii="Times New Roman" w:hAnsi="Times New Roman" w:eastAsia="仿宋_GB2312"/>
          <w:sz w:val="32"/>
          <w:szCs w:val="32"/>
        </w:rPr>
        <w:t>增速，</w:t>
      </w:r>
      <w:r>
        <w:rPr>
          <w:rFonts w:ascii="Times New Roman" w:hAnsi="Times New Roman" w:eastAsia="仿宋_GB2312"/>
          <w:sz w:val="32"/>
          <w:szCs w:val="32"/>
        </w:rPr>
        <w:t>力争</w:t>
      </w:r>
      <w:r>
        <w:rPr>
          <w:rFonts w:hint="eastAsia" w:ascii="Times New Roman" w:hAnsi="Times New Roman" w:eastAsia="仿宋_GB2312"/>
          <w:sz w:val="32"/>
          <w:szCs w:val="32"/>
          <w:lang w:eastAsia="zh-CN"/>
        </w:rPr>
        <w:t>到</w:t>
      </w:r>
      <w:r>
        <w:rPr>
          <w:rFonts w:hint="eastAsia" w:ascii="Times New Roman" w:hAnsi="Times New Roman" w:eastAsia="仿宋_GB2312"/>
          <w:sz w:val="32"/>
          <w:szCs w:val="32"/>
          <w:lang w:val="en-US" w:eastAsia="zh-CN"/>
        </w:rPr>
        <w:t>2030年全区规模以上文化及相关产业企业营收达到5000亿元，文化新业态特征较为明显的16个行业小类营收达到2100亿元，</w:t>
      </w:r>
      <w:r>
        <w:rPr>
          <w:rFonts w:hint="eastAsia" w:ascii="Times New Roman" w:hAnsi="Times New Roman" w:eastAsia="仿宋_GB2312"/>
          <w:sz w:val="32"/>
          <w:szCs w:val="32"/>
          <w:lang w:eastAsia="zh-CN"/>
        </w:rPr>
        <w:t>全力将朝阳区建设成为</w:t>
      </w:r>
      <w:r>
        <w:rPr>
          <w:rFonts w:hint="eastAsia" w:ascii="仿宋_GB2312" w:hAnsi="仿宋_GB2312" w:eastAsia="仿宋_GB2312" w:cs="仿宋_GB2312"/>
          <w:b w:val="0"/>
          <w:bCs w:val="0"/>
          <w:kern w:val="2"/>
          <w:sz w:val="32"/>
          <w:szCs w:val="24"/>
          <w:highlight w:val="none"/>
          <w:lang w:eastAsia="zh-CN"/>
        </w:rPr>
        <w:t>全国文化产业改革创新高地</w:t>
      </w:r>
      <w:r>
        <w:rPr>
          <w:rFonts w:hint="eastAsia" w:ascii="Times New Roman" w:hAnsi="Times New Roman" w:eastAsia="仿宋_GB2312"/>
          <w:b w:val="0"/>
          <w:bCs w:val="0"/>
          <w:sz w:val="32"/>
          <w:szCs w:val="32"/>
          <w:highlight w:val="none"/>
        </w:rPr>
        <w:t>、</w:t>
      </w:r>
      <w:r>
        <w:rPr>
          <w:rFonts w:hint="eastAsia" w:ascii="仿宋_GB2312" w:hAnsi="仿宋_GB2312" w:eastAsia="仿宋_GB2312" w:cs="仿宋_GB2312"/>
          <w:b w:val="0"/>
          <w:bCs w:val="0"/>
          <w:kern w:val="2"/>
          <w:sz w:val="32"/>
          <w:szCs w:val="24"/>
          <w:highlight w:val="none"/>
          <w:lang w:val="en-US" w:eastAsia="zh-CN" w:bidi="ar-SA"/>
        </w:rPr>
        <w:t>全国数智文化产业发展高地</w:t>
      </w:r>
      <w:r>
        <w:rPr>
          <w:rFonts w:hint="eastAsia" w:ascii="Times New Roman" w:hAnsi="Times New Roman" w:eastAsia="仿宋_GB2312"/>
          <w:b w:val="0"/>
          <w:bCs w:val="0"/>
          <w:sz w:val="32"/>
          <w:szCs w:val="32"/>
          <w:highlight w:val="none"/>
        </w:rPr>
        <w:t>、</w:t>
      </w:r>
      <w:r>
        <w:rPr>
          <w:rFonts w:hint="eastAsia" w:ascii="仿宋_GB2312" w:hAnsi="仿宋_GB2312" w:eastAsia="仿宋_GB2312" w:cs="仿宋_GB2312"/>
          <w:b w:val="0"/>
          <w:bCs w:val="0"/>
          <w:color w:val="auto"/>
          <w:kern w:val="2"/>
          <w:sz w:val="32"/>
          <w:szCs w:val="24"/>
          <w:highlight w:val="none"/>
          <w:lang w:val="en-US" w:eastAsia="zh-CN" w:bidi="ar-SA"/>
        </w:rPr>
        <w:t>国际潮流文化消费活力高地</w:t>
      </w:r>
      <w:r>
        <w:rPr>
          <w:rFonts w:hint="eastAsia" w:ascii="Times New Roman" w:hAnsi="Times New Roman" w:eastAsia="仿宋_GB2312"/>
          <w:b w:val="0"/>
          <w:bCs w:val="0"/>
          <w:sz w:val="32"/>
          <w:szCs w:val="32"/>
          <w:highlight w:val="none"/>
        </w:rPr>
        <w:t>和</w:t>
      </w:r>
      <w:r>
        <w:rPr>
          <w:rFonts w:hint="eastAsia" w:ascii="仿宋_GB2312" w:hAnsi="仿宋_GB2312" w:eastAsia="仿宋_GB2312" w:cs="仿宋_GB2312"/>
          <w:b w:val="0"/>
          <w:bCs w:val="0"/>
          <w:color w:val="auto"/>
          <w:kern w:val="2"/>
          <w:sz w:val="32"/>
          <w:szCs w:val="24"/>
          <w:highlight w:val="none"/>
          <w:lang w:val="en-US" w:eastAsia="zh-CN" w:bidi="ar-SA"/>
        </w:rPr>
        <w:t>国际文化交流贸易高地</w:t>
      </w:r>
      <w:r>
        <w:rPr>
          <w:rFonts w:hint="eastAsia" w:ascii="Times New Roman" w:hAnsi="Times New Roman" w:eastAsia="仿宋_GB2312"/>
          <w:b w:val="0"/>
          <w:bCs w:val="0"/>
          <w:sz w:val="32"/>
          <w:szCs w:val="32"/>
          <w:highlight w:val="none"/>
        </w:rPr>
        <w:t>。</w:t>
      </w:r>
    </w:p>
    <w:p w14:paraId="561E879F">
      <w:pPr>
        <w:spacing w:after="0" w:line="560" w:lineRule="exact"/>
        <w:ind w:firstLine="643" w:firstLineChars="200"/>
        <w:jc w:val="both"/>
        <w:rPr>
          <w:rFonts w:ascii="Times New Roman" w:hAnsi="Times New Roman" w:eastAsia="仿宋_GB2312" w:cs="Times New Roman"/>
          <w:kern w:val="2"/>
          <w:sz w:val="32"/>
          <w:szCs w:val="24"/>
          <w:highlight w:val="none"/>
          <w:lang w:val="en-US" w:eastAsia="zh-CN" w:bidi="ar-SA"/>
        </w:rPr>
      </w:pPr>
      <w:r>
        <w:rPr>
          <w:rFonts w:hint="eastAsia" w:ascii="仿宋_GB2312" w:hAnsi="仿宋_GB2312" w:eastAsia="仿宋_GB2312" w:cs="仿宋_GB2312"/>
          <w:b/>
          <w:bCs/>
          <w:kern w:val="2"/>
          <w:sz w:val="32"/>
          <w:szCs w:val="24"/>
          <w:highlight w:val="none"/>
          <w:lang w:val="en-US" w:eastAsia="zh-CN" w:bidi="ar-SA"/>
        </w:rPr>
        <w:t>全国文化产业改革创新高地。</w:t>
      </w:r>
      <w:r>
        <w:rPr>
          <w:rFonts w:hint="eastAsia" w:ascii="Times New Roman" w:hAnsi="Times New Roman" w:eastAsia="仿宋_GB2312" w:cs="Times New Roman"/>
          <w:kern w:val="2"/>
          <w:sz w:val="32"/>
          <w:szCs w:val="24"/>
          <w:highlight w:val="none"/>
          <w:lang w:val="en-US" w:eastAsia="zh-CN" w:bidi="ar-SA"/>
        </w:rPr>
        <w:t>持续深化文化体制机制改革，深入推进文化经济政策创新，争取更多国家先行先试政策率先落地，积极探索形成一批具有示范意义和推广价值的文化管理体制、生产经营机制和创新发展模式，为全国文化产业创新推出更多朝阳范式。</w:t>
      </w:r>
    </w:p>
    <w:p w14:paraId="43C621BB">
      <w:pPr>
        <w:adjustRightInd w:val="0"/>
        <w:snapToGrid w:val="0"/>
        <w:spacing w:line="560" w:lineRule="exact"/>
        <w:ind w:firstLine="643" w:firstLineChars="200"/>
        <w:rPr>
          <w:rFonts w:hint="eastAsia" w:ascii="Times New Roman" w:hAnsi="Times New Roman" w:eastAsia="仿宋_GB2312"/>
          <w:sz w:val="32"/>
          <w:szCs w:val="36"/>
          <w:highlight w:val="none"/>
          <w:lang w:val="en-US" w:eastAsia="zh-CN"/>
        </w:rPr>
      </w:pPr>
      <w:r>
        <w:rPr>
          <w:rFonts w:hint="eastAsia" w:ascii="仿宋_GB2312" w:hAnsi="仿宋_GB2312" w:eastAsia="仿宋_GB2312" w:cs="仿宋_GB2312"/>
          <w:b/>
          <w:bCs/>
          <w:kern w:val="2"/>
          <w:sz w:val="32"/>
          <w:szCs w:val="24"/>
          <w:highlight w:val="none"/>
          <w:lang w:val="en-US" w:eastAsia="zh-CN" w:bidi="ar-SA"/>
        </w:rPr>
        <w:t>全国数智文化产业发展高地。</w:t>
      </w:r>
      <w:r>
        <w:rPr>
          <w:rFonts w:hint="eastAsia" w:ascii="Times New Roman" w:hAnsi="Times New Roman" w:eastAsia="仿宋_GB2312"/>
          <w:sz w:val="32"/>
          <w:szCs w:val="36"/>
          <w:highlight w:val="none"/>
        </w:rPr>
        <w:t>强化数智赋能，以</w:t>
      </w:r>
      <w:r>
        <w:rPr>
          <w:rFonts w:hint="eastAsia" w:ascii="Times New Roman" w:hAnsi="Times New Roman" w:eastAsia="仿宋_GB2312"/>
          <w:sz w:val="32"/>
          <w:szCs w:val="36"/>
          <w:highlight w:val="none"/>
          <w:lang w:eastAsia="zh-CN"/>
        </w:rPr>
        <w:t>人工智能</w:t>
      </w:r>
      <w:r>
        <w:rPr>
          <w:rFonts w:hint="eastAsia" w:ascii="Times New Roman" w:hAnsi="Times New Roman" w:eastAsia="仿宋_GB2312"/>
          <w:sz w:val="32"/>
          <w:szCs w:val="36"/>
          <w:highlight w:val="none"/>
        </w:rPr>
        <w:t>、超高清、</w:t>
      </w:r>
      <w:r>
        <w:rPr>
          <w:rFonts w:hint="eastAsia" w:ascii="Times New Roman" w:hAnsi="Times New Roman" w:eastAsia="仿宋_GB2312"/>
          <w:sz w:val="32"/>
          <w:szCs w:val="36"/>
          <w:highlight w:val="none"/>
          <w:lang w:eastAsia="zh-CN"/>
        </w:rPr>
        <w:t>虚拟现实</w:t>
      </w:r>
      <w:r>
        <w:rPr>
          <w:rFonts w:hint="eastAsia" w:ascii="Times New Roman" w:hAnsi="Times New Roman" w:eastAsia="仿宋_GB2312"/>
          <w:sz w:val="32"/>
          <w:szCs w:val="36"/>
          <w:highlight w:val="none"/>
        </w:rPr>
        <w:t>等新技术优化文化创作生产流程，文化产业数字化赋能与信息化转型加速推进，文化与科技实现融合共生。激发数字文化产业原创活力，催生更多新场景、新业态、新模式</w:t>
      </w:r>
      <w:r>
        <w:rPr>
          <w:rFonts w:ascii="Times New Roman" w:hAnsi="Times New Roman" w:eastAsia="仿宋_GB2312"/>
          <w:sz w:val="32"/>
          <w:szCs w:val="36"/>
          <w:highlight w:val="none"/>
        </w:rPr>
        <w:t>，</w:t>
      </w:r>
      <w:r>
        <w:rPr>
          <w:rFonts w:hint="eastAsia" w:ascii="Times New Roman" w:hAnsi="Times New Roman" w:eastAsia="仿宋_GB2312"/>
          <w:sz w:val="32"/>
          <w:szCs w:val="36"/>
          <w:highlight w:val="none"/>
        </w:rPr>
        <w:t>建成</w:t>
      </w:r>
      <w:r>
        <w:rPr>
          <w:rFonts w:ascii="Times New Roman" w:hAnsi="Times New Roman" w:eastAsia="仿宋_GB2312"/>
          <w:sz w:val="32"/>
          <w:szCs w:val="36"/>
          <w:highlight w:val="none"/>
        </w:rPr>
        <w:t>全国</w:t>
      </w:r>
      <w:r>
        <w:rPr>
          <w:rFonts w:hint="eastAsia" w:ascii="Times New Roman" w:hAnsi="Times New Roman" w:eastAsia="仿宋_GB2312"/>
          <w:sz w:val="32"/>
          <w:szCs w:val="36"/>
          <w:highlight w:val="none"/>
        </w:rPr>
        <w:t>数智</w:t>
      </w:r>
      <w:r>
        <w:rPr>
          <w:rFonts w:ascii="Times New Roman" w:hAnsi="Times New Roman" w:eastAsia="仿宋_GB2312"/>
          <w:sz w:val="32"/>
          <w:szCs w:val="36"/>
          <w:highlight w:val="none"/>
        </w:rPr>
        <w:t>文化</w:t>
      </w:r>
      <w:r>
        <w:rPr>
          <w:rFonts w:hint="eastAsia" w:ascii="Times New Roman" w:hAnsi="Times New Roman" w:eastAsia="仿宋_GB2312"/>
          <w:sz w:val="32"/>
          <w:szCs w:val="36"/>
          <w:highlight w:val="none"/>
        </w:rPr>
        <w:t>产业</w:t>
      </w:r>
      <w:r>
        <w:rPr>
          <w:rFonts w:ascii="Times New Roman" w:hAnsi="Times New Roman" w:eastAsia="仿宋_GB2312"/>
          <w:sz w:val="32"/>
          <w:szCs w:val="36"/>
          <w:highlight w:val="none"/>
        </w:rPr>
        <w:t>创新发展</w:t>
      </w:r>
      <w:r>
        <w:rPr>
          <w:rFonts w:hint="eastAsia" w:ascii="Times New Roman" w:hAnsi="Times New Roman" w:eastAsia="仿宋_GB2312"/>
          <w:sz w:val="32"/>
          <w:szCs w:val="36"/>
          <w:highlight w:val="none"/>
        </w:rPr>
        <w:t>高地</w:t>
      </w:r>
      <w:r>
        <w:rPr>
          <w:rFonts w:ascii="Times New Roman" w:hAnsi="Times New Roman" w:eastAsia="仿宋_GB2312"/>
          <w:sz w:val="32"/>
          <w:szCs w:val="36"/>
          <w:highlight w:val="none"/>
        </w:rPr>
        <w:t>。</w:t>
      </w:r>
      <w:r>
        <w:rPr>
          <w:rFonts w:hint="eastAsia" w:ascii="Times New Roman" w:hAnsi="Times New Roman" w:eastAsia="仿宋_GB2312"/>
          <w:sz w:val="32"/>
          <w:szCs w:val="36"/>
          <w:highlight w:val="none"/>
          <w:lang w:val="en-US" w:eastAsia="zh-CN"/>
        </w:rPr>
        <w:t xml:space="preserve"> </w:t>
      </w:r>
    </w:p>
    <w:p w14:paraId="07211544">
      <w:pPr>
        <w:widowControl w:val="0"/>
        <w:autoSpaceDE w:val="0"/>
        <w:autoSpaceDN w:val="0"/>
        <w:adjustRightInd w:val="0"/>
        <w:spacing w:line="560" w:lineRule="exact"/>
        <w:ind w:firstLine="643" w:firstLineChars="200"/>
        <w:jc w:val="both"/>
        <w:rPr>
          <w:rFonts w:ascii="Times New Roman" w:hAnsi="Times New Roman" w:eastAsia="仿宋_GB2312" w:cs="Times New Roman"/>
          <w:color w:val="000000"/>
          <w:sz w:val="32"/>
          <w:szCs w:val="36"/>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国际潮流文化消费活力高地。</w:t>
      </w:r>
      <w:r>
        <w:rPr>
          <w:rFonts w:hint="eastAsia" w:ascii="Times New Roman" w:hAnsi="Times New Roman" w:eastAsia="仿宋_GB2312" w:cs="Times New Roman"/>
          <w:color w:val="000000"/>
          <w:sz w:val="32"/>
          <w:szCs w:val="36"/>
          <w:highlight w:val="none"/>
          <w:lang w:val="en-US" w:eastAsia="zh-CN" w:bidi="ar-SA"/>
        </w:rPr>
        <w:t>促进文商旅体展深度融合，健全跨领域联动机制，培育形成一批融合新场景、文旅消费新模式和特色文旅消费新地标。丰富消费业态、增加优质供给，深挖演唱会、潮玩、电竞等消费潜力，打造形成一批超级文化IP，文旅消费经济贡献与品牌效应显著增强。</w:t>
      </w:r>
    </w:p>
    <w:p w14:paraId="66E6CAEC">
      <w:pPr>
        <w:widowControl w:val="0"/>
        <w:autoSpaceDE w:val="0"/>
        <w:autoSpaceDN w:val="0"/>
        <w:adjustRightInd w:val="0"/>
        <w:spacing w:line="560" w:lineRule="exact"/>
        <w:ind w:firstLine="643" w:firstLineChars="200"/>
        <w:jc w:val="both"/>
        <w:rPr>
          <w:rFonts w:ascii="Times New Roman" w:hAnsi="Times New Roman" w:eastAsia="仿宋_GB2312" w:cs="Times New Roman"/>
          <w:color w:val="000000"/>
          <w:sz w:val="32"/>
          <w:szCs w:val="36"/>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国际文化交流贸易高地。</w:t>
      </w:r>
      <w:r>
        <w:rPr>
          <w:rFonts w:hint="eastAsia" w:ascii="Times New Roman" w:hAnsi="Times New Roman" w:eastAsia="仿宋_GB2312" w:cs="Times New Roman"/>
          <w:color w:val="000000"/>
          <w:sz w:val="32"/>
          <w:szCs w:val="36"/>
          <w:lang w:val="en-US" w:eastAsia="zh-CN" w:bidi="ar-SA"/>
        </w:rPr>
        <w:t>全面融入国家高水平开放新格局，争取落地一批文化领域对外开放先行先试政策。持续完善对外文化贸易服务体系，优化贸易流程、拓宽贸易渠道，培育引进一批兼具文化特色与国际视野的外向型文化企业，推动对外文化贸易规模持续提升，国际影响力和竞争力显著增强。</w:t>
      </w:r>
      <w:bookmarkStart w:id="53" w:name="_Toc1004074518"/>
      <w:bookmarkStart w:id="54" w:name="_Toc206077049"/>
      <w:bookmarkStart w:id="55" w:name="_Toc206064181"/>
      <w:bookmarkStart w:id="56" w:name="_Toc1571602207"/>
    </w:p>
    <w:p w14:paraId="2716FDE5">
      <w:pPr>
        <w:widowControl w:val="0"/>
        <w:autoSpaceDE w:val="0"/>
        <w:autoSpaceDN w:val="0"/>
        <w:adjustRightInd w:val="0"/>
        <w:spacing w:line="560" w:lineRule="exact"/>
        <w:jc w:val="both"/>
        <w:rPr>
          <w:rFonts w:ascii="楷体_GB2312" w:hAnsi="楷体_GB2312" w:eastAsia="楷体_GB2312" w:cs="楷体_GB2312"/>
          <w:b/>
          <w:bCs/>
          <w:color w:val="000000"/>
          <w:sz w:val="32"/>
          <w:szCs w:val="36"/>
          <w:lang w:val="en-US" w:eastAsia="zh-CN" w:bidi="ar-SA"/>
        </w:rPr>
      </w:pPr>
    </w:p>
    <w:p w14:paraId="6CB8EB08">
      <w:pPr>
        <w:spacing w:line="560" w:lineRule="exact"/>
        <w:jc w:val="center"/>
        <w:rPr>
          <w:rFonts w:hint="eastAsia" w:ascii="楷体_GB2312" w:hAnsi="楷体_GB2312" w:eastAsia="楷体_GB2312" w:cs="楷体_GB2312"/>
          <w:b/>
          <w:bCs/>
          <w:spacing w:val="-11"/>
          <w:sz w:val="32"/>
          <w:szCs w:val="36"/>
        </w:rPr>
        <w:sectPr>
          <w:pgSz w:w="11906" w:h="16838"/>
          <w:pgMar w:top="1417" w:right="1474" w:bottom="1417" w:left="1588" w:header="851" w:footer="992" w:gutter="0"/>
          <w:pgNumType w:fmt="decimal"/>
          <w:cols w:space="425" w:num="1"/>
          <w:docGrid w:type="lines" w:linePitch="312" w:charSpace="0"/>
        </w:sectPr>
      </w:pPr>
    </w:p>
    <w:p w14:paraId="1A040963">
      <w:pPr>
        <w:widowControl w:val="0"/>
        <w:autoSpaceDE w:val="0"/>
        <w:autoSpaceDN w:val="0"/>
        <w:adjustRightInd w:val="0"/>
        <w:spacing w:line="560" w:lineRule="exact"/>
        <w:jc w:val="center"/>
        <w:rPr>
          <w:rFonts w:ascii="Times New Roman" w:hAnsi="Times New Roman" w:eastAsia="仿宋_GB2312" w:cs="Times New Roman"/>
          <w:color w:val="000000"/>
          <w:spacing w:val="-11"/>
          <w:sz w:val="32"/>
          <w:szCs w:val="36"/>
          <w:lang w:val="en-US" w:eastAsia="zh-CN" w:bidi="ar-SA"/>
        </w:rPr>
      </w:pPr>
      <w:r>
        <w:rPr>
          <w:rFonts w:hint="eastAsia" w:ascii="楷体_GB2312" w:hAnsi="楷体_GB2312" w:eastAsia="楷体_GB2312" w:cs="楷体_GB2312"/>
          <w:b/>
          <w:bCs/>
          <w:color w:val="000000"/>
          <w:spacing w:val="-11"/>
          <w:sz w:val="32"/>
          <w:szCs w:val="36"/>
          <w:lang w:val="en-US" w:eastAsia="zh-CN" w:bidi="ar-SA"/>
        </w:rPr>
        <w:t>朝阳区“十五五”时期文化产业及国家文创实验区发展指标</w:t>
      </w:r>
      <w:bookmarkEnd w:id="53"/>
      <w:bookmarkEnd w:id="54"/>
      <w:bookmarkEnd w:id="55"/>
      <w:bookmarkEnd w:id="56"/>
    </w:p>
    <w:tbl>
      <w:tblPr>
        <w:tblStyle w:val="12"/>
        <w:tblW w:w="9711" w:type="dxa"/>
        <w:tblInd w:w="-5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4657"/>
        <w:gridCol w:w="2560"/>
        <w:gridCol w:w="1774"/>
      </w:tblGrid>
      <w:tr w14:paraId="4C69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720" w:type="dxa"/>
            <w:vAlign w:val="center"/>
          </w:tcPr>
          <w:p w14:paraId="31D4F043">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ascii="Times New Roman Regular" w:hAnsi="Times New Roman Regular" w:eastAsia="黑体" w:cs="Times New Roman Regular"/>
                <w:color w:val="000000"/>
                <w:sz w:val="21"/>
                <w:szCs w:val="21"/>
              </w:rPr>
            </w:pPr>
            <w:bookmarkStart w:id="57" w:name="_Toc6201"/>
            <w:r>
              <w:rPr>
                <w:rFonts w:ascii="黑体" w:hAnsi="宋体" w:eastAsia="黑体" w:cs="黑体"/>
                <w:color w:val="000000"/>
                <w:kern w:val="0"/>
                <w:sz w:val="21"/>
                <w:szCs w:val="21"/>
                <w:lang w:bidi="ar"/>
              </w:rPr>
              <w:t>序号</w:t>
            </w:r>
          </w:p>
        </w:tc>
        <w:tc>
          <w:tcPr>
            <w:tcW w:w="4657" w:type="dxa"/>
            <w:vAlign w:val="center"/>
          </w:tcPr>
          <w:p w14:paraId="7FCCBEA8">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ascii="Times New Roman Regular" w:hAnsi="Times New Roman Regular" w:eastAsia="黑体" w:cs="Times New Roman Regular"/>
                <w:color w:val="000000"/>
                <w:sz w:val="21"/>
                <w:szCs w:val="21"/>
              </w:rPr>
            </w:pPr>
            <w:r>
              <w:rPr>
                <w:rFonts w:ascii="黑体" w:hAnsi="宋体" w:eastAsia="黑体" w:cs="黑体"/>
                <w:color w:val="000000"/>
                <w:kern w:val="0"/>
                <w:sz w:val="21"/>
                <w:szCs w:val="21"/>
                <w:lang w:bidi="ar"/>
              </w:rPr>
              <w:t>任务内容</w:t>
            </w:r>
          </w:p>
        </w:tc>
        <w:tc>
          <w:tcPr>
            <w:tcW w:w="2560" w:type="dxa"/>
            <w:vAlign w:val="center"/>
          </w:tcPr>
          <w:p w14:paraId="12B1177E">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2030年目标值</w:t>
            </w:r>
          </w:p>
        </w:tc>
        <w:tc>
          <w:tcPr>
            <w:tcW w:w="1774" w:type="dxa"/>
            <w:vAlign w:val="center"/>
          </w:tcPr>
          <w:p w14:paraId="3B666071">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指标性质</w:t>
            </w:r>
          </w:p>
        </w:tc>
      </w:tr>
      <w:tr w14:paraId="29DD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vAlign w:val="center"/>
          </w:tcPr>
          <w:p w14:paraId="460E9781">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w:hAnsi="Times New Roman" w:eastAsia="宋体"/>
                <w:color w:val="000000"/>
                <w:kern w:val="0"/>
                <w:sz w:val="21"/>
                <w:szCs w:val="21"/>
                <w:lang w:val="en-US" w:eastAsia="zh-CN" w:bidi="ar"/>
              </w:rPr>
            </w:pPr>
            <w:r>
              <w:rPr>
                <w:rFonts w:hint="eastAsia" w:ascii="Times New Roman" w:hAnsi="Times New Roman"/>
                <w:color w:val="000000"/>
                <w:kern w:val="0"/>
                <w:sz w:val="21"/>
                <w:szCs w:val="21"/>
                <w:lang w:val="en-US" w:eastAsia="zh-CN" w:bidi="ar"/>
              </w:rPr>
              <w:t>1</w:t>
            </w:r>
          </w:p>
        </w:tc>
        <w:tc>
          <w:tcPr>
            <w:tcW w:w="4657" w:type="dxa"/>
            <w:vAlign w:val="center"/>
          </w:tcPr>
          <w:p w14:paraId="02CF73EE">
            <w:pPr>
              <w:keepNext w:val="0"/>
              <w:keepLines w:val="0"/>
              <w:pageBreakBefore w:val="0"/>
              <w:widowControl/>
              <w:kinsoku/>
              <w:wordWrap/>
              <w:overflowPunct/>
              <w:topLinePunct w:val="0"/>
              <w:autoSpaceDE/>
              <w:autoSpaceDN/>
              <w:bidi w:val="0"/>
              <w:adjustRightInd/>
              <w:snapToGrid/>
              <w:spacing w:line="460" w:lineRule="exact"/>
              <w:textAlignment w:val="center"/>
              <w:rPr>
                <w:rFonts w:hint="default" w:ascii="Times New Roman" w:hAnsi="Times New Roman" w:eastAsia="仿宋_GB2312" w:cs="Times New Roman"/>
                <w:color w:val="000000"/>
                <w:kern w:val="0"/>
                <w:sz w:val="21"/>
                <w:szCs w:val="21"/>
                <w:lang w:eastAsia="zh-CN" w:bidi="ar"/>
              </w:rPr>
            </w:pPr>
            <w:r>
              <w:rPr>
                <w:rFonts w:hint="default" w:ascii="Times New Roman" w:hAnsi="Times New Roman" w:eastAsia="仿宋_GB2312" w:cs="Times New Roman"/>
                <w:color w:val="000000"/>
                <w:kern w:val="0"/>
                <w:sz w:val="21"/>
                <w:szCs w:val="21"/>
                <w:lang w:eastAsia="zh-CN" w:bidi="ar"/>
              </w:rPr>
              <w:t>文化产业</w:t>
            </w:r>
            <w:r>
              <w:rPr>
                <w:rFonts w:hint="eastAsia" w:ascii="Times New Roman" w:hAnsi="Times New Roman" w:eastAsia="仿宋_GB2312" w:cs="Times New Roman"/>
                <w:color w:val="000000"/>
                <w:kern w:val="0"/>
                <w:sz w:val="21"/>
                <w:szCs w:val="21"/>
                <w:lang w:eastAsia="zh-CN" w:bidi="ar"/>
              </w:rPr>
              <w:t>收入年均</w:t>
            </w:r>
            <w:r>
              <w:rPr>
                <w:rFonts w:hint="default" w:ascii="Times New Roman" w:hAnsi="Times New Roman" w:eastAsia="仿宋_GB2312" w:cs="Times New Roman"/>
                <w:color w:val="000000"/>
                <w:kern w:val="0"/>
                <w:sz w:val="21"/>
                <w:szCs w:val="21"/>
                <w:lang w:eastAsia="zh-CN" w:bidi="ar"/>
              </w:rPr>
              <w:t>增速</w:t>
            </w:r>
            <w:r>
              <w:rPr>
                <w:rFonts w:hint="eastAsia" w:ascii="Times New Roman" w:hAnsi="Times New Roman" w:eastAsia="仿宋_GB2312" w:cs="Times New Roman"/>
                <w:color w:val="000000"/>
                <w:kern w:val="0"/>
                <w:sz w:val="21"/>
                <w:szCs w:val="21"/>
                <w:lang w:eastAsia="zh-CN" w:bidi="ar"/>
              </w:rPr>
              <w:t>（</w:t>
            </w:r>
            <w:r>
              <w:rPr>
                <w:rFonts w:hint="eastAsia" w:ascii="Times New Roman" w:hAnsi="Times New Roman" w:eastAsia="仿宋_GB2312" w:cs="Times New Roman"/>
                <w:color w:val="000000"/>
                <w:kern w:val="0"/>
                <w:sz w:val="21"/>
                <w:szCs w:val="21"/>
                <w:lang w:val="en-US" w:eastAsia="zh-CN" w:bidi="ar"/>
              </w:rPr>
              <w:t>%</w:t>
            </w:r>
            <w:r>
              <w:rPr>
                <w:rFonts w:hint="eastAsia" w:ascii="Times New Roman" w:hAnsi="Times New Roman" w:eastAsia="仿宋_GB2312" w:cs="Times New Roman"/>
                <w:color w:val="000000"/>
                <w:kern w:val="0"/>
                <w:sz w:val="21"/>
                <w:szCs w:val="21"/>
                <w:lang w:eastAsia="zh-CN" w:bidi="ar"/>
              </w:rPr>
              <w:t>）</w:t>
            </w:r>
          </w:p>
        </w:tc>
        <w:tc>
          <w:tcPr>
            <w:tcW w:w="2560" w:type="dxa"/>
            <w:vAlign w:val="center"/>
          </w:tcPr>
          <w:p w14:paraId="32532020">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w:hAnsi="Times New Roman" w:eastAsia="仿宋_GB2312" w:cs="Times New Roman"/>
                <w:color w:val="000000"/>
                <w:kern w:val="0"/>
                <w:sz w:val="21"/>
                <w:szCs w:val="21"/>
                <w:lang w:eastAsia="zh-CN" w:bidi="ar"/>
              </w:rPr>
            </w:pPr>
            <w:r>
              <w:rPr>
                <w:rFonts w:hint="default" w:ascii="Times New Roman" w:hAnsi="Times New Roman" w:eastAsia="仿宋_GB2312" w:cs="Times New Roman"/>
                <w:color w:val="000000"/>
                <w:kern w:val="0"/>
                <w:sz w:val="21"/>
                <w:szCs w:val="21"/>
                <w:lang w:eastAsia="zh-CN" w:bidi="ar"/>
              </w:rPr>
              <w:t>高于GDP</w:t>
            </w:r>
            <w:r>
              <w:rPr>
                <w:rFonts w:hint="eastAsia" w:ascii="Times New Roman" w:hAnsi="Times New Roman" w:eastAsia="仿宋_GB2312" w:cs="Times New Roman"/>
                <w:color w:val="000000"/>
                <w:kern w:val="0"/>
                <w:sz w:val="21"/>
                <w:szCs w:val="21"/>
                <w:lang w:eastAsia="zh-CN" w:bidi="ar"/>
              </w:rPr>
              <w:t>年均</w:t>
            </w:r>
            <w:r>
              <w:rPr>
                <w:rFonts w:hint="default" w:ascii="Times New Roman" w:hAnsi="Times New Roman" w:eastAsia="仿宋_GB2312" w:cs="Times New Roman"/>
                <w:color w:val="000000"/>
                <w:kern w:val="0"/>
                <w:sz w:val="21"/>
                <w:szCs w:val="21"/>
                <w:lang w:eastAsia="zh-CN" w:bidi="ar"/>
              </w:rPr>
              <w:t>增速</w:t>
            </w:r>
          </w:p>
        </w:tc>
        <w:tc>
          <w:tcPr>
            <w:tcW w:w="1774" w:type="dxa"/>
            <w:vAlign w:val="center"/>
          </w:tcPr>
          <w:p w14:paraId="2556861F">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w:hAnsi="Times New Roman" w:eastAsia="仿宋_GB2312" w:cs="Times New Roman"/>
                <w:color w:val="000000"/>
                <w:kern w:val="0"/>
                <w:sz w:val="21"/>
                <w:szCs w:val="21"/>
                <w:lang w:eastAsia="zh-CN" w:bidi="ar"/>
              </w:rPr>
            </w:pPr>
            <w:r>
              <w:rPr>
                <w:rFonts w:hint="eastAsia" w:ascii="Times New Roman" w:hAnsi="Times New Roman" w:eastAsia="仿宋_GB2312" w:cs="Times New Roman"/>
                <w:color w:val="000000"/>
                <w:kern w:val="0"/>
                <w:sz w:val="21"/>
                <w:szCs w:val="21"/>
                <w:lang w:eastAsia="zh-CN" w:bidi="ar"/>
              </w:rPr>
              <w:t>预期性指标</w:t>
            </w:r>
          </w:p>
        </w:tc>
      </w:tr>
      <w:tr w14:paraId="2B62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20" w:type="dxa"/>
            <w:vAlign w:val="center"/>
          </w:tcPr>
          <w:p w14:paraId="0D81973F">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2</w:t>
            </w:r>
          </w:p>
        </w:tc>
        <w:tc>
          <w:tcPr>
            <w:tcW w:w="4657" w:type="dxa"/>
            <w:vAlign w:val="center"/>
          </w:tcPr>
          <w:p w14:paraId="736F344E">
            <w:pPr>
              <w:keepNext w:val="0"/>
              <w:keepLines w:val="0"/>
              <w:pageBreakBefore w:val="0"/>
              <w:widowControl/>
              <w:kinsoku/>
              <w:wordWrap/>
              <w:overflowPunct/>
              <w:topLinePunct w:val="0"/>
              <w:autoSpaceDE/>
              <w:autoSpaceDN/>
              <w:bidi w:val="0"/>
              <w:adjustRightInd/>
              <w:snapToGrid/>
              <w:spacing w:line="460" w:lineRule="exact"/>
              <w:textAlignment w:val="center"/>
              <w:rPr>
                <w:rFonts w:ascii="Times New Roman Regular" w:hAnsi="Times New Roman Regular" w:eastAsia="黑体" w:cs="Times New Roman Regular"/>
                <w:color w:val="000000"/>
                <w:sz w:val="21"/>
                <w:szCs w:val="21"/>
              </w:rPr>
            </w:pPr>
            <w:r>
              <w:rPr>
                <w:rFonts w:hint="default" w:ascii="Times New Roman" w:hAnsi="Times New Roman" w:eastAsia="仿宋_GB2312" w:cs="Times New Roman"/>
                <w:color w:val="000000"/>
                <w:kern w:val="0"/>
                <w:sz w:val="21"/>
                <w:szCs w:val="21"/>
                <w:lang w:eastAsia="zh-CN" w:bidi="ar"/>
              </w:rPr>
              <w:t>规模以上文化及相关产业企业营收</w:t>
            </w:r>
            <w:r>
              <w:rPr>
                <w:rFonts w:hint="eastAsia" w:ascii="Times New Roman" w:hAnsi="Times New Roman" w:eastAsia="仿宋_GB2312" w:cs="Times New Roman"/>
                <w:color w:val="000000"/>
                <w:kern w:val="0"/>
                <w:sz w:val="21"/>
                <w:szCs w:val="21"/>
                <w:lang w:eastAsia="zh-CN" w:bidi="ar"/>
              </w:rPr>
              <w:t>规模（亿元）</w:t>
            </w:r>
          </w:p>
        </w:tc>
        <w:tc>
          <w:tcPr>
            <w:tcW w:w="2560" w:type="dxa"/>
            <w:vAlign w:val="center"/>
          </w:tcPr>
          <w:p w14:paraId="3098F782">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ascii="Times New Roman Regular" w:hAnsi="Times New Roman Regular" w:eastAsia="黑体" w:cs="Times New Roman Regular"/>
                <w:color w:val="000000"/>
                <w:sz w:val="21"/>
                <w:szCs w:val="21"/>
              </w:rPr>
            </w:pPr>
            <w:r>
              <w:rPr>
                <w:rFonts w:hint="default" w:ascii="Times New Roman" w:hAnsi="Times New Roman" w:eastAsia="仿宋_GB2312" w:cs="Times New Roman"/>
                <w:color w:val="000000"/>
                <w:kern w:val="0"/>
                <w:sz w:val="21"/>
                <w:szCs w:val="21"/>
                <w:lang w:eastAsia="zh-CN" w:bidi="ar"/>
              </w:rPr>
              <w:t>5000</w:t>
            </w:r>
          </w:p>
        </w:tc>
        <w:tc>
          <w:tcPr>
            <w:tcW w:w="1774" w:type="dxa"/>
            <w:vAlign w:val="center"/>
          </w:tcPr>
          <w:p w14:paraId="01208E28">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w:hAnsi="Times New Roman" w:eastAsia="仿宋_GB2312" w:cs="Times New Roman"/>
                <w:color w:val="000000"/>
                <w:kern w:val="0"/>
                <w:sz w:val="21"/>
                <w:szCs w:val="21"/>
                <w:lang w:eastAsia="zh-CN" w:bidi="ar"/>
              </w:rPr>
            </w:pPr>
            <w:r>
              <w:rPr>
                <w:rFonts w:hint="eastAsia" w:ascii="Times New Roman" w:hAnsi="Times New Roman" w:eastAsia="仿宋_GB2312" w:cs="Times New Roman"/>
                <w:color w:val="000000"/>
                <w:kern w:val="0"/>
                <w:sz w:val="21"/>
                <w:szCs w:val="21"/>
                <w:lang w:eastAsia="zh-CN" w:bidi="ar"/>
              </w:rPr>
              <w:t>预期性指标</w:t>
            </w:r>
          </w:p>
        </w:tc>
      </w:tr>
      <w:tr w14:paraId="5393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20" w:type="dxa"/>
            <w:vAlign w:val="center"/>
          </w:tcPr>
          <w:p w14:paraId="405964C8">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3</w:t>
            </w:r>
          </w:p>
        </w:tc>
        <w:tc>
          <w:tcPr>
            <w:tcW w:w="4657" w:type="dxa"/>
            <w:vAlign w:val="center"/>
          </w:tcPr>
          <w:p w14:paraId="7CF776E9">
            <w:pPr>
              <w:keepNext w:val="0"/>
              <w:keepLines w:val="0"/>
              <w:pageBreakBefore w:val="0"/>
              <w:widowControl/>
              <w:kinsoku/>
              <w:wordWrap/>
              <w:overflowPunct/>
              <w:topLinePunct w:val="0"/>
              <w:autoSpaceDE/>
              <w:autoSpaceDN/>
              <w:bidi w:val="0"/>
              <w:adjustRightInd/>
              <w:snapToGrid/>
              <w:spacing w:line="460" w:lineRule="exact"/>
              <w:textAlignment w:val="center"/>
              <w:rPr>
                <w:rFonts w:hint="eastAsia" w:ascii="Times New Roman Regular" w:hAnsi="Times New Roman Regular" w:eastAsia="仿宋_GB2312" w:cs="Times New Roman Regular"/>
                <w:color w:val="000000"/>
                <w:sz w:val="21"/>
                <w:szCs w:val="21"/>
                <w:lang w:eastAsia="zh-CN"/>
              </w:rPr>
            </w:pPr>
            <w:r>
              <w:rPr>
                <w:rFonts w:hint="eastAsia" w:ascii="仿宋_GB2312" w:hAnsi="宋体" w:eastAsia="仿宋_GB2312" w:cs="仿宋_GB2312"/>
                <w:color w:val="000000"/>
                <w:kern w:val="0"/>
                <w:sz w:val="21"/>
                <w:szCs w:val="21"/>
                <w:lang w:eastAsia="zh-CN" w:bidi="ar"/>
              </w:rPr>
              <w:t>国家文化产业创新实验区</w:t>
            </w:r>
            <w:r>
              <w:rPr>
                <w:rFonts w:ascii="仿宋_GB2312" w:hAnsi="宋体" w:eastAsia="仿宋_GB2312" w:cs="仿宋_GB2312"/>
                <w:color w:val="000000"/>
                <w:kern w:val="0"/>
                <w:sz w:val="21"/>
                <w:szCs w:val="21"/>
                <w:lang w:bidi="ar"/>
              </w:rPr>
              <w:t>规模以上文化及相关产业企业</w:t>
            </w:r>
            <w:r>
              <w:rPr>
                <w:rFonts w:hint="default" w:ascii="仿宋_GB2312" w:hAnsi="宋体" w:eastAsia="仿宋_GB2312" w:cs="仿宋_GB2312"/>
                <w:color w:val="000000"/>
                <w:sz w:val="21"/>
                <w:szCs w:val="21"/>
                <w:u w:val="none"/>
                <w:lang w:bidi="ar"/>
              </w:rPr>
              <w:t>实现营收</w:t>
            </w:r>
            <w:r>
              <w:rPr>
                <w:rFonts w:hint="eastAsia" w:ascii="仿宋_GB2312" w:hAnsi="宋体" w:eastAsia="仿宋_GB2312" w:cs="仿宋_GB2312"/>
                <w:color w:val="000000"/>
                <w:sz w:val="21"/>
                <w:szCs w:val="21"/>
                <w:u w:val="none"/>
                <w:lang w:eastAsia="zh-CN" w:bidi="ar"/>
              </w:rPr>
              <w:t>规模（亿元）</w:t>
            </w:r>
          </w:p>
        </w:tc>
        <w:tc>
          <w:tcPr>
            <w:tcW w:w="2560" w:type="dxa"/>
            <w:vAlign w:val="center"/>
          </w:tcPr>
          <w:p w14:paraId="5011613F">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ascii="Times New Roman Regular" w:hAnsi="Times New Roman Regular" w:eastAsia="黑体" w:cs="Times New Roman Regular"/>
                <w:color w:val="000000"/>
                <w:sz w:val="21"/>
                <w:szCs w:val="21"/>
              </w:rPr>
            </w:pPr>
            <w:r>
              <w:rPr>
                <w:rFonts w:hint="eastAsia" w:ascii="Times New Roman" w:hAnsi="Times New Roman" w:eastAsia="仿宋_GB2312"/>
                <w:color w:val="000000"/>
                <w:kern w:val="0"/>
                <w:sz w:val="21"/>
                <w:szCs w:val="21"/>
                <w:lang w:val="en-US" w:eastAsia="zh-CN" w:bidi="ar"/>
              </w:rPr>
              <w:t>2500</w:t>
            </w:r>
          </w:p>
        </w:tc>
        <w:tc>
          <w:tcPr>
            <w:tcW w:w="1774" w:type="dxa"/>
            <w:vAlign w:val="center"/>
          </w:tcPr>
          <w:p w14:paraId="4055E9C1">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w:hAnsi="Times New Roman" w:eastAsia="仿宋_GB2312"/>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预期性指标</w:t>
            </w:r>
          </w:p>
        </w:tc>
      </w:tr>
      <w:tr w14:paraId="6549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20" w:type="dxa"/>
            <w:vAlign w:val="center"/>
          </w:tcPr>
          <w:p w14:paraId="2F1FA264">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4</w:t>
            </w:r>
          </w:p>
        </w:tc>
        <w:tc>
          <w:tcPr>
            <w:tcW w:w="4657" w:type="dxa"/>
            <w:vAlign w:val="center"/>
          </w:tcPr>
          <w:p w14:paraId="7D6CF0C5">
            <w:pPr>
              <w:keepNext w:val="0"/>
              <w:keepLines w:val="0"/>
              <w:pageBreakBefore w:val="0"/>
              <w:widowControl/>
              <w:kinsoku/>
              <w:wordWrap/>
              <w:overflowPunct/>
              <w:topLinePunct w:val="0"/>
              <w:autoSpaceDE/>
              <w:autoSpaceDN/>
              <w:bidi w:val="0"/>
              <w:adjustRightInd/>
              <w:snapToGrid/>
              <w:spacing w:line="460" w:lineRule="exact"/>
              <w:textAlignment w:val="center"/>
              <w:rPr>
                <w:rFonts w:hint="eastAsia" w:ascii="Times New Roman Regular" w:hAnsi="Times New Roman Regular" w:eastAsia="仿宋_GB2312" w:cs="Times New Roman Regular"/>
                <w:color w:val="000000"/>
                <w:sz w:val="21"/>
                <w:szCs w:val="21"/>
                <w:lang w:val="en-US" w:eastAsia="zh-CN"/>
              </w:rPr>
            </w:pPr>
            <w:r>
              <w:rPr>
                <w:rFonts w:hint="default" w:ascii="Times New Roman" w:hAnsi="Times New Roman" w:eastAsia="仿宋_GB2312" w:cs="Times New Roman"/>
                <w:color w:val="000000"/>
                <w:kern w:val="0"/>
                <w:sz w:val="21"/>
                <w:szCs w:val="21"/>
                <w:lang w:bidi="ar"/>
              </w:rPr>
              <w:t>文化新业态特征较为明显的16个行业小类</w:t>
            </w:r>
            <w:r>
              <w:rPr>
                <w:rFonts w:hint="eastAsia" w:ascii="Times New Roman" w:hAnsi="Times New Roman" w:eastAsia="仿宋_GB2312" w:cs="Times New Roman"/>
                <w:color w:val="000000"/>
                <w:kern w:val="0"/>
                <w:sz w:val="21"/>
                <w:szCs w:val="21"/>
                <w:lang w:eastAsia="zh-CN" w:bidi="ar"/>
              </w:rPr>
              <w:t>营收规模（亿元）</w:t>
            </w:r>
          </w:p>
        </w:tc>
        <w:tc>
          <w:tcPr>
            <w:tcW w:w="2560" w:type="dxa"/>
            <w:vAlign w:val="center"/>
          </w:tcPr>
          <w:p w14:paraId="59121D1D">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2100</w:t>
            </w:r>
          </w:p>
        </w:tc>
        <w:tc>
          <w:tcPr>
            <w:tcW w:w="1774" w:type="dxa"/>
            <w:vAlign w:val="center"/>
          </w:tcPr>
          <w:p w14:paraId="79E7BF53">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s="Times New Roman"/>
                <w:color w:val="000000"/>
                <w:kern w:val="0"/>
                <w:sz w:val="21"/>
                <w:szCs w:val="21"/>
                <w:lang w:eastAsia="zh-CN" w:bidi="ar"/>
              </w:rPr>
              <w:t>预期性指标</w:t>
            </w:r>
          </w:p>
        </w:tc>
      </w:tr>
      <w:tr w14:paraId="4ACE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20" w:type="dxa"/>
            <w:vAlign w:val="center"/>
          </w:tcPr>
          <w:p w14:paraId="4AC92F96">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5</w:t>
            </w:r>
          </w:p>
        </w:tc>
        <w:tc>
          <w:tcPr>
            <w:tcW w:w="4657" w:type="dxa"/>
            <w:vAlign w:val="center"/>
          </w:tcPr>
          <w:p w14:paraId="30E4FC1E">
            <w:pPr>
              <w:keepNext w:val="0"/>
              <w:keepLines w:val="0"/>
              <w:pageBreakBefore w:val="0"/>
              <w:widowControl/>
              <w:kinsoku/>
              <w:wordWrap/>
              <w:overflowPunct/>
              <w:topLinePunct w:val="0"/>
              <w:autoSpaceDE/>
              <w:autoSpaceDN/>
              <w:bidi w:val="0"/>
              <w:adjustRightInd/>
              <w:snapToGrid/>
              <w:spacing w:line="460" w:lineRule="exact"/>
              <w:textAlignment w:val="center"/>
              <w:rPr>
                <w:rFonts w:ascii="Times New Roman Regular" w:hAnsi="Times New Roman Regular" w:eastAsia="黑体" w:cs="Times New Roman Regular"/>
                <w:color w:val="000000"/>
                <w:sz w:val="21"/>
                <w:szCs w:val="21"/>
              </w:rPr>
            </w:pPr>
            <w:r>
              <w:rPr>
                <w:rFonts w:ascii="仿宋_GB2312" w:hAnsi="宋体" w:eastAsia="仿宋_GB2312" w:cs="仿宋_GB2312"/>
                <w:color w:val="000000"/>
                <w:kern w:val="0"/>
                <w:sz w:val="21"/>
                <w:szCs w:val="21"/>
                <w:lang w:bidi="ar"/>
              </w:rPr>
              <w:t>新引进培育行业</w:t>
            </w:r>
            <w:r>
              <w:rPr>
                <w:rFonts w:ascii="Times New Roman" w:hAnsi="Times New Roman" w:eastAsia="仿宋_GB2312"/>
                <w:color w:val="000000"/>
                <w:kern w:val="0"/>
                <w:sz w:val="21"/>
                <w:szCs w:val="21"/>
                <w:lang w:bidi="ar"/>
              </w:rPr>
              <w:t>“</w:t>
            </w:r>
            <w:r>
              <w:rPr>
                <w:rFonts w:hint="default" w:ascii="仿宋_GB2312" w:hAnsi="宋体" w:eastAsia="仿宋_GB2312" w:cs="仿宋_GB2312"/>
                <w:color w:val="000000"/>
                <w:sz w:val="21"/>
                <w:szCs w:val="21"/>
                <w:u w:val="none"/>
                <w:lang w:bidi="ar"/>
              </w:rPr>
              <w:t>链主</w:t>
            </w:r>
            <w:r>
              <w:rPr>
                <w:rFonts w:ascii="Times New Roman" w:hAnsi="Times New Roman" w:eastAsia="仿宋_GB2312"/>
                <w:color w:val="000000"/>
                <w:kern w:val="0"/>
                <w:sz w:val="21"/>
                <w:szCs w:val="21"/>
                <w:lang w:bidi="ar"/>
              </w:rPr>
              <w:t>”</w:t>
            </w:r>
            <w:r>
              <w:rPr>
                <w:rFonts w:hint="eastAsia" w:ascii="仿宋_GB2312" w:hAnsi="宋体" w:eastAsia="仿宋_GB2312" w:cs="仿宋_GB2312"/>
                <w:color w:val="000000"/>
                <w:kern w:val="0"/>
                <w:sz w:val="21"/>
                <w:szCs w:val="21"/>
                <w:lang w:bidi="ar"/>
              </w:rPr>
              <w:t>、平台</w:t>
            </w:r>
            <w:r>
              <w:rPr>
                <w:rFonts w:hint="default" w:ascii="仿宋_GB2312" w:hAnsi="宋体" w:eastAsia="仿宋_GB2312" w:cs="仿宋_GB2312"/>
                <w:color w:val="000000"/>
                <w:sz w:val="21"/>
                <w:szCs w:val="21"/>
                <w:u w:val="none"/>
                <w:lang w:bidi="ar"/>
              </w:rPr>
              <w:t>企业</w:t>
            </w:r>
            <w:r>
              <w:rPr>
                <w:rFonts w:hint="eastAsia" w:ascii="Times New Roman" w:hAnsi="Times New Roman" w:eastAsia="仿宋_GB2312"/>
                <w:color w:val="000000"/>
                <w:kern w:val="0"/>
                <w:sz w:val="21"/>
                <w:szCs w:val="21"/>
                <w:lang w:eastAsia="zh-CN" w:bidi="ar"/>
              </w:rPr>
              <w:t>（</w:t>
            </w:r>
            <w:r>
              <w:rPr>
                <w:rFonts w:hint="default" w:ascii="仿宋_GB2312" w:hAnsi="宋体" w:eastAsia="仿宋_GB2312" w:cs="仿宋_GB2312"/>
                <w:color w:val="000000"/>
                <w:sz w:val="21"/>
                <w:szCs w:val="21"/>
                <w:u w:val="none"/>
                <w:lang w:bidi="ar"/>
              </w:rPr>
              <w:t>家</w:t>
            </w:r>
            <w:r>
              <w:rPr>
                <w:rFonts w:hint="eastAsia" w:ascii="Times New Roman" w:hAnsi="Times New Roman" w:eastAsia="仿宋_GB2312"/>
                <w:color w:val="000000"/>
                <w:kern w:val="0"/>
                <w:sz w:val="21"/>
                <w:szCs w:val="21"/>
                <w:lang w:eastAsia="zh-CN" w:bidi="ar"/>
              </w:rPr>
              <w:t>）</w:t>
            </w:r>
          </w:p>
        </w:tc>
        <w:tc>
          <w:tcPr>
            <w:tcW w:w="2560" w:type="dxa"/>
            <w:vAlign w:val="center"/>
          </w:tcPr>
          <w:p w14:paraId="693605BA">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5</w:t>
            </w:r>
          </w:p>
        </w:tc>
        <w:tc>
          <w:tcPr>
            <w:tcW w:w="1774" w:type="dxa"/>
            <w:vAlign w:val="center"/>
          </w:tcPr>
          <w:p w14:paraId="44EDA524">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s="Times New Roman"/>
                <w:color w:val="000000"/>
                <w:kern w:val="0"/>
                <w:sz w:val="21"/>
                <w:szCs w:val="21"/>
                <w:lang w:eastAsia="zh-CN" w:bidi="ar"/>
              </w:rPr>
              <w:t>预期性指标</w:t>
            </w:r>
          </w:p>
        </w:tc>
      </w:tr>
      <w:tr w14:paraId="424A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20" w:type="dxa"/>
            <w:vAlign w:val="center"/>
          </w:tcPr>
          <w:p w14:paraId="74AC5B78">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6</w:t>
            </w:r>
          </w:p>
        </w:tc>
        <w:tc>
          <w:tcPr>
            <w:tcW w:w="4657" w:type="dxa"/>
            <w:vAlign w:val="center"/>
          </w:tcPr>
          <w:p w14:paraId="469B2FDF">
            <w:pPr>
              <w:keepNext w:val="0"/>
              <w:keepLines w:val="0"/>
              <w:pageBreakBefore w:val="0"/>
              <w:widowControl/>
              <w:kinsoku/>
              <w:wordWrap/>
              <w:overflowPunct/>
              <w:topLinePunct w:val="0"/>
              <w:autoSpaceDE/>
              <w:autoSpaceDN/>
              <w:bidi w:val="0"/>
              <w:adjustRightInd/>
              <w:snapToGrid/>
              <w:spacing w:line="460" w:lineRule="exact"/>
              <w:textAlignment w:val="center"/>
              <w:rPr>
                <w:rFonts w:hint="eastAsia" w:ascii="Times New Roman Regular" w:hAnsi="Times New Roman Regular" w:eastAsia="仿宋_GB2312" w:cs="Times New Roman Regular"/>
                <w:color w:val="000000"/>
                <w:sz w:val="21"/>
                <w:szCs w:val="21"/>
                <w:lang w:eastAsia="zh-CN"/>
              </w:rPr>
            </w:pPr>
            <w:r>
              <w:rPr>
                <w:rFonts w:hint="default" w:ascii="仿宋_GB2312" w:hAnsi="宋体" w:eastAsia="仿宋_GB2312" w:cs="仿宋_GB2312"/>
                <w:color w:val="000000"/>
                <w:sz w:val="21"/>
                <w:szCs w:val="21"/>
                <w:u w:val="none"/>
                <w:lang w:bidi="ar"/>
              </w:rPr>
              <w:t>数智文化标杆场景</w:t>
            </w:r>
            <w:r>
              <w:rPr>
                <w:rFonts w:hint="eastAsia" w:ascii="仿宋_GB2312" w:hAnsi="宋体" w:eastAsia="仿宋_GB2312" w:cs="仿宋_GB2312"/>
                <w:color w:val="000000"/>
                <w:sz w:val="21"/>
                <w:szCs w:val="21"/>
                <w:u w:val="none"/>
                <w:lang w:eastAsia="zh-CN" w:bidi="ar"/>
              </w:rPr>
              <w:t>（个）</w:t>
            </w:r>
          </w:p>
        </w:tc>
        <w:tc>
          <w:tcPr>
            <w:tcW w:w="2560" w:type="dxa"/>
            <w:vAlign w:val="center"/>
          </w:tcPr>
          <w:p w14:paraId="4C58176C">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50</w:t>
            </w:r>
          </w:p>
        </w:tc>
        <w:tc>
          <w:tcPr>
            <w:tcW w:w="1774" w:type="dxa"/>
            <w:vAlign w:val="center"/>
          </w:tcPr>
          <w:p w14:paraId="14A3F282">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s="Times New Roman"/>
                <w:color w:val="000000"/>
                <w:kern w:val="0"/>
                <w:sz w:val="21"/>
                <w:szCs w:val="21"/>
                <w:lang w:eastAsia="zh-CN" w:bidi="ar"/>
              </w:rPr>
              <w:t>预期性指标</w:t>
            </w:r>
          </w:p>
        </w:tc>
      </w:tr>
      <w:tr w14:paraId="440D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20" w:type="dxa"/>
            <w:vAlign w:val="center"/>
          </w:tcPr>
          <w:p w14:paraId="3F40E928">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7</w:t>
            </w:r>
          </w:p>
        </w:tc>
        <w:tc>
          <w:tcPr>
            <w:tcW w:w="4657" w:type="dxa"/>
            <w:vAlign w:val="center"/>
          </w:tcPr>
          <w:p w14:paraId="0D09889F">
            <w:pPr>
              <w:keepNext w:val="0"/>
              <w:keepLines w:val="0"/>
              <w:pageBreakBefore w:val="0"/>
              <w:widowControl/>
              <w:kinsoku/>
              <w:wordWrap/>
              <w:overflowPunct/>
              <w:topLinePunct w:val="0"/>
              <w:autoSpaceDE/>
              <w:autoSpaceDN/>
              <w:bidi w:val="0"/>
              <w:adjustRightInd/>
              <w:snapToGrid/>
              <w:spacing w:line="460" w:lineRule="exact"/>
              <w:textAlignment w:val="center"/>
              <w:rPr>
                <w:rFonts w:hint="eastAsia" w:ascii="Times New Roman Regular" w:hAnsi="Times New Roman Regular" w:eastAsia="仿宋_GB2312" w:cs="Times New Roman Regular"/>
                <w:color w:val="000000"/>
                <w:sz w:val="21"/>
                <w:szCs w:val="21"/>
                <w:lang w:eastAsia="zh-CN"/>
              </w:rPr>
            </w:pPr>
            <w:r>
              <w:rPr>
                <w:rFonts w:hint="default" w:ascii="仿宋_GB2312" w:hAnsi="宋体" w:eastAsia="仿宋_GB2312" w:cs="仿宋_GB2312"/>
                <w:color w:val="000000"/>
                <w:sz w:val="21"/>
                <w:szCs w:val="21"/>
                <w:u w:val="none"/>
                <w:lang w:bidi="ar"/>
              </w:rPr>
              <w:t>千亿</w:t>
            </w:r>
            <w:r>
              <w:rPr>
                <w:rFonts w:hint="eastAsia" w:ascii="仿宋_GB2312" w:hAnsi="宋体" w:eastAsia="仿宋_GB2312" w:cs="仿宋_GB2312"/>
                <w:color w:val="000000"/>
                <w:sz w:val="21"/>
                <w:szCs w:val="21"/>
                <w:u w:val="none"/>
                <w:lang w:eastAsia="zh-CN" w:bidi="ar"/>
              </w:rPr>
              <w:t>级</w:t>
            </w:r>
            <w:r>
              <w:rPr>
                <w:rFonts w:hint="default" w:ascii="仿宋_GB2312" w:hAnsi="宋体" w:eastAsia="仿宋_GB2312" w:cs="仿宋_GB2312"/>
                <w:color w:val="000000"/>
                <w:sz w:val="21"/>
                <w:szCs w:val="21"/>
                <w:u w:val="none"/>
                <w:lang w:bidi="ar"/>
              </w:rPr>
              <w:t>文化产业集群</w:t>
            </w:r>
            <w:r>
              <w:rPr>
                <w:rFonts w:hint="eastAsia" w:ascii="仿宋_GB2312" w:hAnsi="宋体" w:eastAsia="仿宋_GB2312" w:cs="仿宋_GB2312"/>
                <w:color w:val="000000"/>
                <w:sz w:val="21"/>
                <w:szCs w:val="21"/>
                <w:u w:val="none"/>
                <w:lang w:eastAsia="zh-CN" w:bidi="ar"/>
              </w:rPr>
              <w:t>（个）</w:t>
            </w:r>
          </w:p>
        </w:tc>
        <w:tc>
          <w:tcPr>
            <w:tcW w:w="2560" w:type="dxa"/>
            <w:vAlign w:val="center"/>
          </w:tcPr>
          <w:p w14:paraId="2B9A9E69">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olor w:val="000000"/>
                <w:kern w:val="0"/>
                <w:sz w:val="21"/>
                <w:szCs w:val="21"/>
                <w:lang w:val="en-US" w:eastAsia="zh-CN" w:bidi="ar"/>
              </w:rPr>
              <w:t>1-2</w:t>
            </w:r>
          </w:p>
        </w:tc>
        <w:tc>
          <w:tcPr>
            <w:tcW w:w="1774" w:type="dxa"/>
            <w:vAlign w:val="center"/>
          </w:tcPr>
          <w:p w14:paraId="7989DCDF">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w:hAnsi="Times New Roman" w:eastAsia="仿宋_GB2312"/>
                <w:color w:val="000000"/>
                <w:kern w:val="0"/>
                <w:sz w:val="21"/>
                <w:szCs w:val="21"/>
                <w:lang w:val="en-US" w:eastAsia="zh-CN" w:bidi="ar"/>
              </w:rPr>
            </w:pPr>
            <w:r>
              <w:rPr>
                <w:rFonts w:hint="eastAsia" w:ascii="Times New Roman" w:hAnsi="Times New Roman" w:eastAsia="仿宋_GB2312" w:cs="Times New Roman"/>
                <w:color w:val="000000"/>
                <w:kern w:val="0"/>
                <w:sz w:val="21"/>
                <w:szCs w:val="21"/>
                <w:lang w:eastAsia="zh-CN" w:bidi="ar"/>
              </w:rPr>
              <w:t>预期性指标</w:t>
            </w:r>
          </w:p>
        </w:tc>
      </w:tr>
      <w:tr w14:paraId="28ED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720" w:type="dxa"/>
            <w:vAlign w:val="center"/>
          </w:tcPr>
          <w:p w14:paraId="706BDEF7">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8</w:t>
            </w:r>
          </w:p>
        </w:tc>
        <w:tc>
          <w:tcPr>
            <w:tcW w:w="4657" w:type="dxa"/>
            <w:vAlign w:val="center"/>
          </w:tcPr>
          <w:p w14:paraId="347E2CD2">
            <w:pPr>
              <w:keepNext w:val="0"/>
              <w:keepLines w:val="0"/>
              <w:pageBreakBefore w:val="0"/>
              <w:widowControl/>
              <w:kinsoku/>
              <w:wordWrap/>
              <w:overflowPunct/>
              <w:topLinePunct w:val="0"/>
              <w:autoSpaceDE/>
              <w:autoSpaceDN/>
              <w:bidi w:val="0"/>
              <w:adjustRightInd/>
              <w:snapToGrid/>
              <w:spacing w:line="460" w:lineRule="exact"/>
              <w:textAlignment w:val="center"/>
              <w:rPr>
                <w:rFonts w:hint="eastAsia" w:ascii="Times New Roman Regular" w:hAnsi="Times New Roman Regular" w:eastAsia="仿宋_GB2312" w:cs="Times New Roman Regular"/>
                <w:color w:val="000000"/>
                <w:sz w:val="21"/>
                <w:szCs w:val="21"/>
                <w:lang w:eastAsia="zh-CN"/>
              </w:rPr>
            </w:pPr>
            <w:r>
              <w:rPr>
                <w:rFonts w:hint="eastAsia" w:ascii="仿宋_GB2312" w:hAnsi="宋体" w:eastAsia="仿宋_GB2312" w:cs="仿宋_GB2312"/>
                <w:color w:val="000000"/>
                <w:sz w:val="21"/>
                <w:szCs w:val="21"/>
                <w:u w:val="none"/>
                <w:lang w:bidi="ar"/>
              </w:rPr>
              <w:t>培育认定文化和科技融合产业</w:t>
            </w:r>
            <w:r>
              <w:rPr>
                <w:rFonts w:hint="default" w:ascii="Times New Roman" w:hAnsi="Times New Roman" w:eastAsia="仿宋_GB2312" w:cs="Times New Roman"/>
                <w:color w:val="000000"/>
                <w:sz w:val="21"/>
                <w:szCs w:val="21"/>
                <w:u w:val="none"/>
                <w:lang w:bidi="ar"/>
              </w:rPr>
              <w:t>园区</w:t>
            </w:r>
            <w:r>
              <w:rPr>
                <w:rFonts w:hint="eastAsia" w:ascii="仿宋_GB2312" w:hAnsi="Times New Roman" w:eastAsia="仿宋_GB2312" w:cs="Times New Roman"/>
                <w:color w:val="000000"/>
                <w:sz w:val="21"/>
                <w:szCs w:val="21"/>
                <w:u w:val="none"/>
                <w:lang w:eastAsia="zh-CN" w:bidi="ar"/>
              </w:rPr>
              <w:t>（家）</w:t>
            </w:r>
          </w:p>
        </w:tc>
        <w:tc>
          <w:tcPr>
            <w:tcW w:w="2560" w:type="dxa"/>
            <w:vAlign w:val="center"/>
          </w:tcPr>
          <w:p w14:paraId="04B36E9C">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20</w:t>
            </w:r>
          </w:p>
        </w:tc>
        <w:tc>
          <w:tcPr>
            <w:tcW w:w="1774" w:type="dxa"/>
            <w:vAlign w:val="center"/>
          </w:tcPr>
          <w:p w14:paraId="2615BEBE">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s="Times New Roman"/>
                <w:color w:val="000000"/>
                <w:kern w:val="0"/>
                <w:sz w:val="21"/>
                <w:szCs w:val="21"/>
                <w:lang w:eastAsia="zh-CN" w:bidi="ar"/>
              </w:rPr>
              <w:t>预期性指标</w:t>
            </w:r>
          </w:p>
        </w:tc>
      </w:tr>
      <w:tr w14:paraId="51C0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720" w:type="dxa"/>
            <w:vAlign w:val="center"/>
          </w:tcPr>
          <w:p w14:paraId="3D497A42">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eastAsia="zh-CN"/>
              </w:rPr>
            </w:pPr>
            <w:r>
              <w:rPr>
                <w:rFonts w:hint="eastAsia" w:ascii="Times New Roman" w:hAnsi="Times New Roman" w:eastAsia="黑体"/>
                <w:color w:val="000000"/>
                <w:kern w:val="0"/>
                <w:sz w:val="21"/>
                <w:szCs w:val="21"/>
                <w:lang w:val="en-US" w:eastAsia="zh-CN" w:bidi="ar"/>
              </w:rPr>
              <w:t>9</w:t>
            </w:r>
          </w:p>
        </w:tc>
        <w:tc>
          <w:tcPr>
            <w:tcW w:w="4657" w:type="dxa"/>
            <w:vAlign w:val="center"/>
          </w:tcPr>
          <w:p w14:paraId="5D542D02">
            <w:pPr>
              <w:keepNext w:val="0"/>
              <w:keepLines w:val="0"/>
              <w:pageBreakBefore w:val="0"/>
              <w:widowControl/>
              <w:kinsoku/>
              <w:wordWrap/>
              <w:overflowPunct/>
              <w:topLinePunct w:val="0"/>
              <w:autoSpaceDE/>
              <w:autoSpaceDN/>
              <w:bidi w:val="0"/>
              <w:adjustRightInd/>
              <w:snapToGrid/>
              <w:spacing w:line="460" w:lineRule="exact"/>
              <w:textAlignment w:val="center"/>
              <w:rPr>
                <w:rFonts w:ascii="Times New Roman Regular" w:hAnsi="Times New Roman Regular" w:eastAsia="黑体" w:cs="Times New Roman Regular"/>
                <w:color w:val="000000"/>
                <w:sz w:val="21"/>
                <w:szCs w:val="21"/>
              </w:rPr>
            </w:pPr>
            <w:r>
              <w:rPr>
                <w:rFonts w:hint="default" w:ascii="仿宋_GB2312" w:hAnsi="宋体" w:eastAsia="仿宋_GB2312" w:cs="仿宋_GB2312"/>
                <w:color w:val="000000"/>
                <w:sz w:val="21"/>
                <w:szCs w:val="21"/>
                <w:u w:val="none"/>
                <w:lang w:bidi="ar"/>
              </w:rPr>
              <w:t>推出文化精品佳作（部</w:t>
            </w:r>
            <w:r>
              <w:rPr>
                <w:rFonts w:hint="eastAsia" w:ascii="仿宋_GB2312" w:hAnsi="宋体" w:eastAsia="仿宋_GB2312" w:cs="仿宋_GB2312"/>
                <w:color w:val="000000"/>
                <w:sz w:val="21"/>
                <w:szCs w:val="21"/>
                <w:u w:val="none"/>
                <w:lang w:eastAsia="zh-CN" w:bidi="ar"/>
              </w:rPr>
              <w:t>、</w:t>
            </w:r>
            <w:r>
              <w:rPr>
                <w:rFonts w:hint="default" w:ascii="仿宋_GB2312" w:hAnsi="宋体" w:eastAsia="仿宋_GB2312" w:cs="仿宋_GB2312"/>
                <w:color w:val="000000"/>
                <w:sz w:val="21"/>
                <w:szCs w:val="21"/>
                <w:u w:val="none"/>
                <w:lang w:bidi="ar"/>
              </w:rPr>
              <w:t>个）</w:t>
            </w:r>
          </w:p>
        </w:tc>
        <w:tc>
          <w:tcPr>
            <w:tcW w:w="2560" w:type="dxa"/>
            <w:vAlign w:val="center"/>
          </w:tcPr>
          <w:p w14:paraId="298EE2A9">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50</w:t>
            </w:r>
          </w:p>
        </w:tc>
        <w:tc>
          <w:tcPr>
            <w:tcW w:w="1774" w:type="dxa"/>
            <w:vAlign w:val="center"/>
          </w:tcPr>
          <w:p w14:paraId="44C0482B">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s="Times New Roman"/>
                <w:color w:val="000000"/>
                <w:kern w:val="0"/>
                <w:sz w:val="21"/>
                <w:szCs w:val="21"/>
                <w:lang w:eastAsia="zh-CN" w:bidi="ar"/>
              </w:rPr>
              <w:t>预期性指标</w:t>
            </w:r>
          </w:p>
        </w:tc>
      </w:tr>
      <w:tr w14:paraId="29860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20" w:type="dxa"/>
            <w:vAlign w:val="center"/>
          </w:tcPr>
          <w:p w14:paraId="2804C934">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w:hAnsi="Times New Roman" w:eastAsia="黑体"/>
                <w:color w:val="000000"/>
                <w:kern w:val="0"/>
                <w:sz w:val="21"/>
                <w:szCs w:val="21"/>
                <w:lang w:val="en-US" w:eastAsia="zh-CN" w:bidi="ar"/>
              </w:rPr>
              <w:t>10</w:t>
            </w:r>
          </w:p>
        </w:tc>
        <w:tc>
          <w:tcPr>
            <w:tcW w:w="4657" w:type="dxa"/>
            <w:vAlign w:val="center"/>
          </w:tcPr>
          <w:p w14:paraId="53EC8850">
            <w:pPr>
              <w:keepNext w:val="0"/>
              <w:keepLines w:val="0"/>
              <w:pageBreakBefore w:val="0"/>
              <w:widowControl/>
              <w:kinsoku/>
              <w:wordWrap/>
              <w:overflowPunct/>
              <w:topLinePunct w:val="0"/>
              <w:autoSpaceDE/>
              <w:autoSpaceDN/>
              <w:bidi w:val="0"/>
              <w:adjustRightInd/>
              <w:snapToGrid/>
              <w:spacing w:line="460" w:lineRule="exact"/>
              <w:textAlignment w:val="center"/>
              <w:rPr>
                <w:rFonts w:ascii="Times New Roman Regular" w:hAnsi="Times New Roman Regular" w:eastAsia="黑体" w:cs="Times New Roman Regular"/>
                <w:color w:val="000000"/>
                <w:sz w:val="21"/>
                <w:szCs w:val="21"/>
              </w:rPr>
            </w:pPr>
            <w:r>
              <w:rPr>
                <w:rFonts w:hint="default" w:ascii="仿宋_GB2312" w:hAnsi="宋体" w:eastAsia="仿宋_GB2312" w:cs="仿宋_GB2312"/>
                <w:color w:val="000000"/>
                <w:sz w:val="21"/>
                <w:szCs w:val="21"/>
                <w:u w:val="none"/>
                <w:lang w:bidi="ar"/>
              </w:rPr>
              <w:t>引育文化菁英人才</w:t>
            </w:r>
            <w:r>
              <w:rPr>
                <w:rFonts w:hint="eastAsia" w:ascii="Times New Roman" w:hAnsi="Times New Roman" w:eastAsia="仿宋_GB2312"/>
                <w:color w:val="000000"/>
                <w:sz w:val="21"/>
                <w:szCs w:val="21"/>
                <w:u w:val="none"/>
                <w:lang w:eastAsia="zh-CN" w:bidi="ar"/>
              </w:rPr>
              <w:t>（</w:t>
            </w:r>
            <w:r>
              <w:rPr>
                <w:rFonts w:hint="default" w:ascii="仿宋_GB2312" w:hAnsi="宋体" w:eastAsia="仿宋_GB2312" w:cs="仿宋_GB2312"/>
                <w:color w:val="000000"/>
                <w:sz w:val="21"/>
                <w:szCs w:val="21"/>
                <w:u w:val="none"/>
                <w:lang w:bidi="ar"/>
              </w:rPr>
              <w:t>名</w:t>
            </w:r>
            <w:r>
              <w:rPr>
                <w:rFonts w:hint="eastAsia" w:ascii="Times New Roman" w:hAnsi="Times New Roman" w:eastAsia="仿宋_GB2312"/>
                <w:color w:val="000000"/>
                <w:sz w:val="21"/>
                <w:szCs w:val="21"/>
                <w:u w:val="none"/>
                <w:lang w:eastAsia="zh-CN" w:bidi="ar"/>
              </w:rPr>
              <w:t>）</w:t>
            </w:r>
          </w:p>
        </w:tc>
        <w:tc>
          <w:tcPr>
            <w:tcW w:w="2560" w:type="dxa"/>
            <w:vAlign w:val="center"/>
          </w:tcPr>
          <w:p w14:paraId="19892393">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default" w:ascii="Times New Roman Regular" w:hAnsi="Times New Roman Regular" w:eastAsia="黑体" w:cs="Times New Roman Regular"/>
                <w:color w:val="000000"/>
                <w:sz w:val="21"/>
                <w:szCs w:val="21"/>
                <w:lang w:val="en-US" w:eastAsia="zh-CN"/>
              </w:rPr>
            </w:pPr>
            <w:r>
              <w:rPr>
                <w:rFonts w:hint="eastAsia" w:ascii="Times New Roman Regular" w:hAnsi="Times New Roman Regular" w:eastAsia="黑体" w:cs="Times New Roman Regular"/>
                <w:color w:val="000000"/>
                <w:sz w:val="21"/>
                <w:szCs w:val="21"/>
                <w:lang w:val="en-US" w:eastAsia="zh-CN"/>
              </w:rPr>
              <w:t>100</w:t>
            </w:r>
          </w:p>
        </w:tc>
        <w:tc>
          <w:tcPr>
            <w:tcW w:w="1774" w:type="dxa"/>
            <w:vAlign w:val="center"/>
          </w:tcPr>
          <w:p w14:paraId="37FFB55E">
            <w:pPr>
              <w:keepNext w:val="0"/>
              <w:keepLines w:val="0"/>
              <w:pageBreakBefore w:val="0"/>
              <w:widowControl/>
              <w:kinsoku/>
              <w:wordWrap/>
              <w:overflowPunct/>
              <w:topLinePunct w:val="0"/>
              <w:autoSpaceDE/>
              <w:autoSpaceDN/>
              <w:bidi w:val="0"/>
              <w:adjustRightInd/>
              <w:snapToGrid/>
              <w:spacing w:line="460" w:lineRule="exact"/>
              <w:jc w:val="center"/>
              <w:textAlignment w:val="center"/>
              <w:rPr>
                <w:rFonts w:hint="eastAsia" w:ascii="Times New Roman Regular" w:hAnsi="Times New Roman Regular" w:eastAsia="黑体" w:cs="Times New Roman Regular"/>
                <w:color w:val="000000"/>
                <w:sz w:val="21"/>
                <w:szCs w:val="21"/>
                <w:lang w:val="en-US" w:eastAsia="zh-CN"/>
              </w:rPr>
            </w:pPr>
            <w:r>
              <w:rPr>
                <w:rFonts w:hint="eastAsia" w:ascii="Times New Roman" w:hAnsi="Times New Roman" w:eastAsia="仿宋_GB2312" w:cs="Times New Roman"/>
                <w:color w:val="000000"/>
                <w:kern w:val="0"/>
                <w:sz w:val="21"/>
                <w:szCs w:val="21"/>
                <w:lang w:eastAsia="zh-CN" w:bidi="ar"/>
              </w:rPr>
              <w:t>预期性指标</w:t>
            </w:r>
          </w:p>
        </w:tc>
      </w:tr>
    </w:tbl>
    <w:p w14:paraId="5BDC5E3E">
      <w:pPr>
        <w:keepNext w:val="0"/>
        <w:keepLines w:val="0"/>
        <w:pageBreakBefore w:val="0"/>
        <w:widowControl w:val="0"/>
        <w:kinsoku/>
        <w:wordWrap/>
        <w:overflowPunct/>
        <w:topLinePunct w:val="0"/>
        <w:autoSpaceDE/>
        <w:autoSpaceDN/>
        <w:bidi w:val="0"/>
        <w:adjustRightInd w:val="0"/>
        <w:snapToGrid/>
        <w:spacing w:before="312" w:beforeLines="100" w:after="312" w:afterLines="100" w:line="460" w:lineRule="exact"/>
        <w:jc w:val="both"/>
        <w:outlineLvl w:val="0"/>
        <w:rPr>
          <w:rFonts w:hint="eastAsia" w:ascii="方正小标宋简体" w:hAnsi="方正小标宋简体" w:eastAsia="方正小标宋简体" w:cs="方正小标宋简体"/>
          <w:bCs/>
          <w:color w:val="000000"/>
          <w:sz w:val="21"/>
          <w:szCs w:val="21"/>
          <w:lang w:val="en-US" w:eastAsia="zh-CN" w:bidi="ar-SA"/>
        </w:rPr>
      </w:pPr>
    </w:p>
    <w:p w14:paraId="08AA9272">
      <w:pPr>
        <w:autoSpaceDE/>
        <w:autoSpaceDN/>
        <w:spacing w:before="312" w:beforeLines="100" w:after="312" w:afterLines="100" w:line="560" w:lineRule="exact"/>
        <w:jc w:val="both"/>
        <w:outlineLvl w:val="0"/>
        <w:rPr>
          <w:rFonts w:hint="eastAsia" w:ascii="方正小标宋简体" w:hAnsi="方正小标宋简体" w:eastAsia="方正小标宋简体" w:cs="方正小标宋简体"/>
          <w:bCs/>
          <w:sz w:val="36"/>
          <w:szCs w:val="36"/>
        </w:rPr>
        <w:sectPr>
          <w:pgSz w:w="11906" w:h="16838"/>
          <w:pgMar w:top="1417" w:right="1474" w:bottom="1417" w:left="1587" w:header="851" w:footer="992" w:gutter="0"/>
          <w:pgNumType w:fmt="decimal"/>
          <w:cols w:space="0" w:num="1"/>
          <w:rtlGutter w:val="0"/>
          <w:docGrid w:type="lines" w:linePitch="315" w:charSpace="0"/>
        </w:sectPr>
      </w:pPr>
    </w:p>
    <w:p w14:paraId="7D1EF28F">
      <w:pPr>
        <w:widowControl w:val="0"/>
        <w:autoSpaceDE/>
        <w:autoSpaceDN/>
        <w:adjustRightInd w:val="0"/>
        <w:spacing w:before="312" w:beforeLines="100" w:after="312" w:afterLines="100" w:line="560" w:lineRule="exact"/>
        <w:jc w:val="center"/>
        <w:outlineLvl w:val="0"/>
        <w:rPr>
          <w:rFonts w:ascii="方正小标宋简体" w:hAnsi="方正小标宋简体" w:eastAsia="方正小标宋简体" w:cs="方正小标宋简体"/>
          <w:bCs/>
          <w:color w:val="000000"/>
          <w:sz w:val="36"/>
          <w:szCs w:val="36"/>
          <w:lang w:val="en-US" w:eastAsia="zh-CN" w:bidi="ar-SA"/>
        </w:rPr>
      </w:pPr>
      <w:r>
        <w:rPr>
          <w:rFonts w:hint="eastAsia" w:ascii="方正小标宋简体" w:hAnsi="方正小标宋简体" w:eastAsia="方正小标宋简体" w:cs="方正小标宋简体"/>
          <w:bCs/>
          <w:color w:val="000000"/>
          <w:sz w:val="36"/>
          <w:szCs w:val="36"/>
          <w:lang w:val="en-US" w:eastAsia="zh-CN" w:bidi="ar-SA"/>
        </w:rPr>
        <w:t>第三章  构建链群驱动的现代文化产业体系</w:t>
      </w:r>
      <w:bookmarkEnd w:id="57"/>
    </w:p>
    <w:p w14:paraId="229352C3">
      <w:pPr>
        <w:widowControl w:val="0"/>
        <w:autoSpaceDE w:val="0"/>
        <w:autoSpaceDN w:val="0"/>
        <w:adjustRightInd w:val="0"/>
        <w:spacing w:line="560" w:lineRule="exact"/>
        <w:ind w:firstLine="640" w:firstLineChars="200"/>
        <w:jc w:val="both"/>
        <w:rPr>
          <w:rFonts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立足数字经济时代文化创新变革，紧扣“链主领航、跨链协同、链群发展”战略主线，</w:t>
      </w:r>
      <w:r>
        <w:rPr>
          <w:rFonts w:hint="eastAsia" w:ascii="Times New Roman" w:hAnsi="Times New Roman" w:eastAsia="仿宋_GB2312" w:cs="Times New Roman"/>
          <w:color w:val="000000"/>
          <w:sz w:val="32"/>
          <w:szCs w:val="32"/>
          <w:lang w:val="en-US" w:eastAsia="zh-CN" w:bidi="ar-SA"/>
        </w:rPr>
        <w:t>推动传统业态转型升级，重点培育发展数字视听、数字出版、数字文娱、游戏电竞、IP潮玩主导产业，</w:t>
      </w:r>
      <w:r>
        <w:rPr>
          <w:rFonts w:hint="eastAsia" w:ascii="Times New Roman" w:hAnsi="Times New Roman" w:eastAsia="仿宋_GB2312" w:cs="Times New Roman"/>
          <w:color w:val="auto"/>
          <w:kern w:val="2"/>
          <w:sz w:val="32"/>
          <w:szCs w:val="32"/>
          <w:lang w:val="en-US" w:eastAsia="zh-CN" w:bidi="ar-SA"/>
        </w:rPr>
        <w:t>抢先布局未来产业赛道，全力构建现代文化产业体系，培育文化新质生产力，推动链群产业生态跃迁提升。</w:t>
      </w:r>
    </w:p>
    <w:p w14:paraId="0E1AEB0B">
      <w:pPr>
        <w:spacing w:before="156" w:beforeLines="50" w:after="156" w:afterLines="50" w:line="560" w:lineRule="exact"/>
        <w:ind w:firstLine="640" w:firstLineChars="200"/>
        <w:jc w:val="center"/>
        <w:outlineLvl w:val="1"/>
        <w:rPr>
          <w:rFonts w:ascii="楷体_GB2312" w:hAnsi="楷体_GB2312" w:eastAsia="楷体_GB2312" w:cs="楷体_GB2312"/>
          <w:b w:val="0"/>
          <w:bCs w:val="0"/>
          <w:sz w:val="32"/>
          <w:szCs w:val="32"/>
        </w:rPr>
      </w:pPr>
      <w:bookmarkStart w:id="58" w:name="_Toc10815"/>
      <w:r>
        <w:rPr>
          <w:rFonts w:hint="eastAsia" w:ascii="楷体_GB2312" w:hAnsi="楷体_GB2312" w:eastAsia="楷体_GB2312" w:cs="楷体_GB2312"/>
          <w:b w:val="0"/>
          <w:bCs w:val="0"/>
          <w:sz w:val="32"/>
          <w:szCs w:val="32"/>
        </w:rPr>
        <w:t>第一节</w:t>
      </w:r>
      <w:r>
        <w:rPr>
          <w:rFonts w:ascii="楷体_GB2312" w:hAnsi="楷体_GB2312" w:eastAsia="楷体_GB2312" w:cs="楷体_GB2312"/>
          <w:b w:val="0"/>
          <w:bCs w:val="0"/>
          <w:sz w:val="32"/>
          <w:szCs w:val="32"/>
        </w:rPr>
        <w:t xml:space="preserve"> </w:t>
      </w:r>
      <w:r>
        <w:rPr>
          <w:rFonts w:hint="eastAsia" w:ascii="楷体_GB2312" w:hAnsi="楷体_GB2312" w:eastAsia="楷体_GB2312" w:cs="楷体_GB2312"/>
          <w:b w:val="0"/>
          <w:bCs w:val="0"/>
          <w:sz w:val="32"/>
          <w:szCs w:val="32"/>
        </w:rPr>
        <w:t>推进传统文化产业转型升级</w:t>
      </w:r>
      <w:bookmarkEnd w:id="58"/>
    </w:p>
    <w:p w14:paraId="7B76C86B">
      <w:pPr>
        <w:spacing w:line="560" w:lineRule="exact"/>
        <w:ind w:firstLine="641"/>
        <w:rPr>
          <w:rFonts w:ascii="Times New Roman" w:hAnsi="Times New Roman" w:eastAsia="仿宋_GB2312"/>
          <w:sz w:val="32"/>
          <w:szCs w:val="32"/>
        </w:rPr>
      </w:pPr>
      <w:r>
        <w:rPr>
          <w:rFonts w:hint="eastAsia" w:ascii="Times New Roman" w:hAnsi="Times New Roman" w:eastAsia="仿宋_GB2312"/>
          <w:sz w:val="32"/>
          <w:szCs w:val="32"/>
        </w:rPr>
        <w:t>以文化产业数智化跃升为核心引领，推动广告会展</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影视传媒、新闻出版</w:t>
      </w:r>
      <w:r>
        <w:rPr>
          <w:rFonts w:hint="eastAsia" w:ascii="Times New Roman" w:hAnsi="Times New Roman" w:eastAsia="仿宋_GB2312"/>
          <w:sz w:val="32"/>
          <w:szCs w:val="32"/>
          <w:lang w:eastAsia="zh-CN"/>
        </w:rPr>
        <w:t>、文化艺术</w:t>
      </w:r>
      <w:r>
        <w:rPr>
          <w:rFonts w:hint="eastAsia" w:ascii="Times New Roman" w:hAnsi="Times New Roman" w:eastAsia="仿宋_GB2312"/>
          <w:sz w:val="32"/>
          <w:szCs w:val="32"/>
        </w:rPr>
        <w:t>等传统业态转型升级。围绕创意策划、设计制作、媒体投放、效果监测等核心环节，引进和培育一批广告领军企业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强化会展平台营销功能，推动云会展平台与特色品牌展会落地，提升以展促销、以展招商、以展营商效能。</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力发展AI辅助创作、虚拟制作等关键技术</w:t>
      </w:r>
      <w:r>
        <w:rPr>
          <w:rFonts w:hint="eastAsia" w:ascii="Times New Roman" w:hAnsi="Times New Roman" w:eastAsia="仿宋_GB2312"/>
          <w:sz w:val="32"/>
          <w:szCs w:val="32"/>
          <w:lang w:eastAsia="zh-CN"/>
        </w:rPr>
        <w:t>，鼓励</w:t>
      </w:r>
      <w:r>
        <w:rPr>
          <w:rFonts w:ascii="Times New Roman" w:hAnsi="Times New Roman" w:eastAsia="仿宋_GB2312"/>
          <w:sz w:val="32"/>
          <w:szCs w:val="32"/>
        </w:rPr>
        <w:t>影视内容与新媒体适配开发</w:t>
      </w:r>
      <w:r>
        <w:rPr>
          <w:rFonts w:hint="eastAsia" w:ascii="Times New Roman" w:hAnsi="Times New Roman" w:eastAsia="仿宋_GB2312"/>
          <w:sz w:val="32"/>
          <w:szCs w:val="32"/>
          <w:lang w:eastAsia="zh-CN"/>
        </w:rPr>
        <w:t>，</w:t>
      </w:r>
      <w:r>
        <w:rPr>
          <w:rFonts w:ascii="Times New Roman" w:hAnsi="Times New Roman" w:eastAsia="仿宋_GB2312"/>
          <w:sz w:val="32"/>
          <w:szCs w:val="32"/>
        </w:rPr>
        <w:t>强化平台媒体内容聚合能力，推动门户媒体与移动终端协同分发，提升影视 IP 跨媒介传播效能，夯实产业升级基础。以构建现代传播体系为核心，联动社交媒体、流媒体等新媒体业态，打造多网融合、多终端覆盖的文化传播网络。</w:t>
      </w:r>
      <w:r>
        <w:rPr>
          <w:rFonts w:hint="eastAsia" w:ascii="Times New Roman" w:hAnsi="Times New Roman" w:eastAsia="仿宋_GB2312"/>
          <w:sz w:val="32"/>
          <w:szCs w:val="32"/>
        </w:rPr>
        <w:t>深化人工智能在内容采编、智能审校中的应用，培育数据新闻、互动式出版物、AR出版物等新业态，建设数字内容云平台，构建内容智创、多态分发、场景融合的产业体系。以科技赋能、品牌提质为核心，</w:t>
      </w:r>
      <w:r>
        <w:rPr>
          <w:rFonts w:hint="default" w:ascii="Times New Roman" w:hAnsi="Times New Roman" w:eastAsia="仿宋_GB2312" w:cs="Times New Roman"/>
          <w:sz w:val="32"/>
          <w:szCs w:val="32"/>
        </w:rPr>
        <w:t>围绕潘家园、798·751园区等</w:t>
      </w:r>
      <w:r>
        <w:rPr>
          <w:rFonts w:hint="eastAsia" w:ascii="Times New Roman" w:hAnsi="Times New Roman" w:eastAsia="仿宋_GB2312" w:cs="Times New Roman"/>
          <w:sz w:val="32"/>
          <w:szCs w:val="32"/>
          <w:lang w:eastAsia="zh-CN"/>
        </w:rPr>
        <w:t>艺术品</w:t>
      </w:r>
      <w:r>
        <w:rPr>
          <w:rFonts w:hint="default" w:ascii="Times New Roman" w:hAnsi="Times New Roman" w:eastAsia="仿宋_GB2312" w:cs="Times New Roman"/>
          <w:sz w:val="32"/>
          <w:szCs w:val="32"/>
        </w:rPr>
        <w:t>集聚区，培育云拍卖、艺术品电子商务等新业态</w:t>
      </w:r>
      <w:r>
        <w:rPr>
          <w:rFonts w:hint="eastAsia" w:ascii="Times New Roman" w:hAnsi="Times New Roman" w:eastAsia="仿宋_GB2312" w:cs="Times New Roman"/>
          <w:sz w:val="32"/>
          <w:szCs w:val="32"/>
          <w:lang w:eastAsia="zh-CN"/>
        </w:rPr>
        <w:t>，</w:t>
      </w:r>
      <w:r>
        <w:rPr>
          <w:rFonts w:hint="eastAsia" w:ascii="Times New Roman Regular" w:hAnsi="Times New Roman Regular" w:eastAsia="仿宋_GB2312" w:cs="Times New Roman Regular"/>
          <w:sz w:val="32"/>
          <w:szCs w:val="32"/>
        </w:rPr>
        <w:t>完善艺术品展示、评估、交易等一体化服务机制</w:t>
      </w:r>
      <w:r>
        <w:rPr>
          <w:rFonts w:hint="eastAsia" w:ascii="Times New Roman" w:hAnsi="Times New Roman" w:eastAsia="仿宋_GB2312" w:cs="Times New Roman"/>
          <w:sz w:val="32"/>
          <w:szCs w:val="32"/>
          <w:lang w:eastAsia="zh-CN"/>
        </w:rPr>
        <w:t>。</w:t>
      </w:r>
    </w:p>
    <w:p w14:paraId="5F78E297">
      <w:pPr>
        <w:spacing w:before="156" w:beforeLines="50" w:after="156" w:afterLines="50" w:line="560" w:lineRule="exact"/>
        <w:jc w:val="center"/>
        <w:outlineLvl w:val="1"/>
        <w:rPr>
          <w:rFonts w:ascii="楷体_GB2312" w:hAnsi="楷体_GB2312" w:eastAsia="楷体_GB2312" w:cs="楷体_GB2312"/>
          <w:b w:val="0"/>
          <w:bCs w:val="0"/>
          <w:sz w:val="32"/>
          <w:szCs w:val="32"/>
        </w:rPr>
      </w:pPr>
      <w:bookmarkStart w:id="59" w:name="_Toc1695"/>
      <w:r>
        <w:rPr>
          <w:rFonts w:hint="eastAsia" w:ascii="楷体_GB2312" w:hAnsi="楷体_GB2312" w:eastAsia="楷体_GB2312" w:cs="楷体_GB2312"/>
          <w:b w:val="0"/>
          <w:bCs w:val="0"/>
          <w:sz w:val="32"/>
          <w:szCs w:val="32"/>
        </w:rPr>
        <w:t>第二节</w:t>
      </w:r>
      <w:r>
        <w:rPr>
          <w:rFonts w:ascii="楷体_GB2312" w:hAnsi="楷体_GB2312" w:eastAsia="楷体_GB2312" w:cs="楷体_GB2312"/>
          <w:b w:val="0"/>
          <w:bCs w:val="0"/>
          <w:sz w:val="32"/>
          <w:szCs w:val="32"/>
        </w:rPr>
        <w:t xml:space="preserve"> </w:t>
      </w:r>
      <w:r>
        <w:rPr>
          <w:rFonts w:hint="eastAsia" w:ascii="楷体_GB2312" w:hAnsi="楷体_GB2312" w:eastAsia="楷体_GB2312" w:cs="楷体_GB2312"/>
          <w:b w:val="0"/>
          <w:bCs w:val="0"/>
          <w:sz w:val="32"/>
          <w:szCs w:val="32"/>
        </w:rPr>
        <w:t>培育壮大新兴文化产业</w:t>
      </w:r>
      <w:bookmarkEnd w:id="59"/>
    </w:p>
    <w:p w14:paraId="1B19DF86">
      <w:pPr>
        <w:keepNext w:val="0"/>
        <w:keepLines w:val="0"/>
        <w:pageBreakBefore w:val="0"/>
        <w:numPr>
          <w:ilvl w:val="0"/>
          <w:numId w:val="0"/>
        </w:numPr>
        <w:kinsoku/>
        <w:wordWrap/>
        <w:overflowPunct/>
        <w:topLinePunct w:val="0"/>
        <w:bidi w:val="0"/>
        <w:spacing w:line="560" w:lineRule="exact"/>
        <w:ind w:firstLine="643" w:firstLineChars="200"/>
        <w:textAlignment w:val="auto"/>
        <w:rPr>
          <w:rFonts w:ascii="Times New Roman" w:hAnsi="Times New Roman" w:eastAsia="仿宋_GB2312"/>
          <w:b/>
          <w:bCs/>
          <w:sz w:val="32"/>
          <w:szCs w:val="32"/>
          <w:highlight w:val="yellow"/>
        </w:rPr>
      </w:pPr>
      <w:r>
        <w:rPr>
          <w:rFonts w:hint="eastAsia" w:ascii="Times New Roman" w:hAnsi="Times New Roman" w:eastAsia="仿宋_GB2312"/>
          <w:b/>
          <w:bCs/>
          <w:sz w:val="32"/>
          <w:szCs w:val="32"/>
        </w:rPr>
        <w:t>做大做强数字视听产业。</w:t>
      </w:r>
      <w:r>
        <w:rPr>
          <w:rFonts w:hint="eastAsia" w:ascii="Times New Roman" w:hAnsi="Times New Roman" w:eastAsia="仿宋_GB2312"/>
          <w:sz w:val="32"/>
          <w:szCs w:val="32"/>
        </w:rPr>
        <w:t>以国际一流影视制作基地建设为抓手，推进</w:t>
      </w:r>
      <w:r>
        <w:rPr>
          <w:rFonts w:hint="eastAsia" w:ascii="Times New Roman Regular" w:hAnsi="Times New Roman Regular" w:eastAsia="仿宋_GB2312" w:cs="Times New Roman Regular"/>
          <w:sz w:val="32"/>
          <w:szCs w:val="32"/>
          <w:lang w:eastAsia="zh-CN" w:bidi="ar-SA"/>
        </w:rPr>
        <w:t>人工</w:t>
      </w:r>
      <w:r>
        <w:rPr>
          <w:rFonts w:hint="eastAsia" w:ascii="Times New Roman Regular" w:hAnsi="Times New Roman Regular" w:eastAsia="仿宋_GB2312" w:cs="Times New Roman Regular"/>
          <w:sz w:val="32"/>
          <w:szCs w:val="32"/>
          <w:lang w:bidi="ar-SA"/>
        </w:rPr>
        <w:t>智能生成、超高清</w:t>
      </w:r>
      <w:r>
        <w:rPr>
          <w:rFonts w:hint="eastAsia" w:ascii="Times New Roman Regular" w:hAnsi="Times New Roman Regular" w:eastAsia="仿宋_GB2312" w:cs="Times New Roman Regular"/>
          <w:sz w:val="32"/>
          <w:szCs w:val="32"/>
          <w:lang w:eastAsia="zh-CN" w:bidi="ar-SA"/>
        </w:rPr>
        <w:t>、</w:t>
      </w:r>
      <w:r>
        <w:rPr>
          <w:rFonts w:hint="eastAsia" w:ascii="Times New Roman Regular" w:hAnsi="Times New Roman Regular" w:eastAsia="仿宋_GB2312" w:cs="Times New Roman Regular"/>
          <w:sz w:val="32"/>
          <w:szCs w:val="32"/>
          <w:lang w:bidi="ar-SA"/>
        </w:rPr>
        <w:t>沉浸式交互</w:t>
      </w:r>
      <w:r>
        <w:rPr>
          <w:rFonts w:hint="eastAsia" w:ascii="Times New Roman Regular" w:hAnsi="Times New Roman Regular" w:eastAsia="仿宋_GB2312" w:cs="Times New Roman Regular"/>
          <w:sz w:val="32"/>
          <w:szCs w:val="32"/>
          <w:lang w:eastAsia="zh-CN" w:bidi="ar-SA"/>
        </w:rPr>
        <w:t>、云渲染、裸眼3D</w:t>
      </w:r>
      <w:r>
        <w:rPr>
          <w:rFonts w:hint="eastAsia" w:ascii="Times New Roman" w:hAnsi="Times New Roman" w:eastAsia="仿宋_GB2312"/>
          <w:sz w:val="32"/>
          <w:szCs w:val="32"/>
        </w:rPr>
        <w:t>等关键技术应用，</w:t>
      </w:r>
      <w:r>
        <w:rPr>
          <w:rFonts w:hint="eastAsia" w:ascii="Times New Roman" w:hAnsi="Times New Roman" w:eastAsia="仿宋_GB2312" w:cs="Times New Roman"/>
          <w:sz w:val="32"/>
          <w:szCs w:val="32"/>
          <w:shd w:val="clear" w:color="auto" w:fill="FFFFFF"/>
          <w:lang w:val="en-US" w:eastAsia="zh-CN" w:bidi="ar-SA"/>
        </w:rPr>
        <w:t>大力推动影视、广告、动漫、音乐等数字视听主导产业提质升级发展，积极培育网络影视剧、短剧短视频、虚拟现实电影、AI动漫、沉浸式体验等新业态，</w:t>
      </w:r>
      <w:r>
        <w:rPr>
          <w:rFonts w:hint="eastAsia" w:ascii="Times New Roman" w:hAnsi="Times New Roman" w:eastAsia="仿宋_GB2312"/>
          <w:sz w:val="32"/>
          <w:szCs w:val="32"/>
        </w:rPr>
        <w:t>提升“北京出品、朝阳制作”品牌影响力</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建设</w:t>
      </w:r>
      <w:r>
        <w:rPr>
          <w:rFonts w:hint="eastAsia" w:ascii="Times New Roman" w:hAnsi="Times New Roman" w:eastAsia="仿宋_GB2312"/>
          <w:sz w:val="32"/>
          <w:szCs w:val="32"/>
          <w:lang w:eastAsia="zh-CN"/>
        </w:rPr>
        <w:t>数字</w:t>
      </w:r>
      <w:r>
        <w:rPr>
          <w:rFonts w:hint="eastAsia" w:ascii="Times New Roman" w:hAnsi="Times New Roman" w:eastAsia="仿宋_GB2312"/>
          <w:sz w:val="32"/>
          <w:szCs w:val="32"/>
        </w:rPr>
        <w:t>视听精品内容创制高地。</w:t>
      </w:r>
      <w:r>
        <w:rPr>
          <w:rFonts w:hint="eastAsia" w:ascii="Times New Roman" w:hAnsi="Times New Roman" w:eastAsia="仿宋_GB2312" w:cs="Times New Roman"/>
          <w:color w:val="000000"/>
          <w:sz w:val="32"/>
          <w:szCs w:val="32"/>
          <w:lang w:val="en-US" w:eastAsia="zh-CN" w:bidi="ar-SA"/>
        </w:rPr>
        <w:t>充分发挥</w:t>
      </w:r>
      <w:r>
        <w:rPr>
          <w:rFonts w:hint="eastAsia" w:ascii="仿宋_GB2312" w:hAnsi="仿宋" w:eastAsia="仿宋_GB2312"/>
          <w:sz w:val="32"/>
          <w:szCs w:val="32"/>
          <w:lang w:eastAsia="zh-CN"/>
        </w:rPr>
        <w:t>中央广播电视总台</w:t>
      </w:r>
      <w:r>
        <w:rPr>
          <w:rFonts w:hint="eastAsia" w:ascii="仿宋_GB2312" w:hAnsi="仿宋" w:eastAsia="仿宋_GB2312"/>
          <w:sz w:val="32"/>
          <w:szCs w:val="32"/>
        </w:rPr>
        <w:t>、人民日报</w:t>
      </w:r>
      <w:r>
        <w:rPr>
          <w:rFonts w:hint="eastAsia" w:ascii="仿宋_GB2312" w:hAnsi="仿宋" w:eastAsia="仿宋_GB2312"/>
          <w:sz w:val="32"/>
          <w:szCs w:val="32"/>
          <w:lang w:val="en-US" w:eastAsia="zh-CN"/>
        </w:rPr>
        <w:t>社</w:t>
      </w:r>
      <w:r>
        <w:rPr>
          <w:rFonts w:hint="eastAsia" w:ascii="仿宋_GB2312" w:hAnsi="仿宋" w:eastAsia="仿宋_GB2312"/>
          <w:sz w:val="32"/>
          <w:szCs w:val="32"/>
        </w:rPr>
        <w:t>、北京电视台等丰富的文化传媒资源，</w:t>
      </w:r>
      <w:r>
        <w:rPr>
          <w:rFonts w:hint="eastAsia" w:ascii="Times New Roman" w:hAnsi="Times New Roman" w:eastAsia="仿宋_GB2312"/>
          <w:sz w:val="32"/>
          <w:szCs w:val="32"/>
        </w:rPr>
        <w:t>增强头部企业的聚合效应，做强影视、音乐、动漫的投资出品、制作发行等优势环节，</w:t>
      </w:r>
      <w:r>
        <w:rPr>
          <w:rFonts w:hint="eastAsia" w:ascii="Times New Roman Regular" w:hAnsi="Times New Roman Regular" w:eastAsia="仿宋_GB2312" w:cs="Times New Roman Regular"/>
          <w:color w:val="000000"/>
          <w:sz w:val="32"/>
          <w:szCs w:val="32"/>
          <w:lang w:val="en-US" w:eastAsia="zh-CN" w:bidi="ar-SA"/>
        </w:rPr>
        <w:t>推动优质产业资源集聚与能级提升</w:t>
      </w:r>
      <w:r>
        <w:rPr>
          <w:rFonts w:hint="eastAsia" w:ascii="Times New Roman" w:hAnsi="Times New Roman" w:eastAsia="仿宋_GB2312"/>
          <w:sz w:val="32"/>
          <w:szCs w:val="32"/>
        </w:rPr>
        <w:t>。</w:t>
      </w:r>
      <w:r>
        <w:rPr>
          <w:rFonts w:hint="eastAsia" w:ascii="Times New Roman" w:hAnsi="Times New Roman" w:eastAsia="仿宋_GB2312" w:cs="Times New Roman"/>
          <w:sz w:val="32"/>
          <w:szCs w:val="32"/>
          <w:lang w:val="en-US" w:eastAsia="zh-CN" w:bidi="ar-SA"/>
        </w:rPr>
        <w:t>构建本地云端协同算力体系</w:t>
      </w:r>
      <w:r>
        <w:rPr>
          <w:rFonts w:hint="eastAsia" w:ascii="Times New Roman" w:hAnsi="Times New Roman" w:eastAsia="仿宋_GB2312" w:cs="Times New Roman"/>
          <w:kern w:val="2"/>
          <w:sz w:val="32"/>
          <w:szCs w:val="32"/>
          <w:lang w:eastAsia="zh-CN" w:bidi="ar-SA"/>
        </w:rPr>
        <w:t>，</w:t>
      </w:r>
      <w:r>
        <w:rPr>
          <w:rFonts w:hint="eastAsia" w:ascii="Times New Roman" w:hAnsi="Times New Roman" w:eastAsia="仿宋_GB2312" w:cs="Times New Roman"/>
          <w:b w:val="0"/>
          <w:bCs w:val="0"/>
          <w:sz w:val="32"/>
          <w:szCs w:val="32"/>
          <w:lang w:eastAsia="zh-CN" w:bidi="ar-SA"/>
        </w:rPr>
        <w:t>提升</w:t>
      </w:r>
      <w:r>
        <w:rPr>
          <w:rFonts w:hint="eastAsia" w:ascii="Times New Roman" w:hAnsi="Times New Roman" w:eastAsia="仿宋_GB2312" w:cs="Times New Roman"/>
          <w:sz w:val="32"/>
          <w:szCs w:val="32"/>
          <w:lang w:val="en-US" w:eastAsia="zh-CN" w:bidi="ar-SA"/>
        </w:rPr>
        <w:t>北京AIGC视听产业创新中心运营能级，</w:t>
      </w:r>
      <w:r>
        <w:rPr>
          <w:rFonts w:hint="eastAsia" w:ascii="Times New Roman" w:hAnsi="Times New Roman" w:eastAsia="仿宋_GB2312" w:cs="Times New Roman"/>
          <w:kern w:val="2"/>
          <w:sz w:val="32"/>
          <w:szCs w:val="32"/>
          <w:lang w:bidi="ar-SA"/>
        </w:rPr>
        <w:t>汇聚一批垂直领域模型</w:t>
      </w:r>
      <w:r>
        <w:rPr>
          <w:rFonts w:hint="eastAsia" w:ascii="Times New Roman" w:hAnsi="Times New Roman" w:eastAsia="仿宋_GB2312" w:cs="Times New Roman"/>
          <w:kern w:val="2"/>
          <w:sz w:val="32"/>
          <w:szCs w:val="32"/>
          <w:lang w:eastAsia="zh-CN" w:bidi="ar-SA"/>
        </w:rPr>
        <w:t>和</w:t>
      </w:r>
      <w:r>
        <w:rPr>
          <w:rFonts w:hint="eastAsia" w:ascii="Times New Roman" w:hAnsi="Times New Roman" w:eastAsia="仿宋_GB2312" w:cs="Times New Roman"/>
          <w:kern w:val="2"/>
          <w:sz w:val="32"/>
          <w:szCs w:val="32"/>
          <w:lang w:bidi="ar-SA"/>
        </w:rPr>
        <w:t>智能体平台，打造面向全行业开放共享的公共技术服务平台</w:t>
      </w:r>
      <w:r>
        <w:rPr>
          <w:rFonts w:hint="eastAsia" w:ascii="Times New Roman" w:hAnsi="Times New Roman" w:eastAsia="仿宋_GB2312" w:cs="Times New Roman"/>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加快推动</w:t>
      </w:r>
      <w:r>
        <w:rPr>
          <w:rFonts w:hint="eastAsia" w:ascii="仿宋_GB2312" w:hAnsi="仿宋_GB2312" w:eastAsia="仿宋_GB2312" w:cs="仿宋_GB2312"/>
          <w:color w:val="000000"/>
          <w:sz w:val="32"/>
          <w:szCs w:val="32"/>
          <w:lang w:val="en-US" w:eastAsia="zh-CN" w:bidi="ar-SA"/>
        </w:rPr>
        <w:t>虎鲸文娱数字影棚建设，打造集超高清影视数字化制作、虚拟拍摄、数字资产系统、影视技术孵化于一体的标杆项目</w:t>
      </w:r>
      <w:r>
        <w:rPr>
          <w:rFonts w:hint="eastAsia" w:ascii="Times New Roman Regular" w:hAnsi="Times New Roman Regular" w:eastAsia="仿宋_GB2312" w:cs="Times New Roman Regular"/>
          <w:color w:val="000000"/>
          <w:sz w:val="32"/>
          <w:szCs w:val="32"/>
          <w:lang w:val="en-US" w:eastAsia="zh-CN" w:bidi="ar-SA"/>
        </w:rPr>
        <w:t>。</w:t>
      </w:r>
      <w:r>
        <w:rPr>
          <w:rFonts w:hint="eastAsia" w:ascii="Times New Roman" w:hAnsi="Times New Roman" w:eastAsia="仿宋_GB2312"/>
          <w:sz w:val="32"/>
          <w:szCs w:val="32"/>
        </w:rPr>
        <w:t>深化</w:t>
      </w:r>
      <w:r>
        <w:rPr>
          <w:rFonts w:hint="eastAsia" w:ascii="Times New Roman" w:hAnsi="Times New Roman" w:eastAsia="仿宋_GB2312"/>
          <w:sz w:val="32"/>
          <w:szCs w:val="32"/>
          <w:lang w:eastAsia="zh-CN"/>
        </w:rPr>
        <w:t>与中国传媒大学、北京电影学院、北京青年政治学院等高校院所</w:t>
      </w:r>
      <w:r>
        <w:rPr>
          <w:rFonts w:hint="eastAsia" w:ascii="Times New Roman" w:hAnsi="Times New Roman" w:eastAsia="仿宋_GB2312"/>
          <w:sz w:val="32"/>
          <w:szCs w:val="32"/>
        </w:rPr>
        <w:t>产学研合作，共建数字视听重点实验室</w:t>
      </w:r>
      <w:r>
        <w:rPr>
          <w:rFonts w:hint="eastAsia" w:ascii="Times New Roman" w:hAnsi="Times New Roman" w:eastAsia="仿宋_GB2312"/>
          <w:sz w:val="32"/>
          <w:szCs w:val="32"/>
          <w:lang w:eastAsia="zh-CN"/>
        </w:rPr>
        <w:t>、产教融合基地等</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联合培育急需人才，</w:t>
      </w:r>
      <w:r>
        <w:rPr>
          <w:rFonts w:hint="eastAsia" w:ascii="Times New Roman" w:hAnsi="Times New Roman" w:eastAsia="仿宋_GB2312"/>
          <w:sz w:val="32"/>
          <w:szCs w:val="32"/>
        </w:rPr>
        <w:t>加速创新成果落地。开拓“视听+”新场景，引导现有影院升级为IMAX技术影厅、虚拟现实影院和四维沉浸影院，打造“影视IP+城市空间”示范场景。</w:t>
      </w:r>
      <w:r>
        <w:rPr>
          <w:rFonts w:hint="eastAsia" w:ascii="Times New Roman" w:hAnsi="Times New Roman" w:eastAsia="仿宋_GB2312" w:cs="Times New Roman"/>
          <w:b w:val="0"/>
          <w:bCs w:val="0"/>
          <w:sz w:val="32"/>
          <w:szCs w:val="32"/>
          <w:lang w:val="en-US" w:eastAsia="zh-CN" w:bidi="ar-SA"/>
        </w:rPr>
        <w:t>持续优化</w:t>
      </w:r>
      <w:r>
        <w:rPr>
          <w:rFonts w:hint="eastAsia" w:ascii="Times New Roman" w:hAnsi="Times New Roman" w:eastAsia="仿宋_GB2312" w:cs="Times New Roman"/>
          <w:b w:val="0"/>
          <w:color w:val="auto"/>
          <w:kern w:val="2"/>
          <w:sz w:val="32"/>
          <w:szCs w:val="32"/>
          <w:highlight w:val="none"/>
          <w:lang w:val="en-US" w:eastAsia="zh-CN" w:bidi="ar-SA"/>
        </w:rPr>
        <w:t>广电政务审批帮办窗口和</w:t>
      </w:r>
      <w:r>
        <w:rPr>
          <w:rFonts w:hint="eastAsia" w:ascii="Times New Roman Regular" w:hAnsi="Times New Roman Regular" w:eastAsia="仿宋_GB2312" w:cs="Times New Roman Regular"/>
          <w:color w:val="000000"/>
          <w:kern w:val="0"/>
          <w:sz w:val="32"/>
          <w:szCs w:val="32"/>
          <w:lang w:val="en-US" w:eastAsia="zh-CN" w:bidi="ar-SA"/>
        </w:rPr>
        <w:t>影视摄</w:t>
      </w:r>
      <w:r>
        <w:rPr>
          <w:rFonts w:hint="eastAsia" w:ascii="仿宋_GB2312" w:hAnsi="仿宋_GB2312" w:eastAsia="仿宋_GB2312" w:cs="仿宋_GB2312"/>
          <w:color w:val="000000"/>
          <w:kern w:val="0"/>
          <w:sz w:val="32"/>
          <w:szCs w:val="32"/>
          <w:lang w:val="en-US" w:eastAsia="zh-CN" w:bidi="ar-SA"/>
        </w:rPr>
        <w:t>制“一站式”服</w:t>
      </w:r>
      <w:r>
        <w:rPr>
          <w:rFonts w:hint="eastAsia" w:ascii="Times New Roman Regular" w:hAnsi="Times New Roman Regular" w:eastAsia="仿宋_GB2312" w:cs="Times New Roman Regular"/>
          <w:color w:val="000000"/>
          <w:kern w:val="0"/>
          <w:sz w:val="32"/>
          <w:szCs w:val="32"/>
          <w:lang w:val="en-US" w:eastAsia="zh-CN" w:bidi="ar-SA"/>
        </w:rPr>
        <w:t>务机制，提升精准服务水平</w:t>
      </w:r>
      <w:r>
        <w:rPr>
          <w:rFonts w:hint="eastAsia" w:ascii="Times New Roman" w:hAnsi="Times New Roman" w:eastAsia="仿宋_GB2312"/>
          <w:sz w:val="32"/>
          <w:szCs w:val="32"/>
        </w:rPr>
        <w:t>。</w:t>
      </w:r>
      <w:r>
        <w:rPr>
          <w:rFonts w:hint="eastAsia" w:ascii="仿宋_GB2312" w:hAnsi="仿宋_GB2312" w:eastAsia="仿宋_GB2312" w:cs="仿宋_GB2312"/>
          <w:color w:val="000000"/>
          <w:kern w:val="0"/>
          <w:sz w:val="32"/>
          <w:szCs w:val="32"/>
          <w:lang w:val="en-US" w:eastAsia="zh-CN" w:bidi="ar-SA"/>
        </w:rPr>
        <w:t>发挥</w:t>
      </w:r>
      <w:r>
        <w:rPr>
          <w:rFonts w:hint="eastAsia" w:ascii="Times New Roman Regular" w:hAnsi="Times New Roman Regular" w:eastAsia="仿宋_GB2312" w:cs="Times New Roman Regular"/>
          <w:color w:val="000000"/>
          <w:kern w:val="0"/>
          <w:sz w:val="32"/>
          <w:szCs w:val="32"/>
          <w:lang w:val="en-US" w:eastAsia="zh-CN" w:bidi="ar-SA"/>
        </w:rPr>
        <w:t>北京国际电影节、中国广播电视精品创作大会等平台作用，加大朝阳影视作品宣传推介</w:t>
      </w:r>
      <w:r>
        <w:rPr>
          <w:rFonts w:hint="eastAsia" w:ascii="Times New Roman" w:hAnsi="Times New Roman" w:eastAsia="仿宋_GB2312"/>
          <w:sz w:val="32"/>
          <w:szCs w:val="32"/>
        </w:rPr>
        <w:t>，</w:t>
      </w:r>
      <w:r>
        <w:rPr>
          <w:rFonts w:hint="eastAsia" w:ascii="Times New Roman" w:hAnsi="Times New Roman" w:eastAsia="仿宋_GB2312" w:cs="Times New Roman"/>
          <w:sz w:val="32"/>
          <w:szCs w:val="32"/>
          <w:shd w:val="clear" w:color="auto" w:fill="FFFFFF"/>
          <w:lang w:val="en-US" w:eastAsia="zh-CN" w:bidi="ar-SA"/>
        </w:rPr>
        <w:t>打造“国际视听会客厅”</w:t>
      </w:r>
      <w:r>
        <w:rPr>
          <w:rFonts w:hint="eastAsia" w:ascii="Times New Roman" w:hAnsi="Times New Roman" w:eastAsia="仿宋_GB2312"/>
          <w:sz w:val="32"/>
          <w:szCs w:val="32"/>
        </w:rPr>
        <w:t>。</w:t>
      </w:r>
    </w:p>
    <w:p w14:paraId="420BC49E">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激活数字出版产业动能</w:t>
      </w:r>
      <w:r>
        <w:rPr>
          <w:rFonts w:hint="eastAsia" w:ascii="仿宋_GB2312" w:hAnsi="仿宋_GB2312" w:eastAsia="仿宋_GB2312" w:cs="仿宋_GB2312"/>
          <w:b/>
          <w:bCs/>
          <w:sz w:val="32"/>
          <w:szCs w:val="32"/>
        </w:rPr>
        <w:t>。</w:t>
      </w:r>
      <w:r>
        <w:rPr>
          <w:rFonts w:ascii="Times New Roman" w:hAnsi="Times New Roman" w:eastAsia="仿宋_GB2312"/>
          <w:sz w:val="32"/>
          <w:szCs w:val="32"/>
        </w:rPr>
        <w:t>优化出版内容创作、运营管理及传播推广全链条的数字化水平，</w:t>
      </w:r>
      <w:r>
        <w:rPr>
          <w:rFonts w:hint="eastAsia" w:ascii="Times New Roman" w:hAnsi="Times New Roman" w:eastAsia="仿宋_GB2312"/>
          <w:sz w:val="32"/>
          <w:szCs w:val="32"/>
          <w:lang w:eastAsia="zh-CN"/>
        </w:rPr>
        <w:t>鼓励</w:t>
      </w:r>
      <w:r>
        <w:rPr>
          <w:rFonts w:ascii="Times New Roman" w:hAnsi="Times New Roman" w:eastAsia="仿宋_GB2312"/>
          <w:sz w:val="32"/>
          <w:szCs w:val="32"/>
        </w:rPr>
        <w:t>网络文学平台</w:t>
      </w:r>
      <w:r>
        <w:rPr>
          <w:rFonts w:hint="eastAsia" w:ascii="Times New Roman" w:hAnsi="Times New Roman" w:eastAsia="仿宋_GB2312"/>
          <w:sz w:val="32"/>
          <w:szCs w:val="32"/>
          <w:lang w:eastAsia="zh-CN"/>
        </w:rPr>
        <w:t>企业</w:t>
      </w:r>
      <w:r>
        <w:rPr>
          <w:rFonts w:ascii="Times New Roman" w:hAnsi="Times New Roman" w:eastAsia="仿宋_GB2312"/>
          <w:sz w:val="32"/>
          <w:szCs w:val="32"/>
        </w:rPr>
        <w:t>建立智能推荐与用户画像系统，为有声读物打造AI语音定制、场景化播放等精准服务功能，提升数字内容服务效能。</w:t>
      </w:r>
      <w:r>
        <w:rPr>
          <w:rFonts w:hint="eastAsia" w:ascii="Times New Roman" w:hAnsi="Times New Roman" w:eastAsia="仿宋_GB2312"/>
          <w:sz w:val="32"/>
          <w:szCs w:val="32"/>
        </w:rPr>
        <w:t>强化龙头企业引领作用，</w:t>
      </w:r>
      <w:r>
        <w:rPr>
          <w:rFonts w:ascii="Times New Roman" w:hAnsi="Times New Roman" w:eastAsia="仿宋_GB2312"/>
          <w:sz w:val="32"/>
          <w:szCs w:val="32"/>
        </w:rPr>
        <w:t>支持布局网络文学创作基地与有声读物演播室，推动网络文学IP向有声剧、广播剧转化，形成</w:t>
      </w:r>
      <w:r>
        <w:rPr>
          <w:rFonts w:hint="eastAsia" w:ascii="Times New Roman" w:hAnsi="Times New Roman" w:eastAsia="仿宋_GB2312"/>
          <w:sz w:val="32"/>
          <w:szCs w:val="32"/>
        </w:rPr>
        <w:t>创作、</w:t>
      </w:r>
      <w:r>
        <w:rPr>
          <w:rFonts w:ascii="Times New Roman" w:hAnsi="Times New Roman" w:eastAsia="仿宋_GB2312"/>
          <w:sz w:val="32"/>
          <w:szCs w:val="32"/>
        </w:rPr>
        <w:t>孵化</w:t>
      </w:r>
      <w:r>
        <w:rPr>
          <w:rFonts w:hint="eastAsia" w:ascii="Times New Roman" w:hAnsi="Times New Roman" w:eastAsia="仿宋_GB2312"/>
          <w:sz w:val="32"/>
          <w:szCs w:val="32"/>
        </w:rPr>
        <w:t>、</w:t>
      </w:r>
      <w:r>
        <w:rPr>
          <w:rFonts w:ascii="Times New Roman" w:hAnsi="Times New Roman" w:eastAsia="仿宋_GB2312"/>
          <w:sz w:val="32"/>
          <w:szCs w:val="32"/>
        </w:rPr>
        <w:t>衍生的产业闭环。</w:t>
      </w:r>
      <w:r>
        <w:rPr>
          <w:rFonts w:hint="eastAsia" w:ascii="Times New Roman" w:hAnsi="Times New Roman" w:eastAsia="仿宋_GB2312"/>
          <w:sz w:val="32"/>
          <w:szCs w:val="32"/>
        </w:rPr>
        <w:t>提升中国北京出版创意产业基地资源虹吸能力，打造产业集群核心承载区。</w:t>
      </w:r>
      <w:r>
        <w:rPr>
          <w:rFonts w:hint="eastAsia" w:ascii="Times New Roman" w:hAnsi="Times New Roman" w:eastAsia="仿宋_GB2312"/>
          <w:sz w:val="32"/>
          <w:szCs w:val="32"/>
          <w:lang w:eastAsia="zh-CN"/>
        </w:rPr>
        <w:t>鼓励</w:t>
      </w:r>
      <w:r>
        <w:rPr>
          <w:rFonts w:hint="eastAsia" w:ascii="Times New Roman" w:hAnsi="Times New Roman" w:eastAsia="仿宋_GB2312"/>
          <w:sz w:val="32"/>
          <w:szCs w:val="32"/>
        </w:rPr>
        <w:t>建设数字版权确权、评估、交易</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一站式</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服务平台，整合报刊、图书、音像资源，构建数字出版IP库。</w:t>
      </w:r>
      <w:r>
        <w:rPr>
          <w:rFonts w:hint="eastAsia" w:ascii="Times New Roman" w:hAnsi="Times New Roman" w:eastAsia="仿宋_GB2312"/>
          <w:sz w:val="32"/>
          <w:szCs w:val="32"/>
          <w:lang w:eastAsia="zh-CN"/>
        </w:rPr>
        <w:t>鼓励</w:t>
      </w:r>
      <w:r>
        <w:rPr>
          <w:rFonts w:hint="eastAsia" w:ascii="Times New Roman" w:hAnsi="Times New Roman" w:eastAsia="仿宋_GB2312"/>
          <w:sz w:val="32"/>
          <w:szCs w:val="32"/>
        </w:rPr>
        <w:t>开发个性化定制出版、智库信息等高附加值产品，推动经典IP向影视、电子游戏等数字形态转化，激活数字内容资产长效价值。</w:t>
      </w:r>
    </w:p>
    <w:p w14:paraId="41080163">
      <w:pPr>
        <w:spacing w:line="560" w:lineRule="exact"/>
        <w:ind w:firstLine="643" w:firstLineChars="200"/>
        <w:rPr>
          <w:rFonts w:ascii="Times New Roman" w:hAnsi="Times New Roman" w:eastAsia="仿宋_GB2312"/>
          <w:b/>
          <w:bCs/>
          <w:sz w:val="32"/>
          <w:szCs w:val="32"/>
          <w:highlight w:val="yellow"/>
        </w:rPr>
      </w:pPr>
      <w:r>
        <w:rPr>
          <w:rFonts w:hint="eastAsia" w:ascii="仿宋_GB2312" w:hAnsi="仿宋_GB2312" w:eastAsia="仿宋_GB2312" w:cs="仿宋_GB2312"/>
          <w:b/>
          <w:bCs/>
          <w:sz w:val="32"/>
          <w:szCs w:val="32"/>
        </w:rPr>
        <w:t>促进数字文娱产业提质。</w:t>
      </w:r>
      <w:r>
        <w:rPr>
          <w:rFonts w:hint="eastAsia" w:ascii="Times New Roman Regular" w:hAnsi="Times New Roman Regular" w:eastAsia="仿宋_GB2312" w:cs="Times New Roman Regular"/>
          <w:sz w:val="32"/>
          <w:szCs w:val="32"/>
        </w:rPr>
        <w:t>发挥朝阳区文娱资源集聚、潮流消费活跃、旅游特色鲜明的优势，丰富数字文娱优质产品供给，推动数字文娱与商务、消费深度融合。依托鸟巢、国家体育馆、新工体等场馆资源，围绕内容创作、场景打造、场地服务等关键环节精准升级产业链条，重点落地一批沉浸式演唱会、数字艺术展厅、虚拟偶像音乐节等数字文娱精品项目，引进培育一批演出经纪、活动主办等龙头企业。支持智慧剧院、演艺新空间建设，积极应用</w:t>
      </w:r>
      <w:r>
        <w:rPr>
          <w:rFonts w:hint="eastAsia" w:ascii="Times New Roman Regular" w:hAnsi="Times New Roman Regular" w:eastAsia="仿宋_GB2312" w:cs="Times New Roman Regular"/>
          <w:sz w:val="32"/>
          <w:szCs w:val="32"/>
          <w:lang w:eastAsia="zh-CN"/>
        </w:rPr>
        <w:t>超现场</w:t>
      </w:r>
      <w:r>
        <w:rPr>
          <w:rFonts w:hint="eastAsia" w:ascii="Times New Roman Regular" w:hAnsi="Times New Roman Regular" w:eastAsia="仿宋_GB2312" w:cs="Times New Roman Regular"/>
          <w:sz w:val="32"/>
          <w:szCs w:val="32"/>
        </w:rPr>
        <w:t>技术，打造线上观演和线下表演实时传输</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高清观看的“双演”融合新业态，扩大经典剧目传播覆盖面。鼓励发展沉浸式、数字交互等创新艺术形式，联动智慧剧院、演艺新空间、数字艺术空间推出声光电数字文娱等项目，激发艺术展演消费活力。加快推进北京歌剧舞剧院、</w:t>
      </w:r>
      <w:r>
        <w:rPr>
          <w:rFonts w:hint="eastAsia" w:ascii="Times New Roman Regular" w:hAnsi="Times New Roman Regular" w:eastAsia="仿宋_GB2312" w:cs="Times New Roman Regular"/>
          <w:sz w:val="32"/>
          <w:szCs w:val="32"/>
          <w:highlight w:val="none"/>
        </w:rPr>
        <w:t>泡泡玛特</w:t>
      </w:r>
      <w:r>
        <w:rPr>
          <w:rFonts w:hint="eastAsia" w:ascii="Times New Roman Regular" w:hAnsi="Times New Roman Regular" w:eastAsia="仿宋_GB2312" w:cs="Times New Roman Regular"/>
          <w:sz w:val="32"/>
          <w:szCs w:val="32"/>
          <w:highlight w:val="none"/>
          <w:lang w:eastAsia="zh-CN"/>
        </w:rPr>
        <w:t>城市</w:t>
      </w:r>
      <w:r>
        <w:rPr>
          <w:rFonts w:hint="eastAsia" w:ascii="Times New Roman Regular" w:hAnsi="Times New Roman Regular" w:eastAsia="仿宋_GB2312" w:cs="Times New Roman Regular"/>
          <w:sz w:val="32"/>
          <w:szCs w:val="32"/>
          <w:highlight w:val="none"/>
        </w:rPr>
        <w:t>乐园</w:t>
      </w:r>
      <w:r>
        <w:rPr>
          <w:rFonts w:hint="eastAsia" w:ascii="Times New Roman Regular" w:hAnsi="Times New Roman Regular" w:eastAsia="仿宋_GB2312" w:cs="Times New Roman Regular"/>
          <w:sz w:val="32"/>
          <w:szCs w:val="32"/>
        </w:rPr>
        <w:t>二期等新地标建设，联动贝壳剧场、爱乐乐团音乐厅等打造数字剧场集群消费网络。在</w:t>
      </w:r>
      <w:r>
        <w:rPr>
          <w:rFonts w:hint="eastAsia" w:ascii="Times New Roman Regular" w:hAnsi="Times New Roman Regular" w:eastAsia="仿宋_GB2312" w:cs="Times New Roman Regular"/>
          <w:sz w:val="32"/>
          <w:szCs w:val="32"/>
          <w:lang w:eastAsia="zh-CN"/>
        </w:rPr>
        <w:t>“两河一带”世界级滨水经济区</w:t>
      </w:r>
      <w:r>
        <w:rPr>
          <w:rFonts w:hint="eastAsia" w:ascii="Times New Roman Regular" w:hAnsi="Times New Roman Regular" w:eastAsia="仿宋_GB2312" w:cs="Times New Roman Regular"/>
          <w:sz w:val="32"/>
          <w:szCs w:val="32"/>
        </w:rPr>
        <w:t>、三里屯等核心商圈</w:t>
      </w:r>
      <w:r>
        <w:rPr>
          <w:rFonts w:hint="eastAsia" w:ascii="Times New Roman Regular" w:hAnsi="Times New Roman Regular" w:eastAsia="仿宋_GB2312" w:cs="Times New Roman Regular"/>
          <w:sz w:val="32"/>
          <w:szCs w:val="32"/>
          <w:lang w:eastAsia="zh-CN"/>
        </w:rPr>
        <w:t>丰富</w:t>
      </w:r>
      <w:r>
        <w:rPr>
          <w:rFonts w:hint="eastAsia" w:ascii="Times New Roman Regular" w:hAnsi="Times New Roman Regular" w:eastAsia="仿宋_GB2312" w:cs="Times New Roman Regular"/>
          <w:sz w:val="32"/>
          <w:szCs w:val="32"/>
        </w:rPr>
        <w:t>全息投影剧场、AR互动演艺、快闪艺术展等沉浸式空间，驱动文旅消费提质扩容。</w:t>
      </w:r>
    </w:p>
    <w:p w14:paraId="7F8326A7">
      <w:pPr>
        <w:spacing w:line="560" w:lineRule="exact"/>
        <w:ind w:firstLine="643" w:firstLineChars="200"/>
        <w:rPr>
          <w:rFonts w:ascii="Times New Roman" w:hAnsi="Times New Roman" w:eastAsia="仿宋_GB2312"/>
          <w:b/>
          <w:bCs/>
          <w:sz w:val="32"/>
          <w:szCs w:val="32"/>
          <w:highlight w:val="yellow"/>
        </w:rPr>
      </w:pPr>
      <w:r>
        <w:rPr>
          <w:rFonts w:hint="eastAsia" w:ascii="Times New Roman" w:hAnsi="Times New Roman" w:eastAsia="仿宋_GB2312"/>
          <w:b/>
          <w:bCs/>
          <w:sz w:val="32"/>
          <w:szCs w:val="32"/>
          <w:lang w:eastAsia="zh-CN"/>
        </w:rPr>
        <w:t>壮大</w:t>
      </w:r>
      <w:r>
        <w:rPr>
          <w:rFonts w:hint="eastAsia" w:ascii="Times New Roman" w:hAnsi="Times New Roman" w:eastAsia="仿宋_GB2312"/>
          <w:b/>
          <w:bCs/>
          <w:sz w:val="32"/>
          <w:szCs w:val="32"/>
        </w:rPr>
        <w:t>游戏电竞</w:t>
      </w:r>
      <w:r>
        <w:rPr>
          <w:rFonts w:hint="eastAsia" w:ascii="Times New Roman" w:hAnsi="Times New Roman" w:eastAsia="仿宋_GB2312"/>
          <w:b/>
          <w:bCs/>
          <w:sz w:val="32"/>
          <w:szCs w:val="32"/>
          <w:lang w:eastAsia="zh-CN"/>
        </w:rPr>
        <w:t>产业规模</w:t>
      </w:r>
      <w:r>
        <w:rPr>
          <w:rFonts w:hint="eastAsia" w:ascii="Times New Roman" w:hAnsi="Times New Roman" w:eastAsia="仿宋_GB2312"/>
          <w:b/>
          <w:bCs/>
          <w:sz w:val="32"/>
          <w:szCs w:val="32"/>
        </w:rPr>
        <w:t>。</w:t>
      </w:r>
      <w:r>
        <w:rPr>
          <w:rFonts w:hint="eastAsia" w:ascii="Times New Roman Regular" w:hAnsi="Times New Roman Regular" w:eastAsia="仿宋_GB2312" w:cs="Times New Roman Regular"/>
          <w:sz w:val="32"/>
          <w:szCs w:val="32"/>
        </w:rPr>
        <w:t>坚持技术研发创新、产品矩阵化、场景融合化发展路径，系统构建产业竞争新优势。加大游戏龙头企业引育力度，强化链主带动作用，支持落地区域性研发中心，推动国产游戏引擎、AI竞技系统核心技术攻关，打造精品游戏矩阵，鼓励开发3D可动模型、AR实体卡牌等高附加值产品。支持企业深化与Steam、Epic等全球平台合作，搭建出海全流程服务平台，提供目标市场合规咨询、支付接入及流量优化支持，推动一批具有创新引领力的游戏精品出海，提升“朝阳游戏”的全球竞争力。培育特色电竞场景，依托微博电竞</w:t>
      </w:r>
      <w:r>
        <w:rPr>
          <w:rFonts w:hint="eastAsia" w:ascii="Times New Roman Regular" w:hAnsi="Times New Roman Regular" w:eastAsia="仿宋_GB2312" w:cs="Times New Roman Regular"/>
          <w:sz w:val="32"/>
          <w:szCs w:val="32"/>
          <w:lang w:eastAsia="zh-CN"/>
        </w:rPr>
        <w:t>中心</w:t>
      </w:r>
      <w:r>
        <w:rPr>
          <w:rFonts w:hint="eastAsia" w:ascii="Times New Roman Regular" w:hAnsi="Times New Roman Regular" w:eastAsia="仿宋_GB2312" w:cs="Times New Roman Regular"/>
          <w:sz w:val="32"/>
          <w:szCs w:val="32"/>
        </w:rPr>
        <w:t>、鸟巢、新工体等载体，支持国内外知名品牌电竞赛事在朝阳区举办，鼓励开展电竞周、电音节、动漫展、嘉年华等活动，推动游戏电竞文化融入城市生活。推动东进国际网游电竞等特色园区建设，吸引国内外知名电竞俱乐部新设主场，</w:t>
      </w:r>
      <w:r>
        <w:rPr>
          <w:rFonts w:ascii="Times New Roman" w:hAnsi="Times New Roman" w:eastAsia="仿宋_GB2312"/>
          <w:sz w:val="32"/>
          <w:szCs w:val="32"/>
        </w:rPr>
        <w:t>搭建游戏电竞企业孵化服务平台</w:t>
      </w:r>
      <w:r>
        <w:rPr>
          <w:rFonts w:hint="eastAsia" w:ascii="Times New Roman" w:hAnsi="Times New Roman" w:eastAsia="仿宋_GB2312"/>
          <w:sz w:val="32"/>
          <w:szCs w:val="32"/>
        </w:rPr>
        <w:t>，打造网游电竞产业集聚区</w:t>
      </w:r>
      <w:r>
        <w:rPr>
          <w:rFonts w:hint="eastAsia" w:ascii="Times New Roman Regular" w:hAnsi="Times New Roman Regular" w:eastAsia="仿宋_GB2312" w:cs="Times New Roman Regular"/>
          <w:sz w:val="32"/>
          <w:szCs w:val="32"/>
        </w:rPr>
        <w:t>。深化数字电竞IP化，开发虚拟偶像代言等新业态，在重点商圈布局游戏电竞潮玩集合店，打通谷子店、快闪店、潮玩店及电商平台全域分销网络，提升衍生消费能级，增强数字电竞产业影响力与消费带动力。</w:t>
      </w:r>
    </w:p>
    <w:p w14:paraId="25387C55">
      <w:pPr>
        <w:spacing w:line="560" w:lineRule="exact"/>
        <w:ind w:firstLine="643" w:firstLineChars="200"/>
        <w:rPr>
          <w:rFonts w:hint="eastAsia" w:ascii="仿宋_GB2312" w:hAnsi="仿宋_GB2312" w:eastAsia="仿宋_GB2312" w:cs="仿宋_GB2312"/>
          <w:sz w:val="32"/>
          <w:szCs w:val="32"/>
          <w:highlight w:val="none"/>
        </w:rPr>
      </w:pPr>
      <w:r>
        <w:rPr>
          <w:rFonts w:hint="eastAsia" w:ascii="Times New Roman" w:hAnsi="Times New Roman" w:eastAsia="仿宋_GB2312"/>
          <w:b/>
          <w:bCs/>
          <w:sz w:val="32"/>
          <w:szCs w:val="32"/>
          <w:highlight w:val="none"/>
        </w:rPr>
        <w:t>加速</w:t>
      </w:r>
      <w:r>
        <w:rPr>
          <w:rFonts w:hint="eastAsia" w:ascii="Times New Roman" w:hAnsi="Times New Roman" w:eastAsia="仿宋_GB2312"/>
          <w:b/>
          <w:bCs/>
          <w:sz w:val="32"/>
          <w:szCs w:val="32"/>
          <w:highlight w:val="none"/>
          <w:lang w:val="en-US" w:eastAsia="zh-CN"/>
        </w:rPr>
        <w:t>IP潮玩</w:t>
      </w:r>
      <w:r>
        <w:rPr>
          <w:rFonts w:hint="eastAsia" w:ascii="Times New Roman" w:hAnsi="Times New Roman" w:eastAsia="仿宋_GB2312"/>
          <w:b/>
          <w:bCs/>
          <w:sz w:val="32"/>
          <w:szCs w:val="32"/>
          <w:highlight w:val="none"/>
        </w:rPr>
        <w:t>产业创新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把握消费社交化、个性化趋势特征，构建涵盖原创孵化、主体培育、场景赋能、运营推广等环节的</w:t>
      </w:r>
      <w:r>
        <w:rPr>
          <w:rFonts w:hint="default" w:ascii="Times New Roman" w:hAnsi="Times New Roman" w:eastAsia="仿宋_GB2312" w:cs="Times New Roman"/>
          <w:sz w:val="32"/>
          <w:szCs w:val="32"/>
          <w:lang w:val="en-US" w:eastAsia="zh-CN"/>
        </w:rPr>
        <w:t>IP潮玩</w:t>
      </w:r>
      <w:r>
        <w:rPr>
          <w:rFonts w:hint="eastAsia" w:ascii="仿宋_GB2312" w:hAnsi="仿宋_GB2312" w:eastAsia="仿宋_GB2312" w:cs="仿宋_GB2312"/>
          <w:sz w:val="32"/>
          <w:szCs w:val="32"/>
        </w:rPr>
        <w:t>生</w:t>
      </w:r>
      <w:r>
        <w:rPr>
          <w:rFonts w:hint="default" w:ascii="Times New Roman" w:hAnsi="Times New Roman" w:eastAsia="仿宋_GB2312" w:cs="Times New Roman"/>
          <w:sz w:val="32"/>
          <w:szCs w:val="32"/>
        </w:rPr>
        <w:t>态闭环。</w:t>
      </w:r>
      <w:r>
        <w:rPr>
          <w:rFonts w:hint="default" w:ascii="Times New Roman" w:hAnsi="Times New Roman" w:eastAsia="仿宋_GB2312"/>
          <w:sz w:val="32"/>
          <w:szCs w:val="32"/>
        </w:rPr>
        <w:t>引进集聚一批拥有自主知识产权、</w:t>
      </w:r>
      <w:r>
        <w:rPr>
          <w:rFonts w:hint="eastAsia" w:ascii="Times New Roman" w:hAnsi="Times New Roman" w:eastAsia="仿宋_GB2312"/>
          <w:sz w:val="32"/>
          <w:szCs w:val="32"/>
          <w:lang w:eastAsia="zh-CN"/>
        </w:rPr>
        <w:t>创新能力强、具备</w:t>
      </w:r>
      <w:r>
        <w:rPr>
          <w:rFonts w:hint="default" w:ascii="Times New Roman" w:hAnsi="Times New Roman" w:eastAsia="仿宋_GB2312"/>
          <w:sz w:val="32"/>
          <w:szCs w:val="32"/>
        </w:rPr>
        <w:t>消费</w:t>
      </w:r>
      <w:r>
        <w:rPr>
          <w:rFonts w:hint="eastAsia" w:ascii="Times New Roman" w:hAnsi="Times New Roman" w:eastAsia="仿宋_GB2312"/>
          <w:sz w:val="32"/>
          <w:szCs w:val="32"/>
          <w:lang w:eastAsia="zh-CN"/>
        </w:rPr>
        <w:t>引领效应</w:t>
      </w:r>
      <w:r>
        <w:rPr>
          <w:rFonts w:hint="default" w:ascii="Times New Roman" w:hAnsi="Times New Roman" w:eastAsia="仿宋_GB2312"/>
          <w:sz w:val="32"/>
          <w:szCs w:val="32"/>
        </w:rPr>
        <w:t>的潮玩企业</w:t>
      </w:r>
      <w:r>
        <w:rPr>
          <w:rFonts w:hint="eastAsia" w:ascii="Times New Roman" w:hAnsi="Times New Roman" w:eastAsia="仿宋_GB2312"/>
          <w:sz w:val="32"/>
          <w:szCs w:val="32"/>
          <w:lang w:eastAsia="zh-CN"/>
        </w:rPr>
        <w:t>，鼓励打造</w:t>
      </w:r>
      <w:r>
        <w:rPr>
          <w:rFonts w:hint="default" w:ascii="Times New Roman" w:hAnsi="Times New Roman" w:eastAsia="仿宋_GB2312"/>
          <w:sz w:val="32"/>
          <w:szCs w:val="32"/>
        </w:rPr>
        <w:t>IP潮玩开发基地，</w:t>
      </w:r>
      <w:r>
        <w:rPr>
          <w:rFonts w:hint="eastAsia" w:ascii="Times New Roman" w:hAnsi="Times New Roman" w:eastAsia="仿宋_GB2312"/>
          <w:sz w:val="32"/>
          <w:szCs w:val="32"/>
          <w:lang w:eastAsia="zh-CN"/>
        </w:rPr>
        <w:t>培育推出一批国际知名的超级</w:t>
      </w:r>
      <w:r>
        <w:rPr>
          <w:rFonts w:hint="eastAsia" w:ascii="Times New Roman" w:hAnsi="Times New Roman" w:eastAsia="仿宋_GB2312"/>
          <w:sz w:val="32"/>
          <w:szCs w:val="32"/>
          <w:lang w:val="en-US" w:eastAsia="zh-CN"/>
        </w:rPr>
        <w:t>IP，全力</w:t>
      </w:r>
      <w:r>
        <w:rPr>
          <w:rFonts w:hint="eastAsia" w:ascii="Times New Roman" w:hAnsi="Times New Roman" w:eastAsia="仿宋_GB2312" w:cs="Times New Roman"/>
          <w:color w:val="auto"/>
          <w:kern w:val="2"/>
          <w:sz w:val="32"/>
          <w:szCs w:val="32"/>
          <w:lang w:val="en-US" w:eastAsia="zh-CN" w:bidi="ar-SA"/>
        </w:rPr>
        <w:t>打造国际潮玩创新策源地和品牌聚集地，全力建设IP之城。</w:t>
      </w:r>
      <w:r>
        <w:rPr>
          <w:rFonts w:hint="eastAsia" w:ascii="仿宋_GB2312" w:hAnsi="仿宋_GB2312" w:eastAsia="仿宋_GB2312" w:cs="仿宋_GB2312"/>
          <w:sz w:val="32"/>
          <w:szCs w:val="32"/>
        </w:rPr>
        <w:t>发挥“链主”企业</w:t>
      </w:r>
      <w:r>
        <w:rPr>
          <w:rFonts w:hint="default" w:ascii="Times New Roman" w:hAnsi="Times New Roman" w:eastAsia="仿宋_GB2312"/>
          <w:sz w:val="32"/>
          <w:szCs w:val="32"/>
        </w:rPr>
        <w:t>带动作用，鼓励</w:t>
      </w:r>
      <w:r>
        <w:rPr>
          <w:rFonts w:hint="eastAsia" w:ascii="Times New Roman" w:hAnsi="Times New Roman" w:eastAsia="仿宋_GB2312"/>
          <w:sz w:val="32"/>
          <w:szCs w:val="32"/>
          <w:lang w:eastAsia="zh-CN"/>
        </w:rPr>
        <w:t>头部影视、游戏、文娱</w:t>
      </w:r>
      <w:r>
        <w:rPr>
          <w:rFonts w:hint="default" w:ascii="Times New Roman" w:hAnsi="Times New Roman" w:eastAsia="仿宋_GB2312"/>
          <w:sz w:val="32"/>
          <w:szCs w:val="32"/>
        </w:rPr>
        <w:t>企业</w:t>
      </w:r>
      <w:r>
        <w:rPr>
          <w:rFonts w:hint="eastAsia" w:ascii="Times New Roman" w:hAnsi="Times New Roman" w:eastAsia="仿宋_GB2312"/>
          <w:sz w:val="32"/>
          <w:szCs w:val="32"/>
          <w:lang w:eastAsia="zh-CN"/>
        </w:rPr>
        <w:t>优化</w:t>
      </w:r>
      <w:r>
        <w:rPr>
          <w:rFonts w:hint="eastAsia" w:ascii="Times New Roman" w:hAnsi="Times New Roman" w:eastAsia="仿宋_GB2312"/>
          <w:sz w:val="32"/>
          <w:szCs w:val="32"/>
          <w:lang w:val="en-US" w:eastAsia="zh-CN"/>
        </w:rPr>
        <w:t>IP开发运营模式</w:t>
      </w:r>
      <w:r>
        <w:rPr>
          <w:rFonts w:hint="default" w:ascii="Times New Roman" w:hAnsi="Times New Roman" w:eastAsia="仿宋_GB2312"/>
          <w:sz w:val="32"/>
          <w:szCs w:val="32"/>
        </w:rPr>
        <w:t>，丰富IP潮玩产品特色供给。依托朝阳公园、798·751园区</w:t>
      </w:r>
      <w:r>
        <w:rPr>
          <w:rFonts w:hint="eastAsia" w:ascii="Times New Roman" w:hAnsi="Times New Roman" w:eastAsia="仿宋_GB2312"/>
          <w:sz w:val="32"/>
          <w:szCs w:val="32"/>
          <w:lang w:eastAsia="zh-CN"/>
        </w:rPr>
        <w:t>、郎园</w:t>
      </w:r>
      <w:r>
        <w:rPr>
          <w:rFonts w:hint="eastAsia" w:ascii="Times New Roman" w:hAnsi="Times New Roman" w:eastAsia="仿宋_GB2312"/>
          <w:sz w:val="32"/>
          <w:szCs w:val="32"/>
          <w:lang w:val="en-US" w:eastAsia="zh-CN"/>
        </w:rPr>
        <w:t>Station</w:t>
      </w:r>
      <w:r>
        <w:rPr>
          <w:rFonts w:hint="default" w:ascii="Times New Roman" w:hAnsi="Times New Roman" w:eastAsia="仿宋_GB2312"/>
          <w:sz w:val="32"/>
          <w:szCs w:val="32"/>
        </w:rPr>
        <w:t>等</w:t>
      </w:r>
      <w:r>
        <w:rPr>
          <w:rFonts w:hint="eastAsia" w:ascii="Times New Roman" w:hAnsi="Times New Roman" w:eastAsia="仿宋_GB2312"/>
          <w:sz w:val="32"/>
          <w:szCs w:val="32"/>
          <w:lang w:eastAsia="zh-CN"/>
        </w:rPr>
        <w:t>文化地标</w:t>
      </w:r>
      <w:r>
        <w:rPr>
          <w:rFonts w:hint="default" w:ascii="Times New Roman" w:hAnsi="Times New Roman" w:eastAsia="仿宋_GB2312"/>
          <w:sz w:val="32"/>
          <w:szCs w:val="32"/>
        </w:rPr>
        <w:t>，策划</w:t>
      </w:r>
      <w:r>
        <w:rPr>
          <w:rFonts w:ascii="Times New Roman" w:hAnsi="Times New Roman" w:eastAsia="仿宋_GB2312"/>
          <w:sz w:val="32"/>
          <w:szCs w:val="32"/>
        </w:rPr>
        <w:t>潮玩文创、</w:t>
      </w:r>
      <w:r>
        <w:rPr>
          <w:rFonts w:hint="default" w:ascii="Times New Roman" w:hAnsi="Times New Roman" w:eastAsia="仿宋_GB2312"/>
          <w:sz w:val="32"/>
          <w:szCs w:val="32"/>
        </w:rPr>
        <w:t>时尚秀展、艺术市集</w:t>
      </w:r>
      <w:r>
        <w:rPr>
          <w:rFonts w:ascii="Times New Roman" w:hAnsi="Times New Roman" w:eastAsia="仿宋_GB2312"/>
          <w:sz w:val="32"/>
          <w:szCs w:val="32"/>
        </w:rPr>
        <w:t>等</w:t>
      </w:r>
      <w:r>
        <w:rPr>
          <w:rFonts w:hint="default" w:ascii="Times New Roman" w:hAnsi="Times New Roman" w:eastAsia="仿宋_GB2312"/>
          <w:sz w:val="32"/>
          <w:szCs w:val="32"/>
        </w:rPr>
        <w:t>活动，</w:t>
      </w:r>
      <w:r>
        <w:rPr>
          <w:rFonts w:hint="eastAsia" w:ascii="Times New Roman" w:hAnsi="Times New Roman" w:eastAsia="仿宋_GB2312"/>
          <w:sz w:val="32"/>
          <w:szCs w:val="32"/>
          <w:lang w:eastAsia="zh-CN"/>
        </w:rPr>
        <w:t>鼓励</w:t>
      </w:r>
      <w:r>
        <w:rPr>
          <w:rFonts w:hint="default" w:ascii="Times New Roman" w:hAnsi="Times New Roman" w:eastAsia="仿宋_GB2312"/>
          <w:sz w:val="32"/>
          <w:szCs w:val="32"/>
        </w:rPr>
        <w:t>头部品牌</w:t>
      </w:r>
      <w:r>
        <w:rPr>
          <w:rFonts w:hint="eastAsia" w:ascii="Times New Roman" w:hAnsi="Times New Roman" w:eastAsia="仿宋_GB2312"/>
          <w:sz w:val="32"/>
          <w:szCs w:val="32"/>
          <w:lang w:eastAsia="zh-CN"/>
        </w:rPr>
        <w:t>打造</w:t>
      </w:r>
      <w:r>
        <w:rPr>
          <w:rFonts w:hint="default" w:ascii="Times New Roman" w:hAnsi="Times New Roman" w:eastAsia="仿宋_GB2312"/>
          <w:sz w:val="32"/>
          <w:szCs w:val="32"/>
        </w:rPr>
        <w:t>跨界联名空间。提升</w:t>
      </w:r>
      <w:r>
        <w:rPr>
          <w:rFonts w:hint="eastAsia" w:ascii="Times New Roman" w:hAnsi="Times New Roman" w:eastAsia="仿宋_GB2312"/>
          <w:sz w:val="32"/>
          <w:szCs w:val="32"/>
          <w:lang w:val="en-US" w:eastAsia="zh-CN"/>
        </w:rPr>
        <w:t>IP潮玩</w:t>
      </w:r>
      <w:r>
        <w:rPr>
          <w:rFonts w:hint="default" w:ascii="Times New Roman" w:hAnsi="Times New Roman" w:eastAsia="仿宋_GB2312"/>
          <w:sz w:val="32"/>
          <w:szCs w:val="32"/>
        </w:rPr>
        <w:t>产业消费场景建设力度，围绕</w:t>
      </w:r>
      <w:r>
        <w:rPr>
          <w:rFonts w:hint="eastAsia" w:ascii="Times New Roman" w:hAnsi="Times New Roman" w:eastAsia="仿宋_GB2312"/>
          <w:sz w:val="32"/>
          <w:szCs w:val="32"/>
          <w:lang w:eastAsia="zh-CN"/>
        </w:rPr>
        <w:t>三里屯、</w:t>
      </w:r>
      <w:r>
        <w:rPr>
          <w:rFonts w:hint="default" w:ascii="Times New Roman" w:hAnsi="Times New Roman" w:eastAsia="仿宋_GB2312"/>
          <w:sz w:val="32"/>
          <w:szCs w:val="32"/>
        </w:rPr>
        <w:t>国贸、蓝色港湾等时尚商圈，布局沉浸式体验空间，培育AR试玩、数字装置艺术等线上线下融合业态，丰富</w:t>
      </w:r>
      <w:r>
        <w:rPr>
          <w:rFonts w:hint="default" w:ascii="Times New Roman" w:hAnsi="Times New Roman" w:eastAsia="仿宋_GB2312" w:cs="Times New Roman"/>
          <w:sz w:val="32"/>
          <w:szCs w:val="32"/>
        </w:rPr>
        <w:t>亮马河夜游夜秀等消费产品供给，以场景建设赋能产业价值提升</w:t>
      </w:r>
      <w:r>
        <w:rPr>
          <w:rFonts w:hint="default" w:ascii="Times New Roman" w:hAnsi="Times New Roman" w:eastAsia="仿宋_GB2312"/>
          <w:sz w:val="32"/>
          <w:szCs w:val="32"/>
        </w:rPr>
        <w:t>。</w:t>
      </w:r>
      <w:r>
        <w:rPr>
          <w:rFonts w:hint="default" w:ascii="Times New Roman" w:hAnsi="Times New Roman" w:eastAsia="仿宋_GB2312"/>
          <w:sz w:val="32"/>
          <w:szCs w:val="32"/>
          <w:highlight w:val="none"/>
        </w:rPr>
        <w:t>依托重点商圈，积极招引头部潮玩品牌，整合“朝阳礼物”等本土品牌资源，打造具有产业引领力的潮玩消费地标</w:t>
      </w:r>
      <w:r>
        <w:rPr>
          <w:rFonts w:hint="eastAsia" w:ascii="仿宋_GB2312" w:hAnsi="仿宋_GB2312" w:eastAsia="仿宋_GB2312" w:cs="仿宋_GB2312"/>
          <w:sz w:val="32"/>
          <w:szCs w:val="32"/>
          <w:highlight w:val="none"/>
        </w:rPr>
        <w:t>。</w:t>
      </w:r>
    </w:p>
    <w:p w14:paraId="1F120979">
      <w:pPr>
        <w:numPr>
          <w:ilvl w:val="0"/>
          <w:numId w:val="2"/>
        </w:numPr>
        <w:spacing w:before="156" w:beforeLines="50" w:after="156" w:afterLines="50" w:line="560" w:lineRule="exact"/>
        <w:jc w:val="center"/>
        <w:outlineLvl w:val="1"/>
        <w:rPr>
          <w:rFonts w:ascii="楷体_GB2312" w:hAnsi="楷体_GB2312" w:eastAsia="楷体_GB2312" w:cs="楷体_GB2312"/>
          <w:b w:val="0"/>
          <w:bCs w:val="0"/>
          <w:sz w:val="32"/>
          <w:szCs w:val="32"/>
          <w:highlight w:val="none"/>
        </w:rPr>
      </w:pPr>
      <w:bookmarkStart w:id="60" w:name="_Toc207098896"/>
      <w:bookmarkEnd w:id="60"/>
      <w:bookmarkStart w:id="61" w:name="_Toc26646"/>
      <w:r>
        <w:rPr>
          <w:rFonts w:hint="eastAsia" w:ascii="楷体_GB2312" w:hAnsi="楷体_GB2312" w:eastAsia="楷体_GB2312" w:cs="楷体_GB2312"/>
          <w:b w:val="0"/>
          <w:bCs w:val="0"/>
          <w:sz w:val="32"/>
          <w:szCs w:val="32"/>
          <w:highlight w:val="none"/>
        </w:rPr>
        <w:t>加快</w:t>
      </w:r>
      <w:r>
        <w:rPr>
          <w:rFonts w:hint="eastAsia" w:ascii="楷体_GB2312" w:hAnsi="楷体_GB2312" w:eastAsia="楷体_GB2312" w:cs="楷体_GB2312"/>
          <w:b w:val="0"/>
          <w:bCs w:val="0"/>
          <w:sz w:val="32"/>
          <w:szCs w:val="32"/>
          <w:highlight w:val="none"/>
          <w:lang w:eastAsia="zh-CN"/>
        </w:rPr>
        <w:t>布局</w:t>
      </w:r>
      <w:r>
        <w:rPr>
          <w:rFonts w:hint="eastAsia" w:ascii="楷体_GB2312" w:hAnsi="楷体_GB2312" w:eastAsia="楷体_GB2312" w:cs="楷体_GB2312"/>
          <w:b w:val="0"/>
          <w:bCs w:val="0"/>
          <w:sz w:val="32"/>
          <w:szCs w:val="32"/>
          <w:highlight w:val="none"/>
        </w:rPr>
        <w:t>未来产业赛道</w:t>
      </w:r>
      <w:bookmarkEnd w:id="61"/>
    </w:p>
    <w:p w14:paraId="3FDEF4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bidi="ar"/>
        </w:rPr>
      </w:pPr>
      <w:bookmarkStart w:id="62" w:name="_Toc206077055"/>
      <w:bookmarkStart w:id="63" w:name="_Toc206064187"/>
      <w:r>
        <w:rPr>
          <w:rFonts w:hint="eastAsia" w:ascii="仿宋_GB2312" w:hAnsi="Times New Roman" w:eastAsia="仿宋_GB2312" w:cs="Times New Roman"/>
          <w:kern w:val="0"/>
          <w:sz w:val="32"/>
          <w:szCs w:val="32"/>
          <w:lang w:val="en-US" w:eastAsia="zh-CN" w:bidi="ar"/>
        </w:rPr>
        <w:t>积极把握颠覆性技术的演进趋势，以尖端科技深度赋能文化内容的创作、生产、传播与体验等环节，抢先占据文化领域未来产业发展的制高点。</w:t>
      </w:r>
      <w:r>
        <w:rPr>
          <w:rFonts w:hint="eastAsia" w:ascii="仿宋_GB2312" w:hAnsi="Times New Roman" w:eastAsia="仿宋_GB2312" w:cs="Times New Roman"/>
          <w:b/>
          <w:bCs/>
          <w:kern w:val="0"/>
          <w:sz w:val="32"/>
          <w:szCs w:val="32"/>
          <w:lang w:val="en-US" w:eastAsia="zh-CN" w:bidi="ar"/>
        </w:rPr>
        <w:t>在</w:t>
      </w:r>
      <w:r>
        <w:rPr>
          <w:rFonts w:hint="default" w:ascii="Times New Roman" w:hAnsi="Times New Roman" w:eastAsia="仿宋_GB2312" w:cs="Times New Roman"/>
          <w:b/>
          <w:bCs/>
          <w:kern w:val="0"/>
          <w:sz w:val="32"/>
          <w:szCs w:val="32"/>
          <w:lang w:val="en-US" w:eastAsia="zh-CN" w:bidi="ar"/>
        </w:rPr>
        <w:t>AIGC</w:t>
      </w:r>
      <w:r>
        <w:rPr>
          <w:rFonts w:hint="eastAsia" w:ascii="仿宋_GB2312" w:hAnsi="Times New Roman" w:eastAsia="仿宋_GB2312" w:cs="Times New Roman"/>
          <w:b/>
          <w:bCs/>
          <w:kern w:val="0"/>
          <w:sz w:val="32"/>
          <w:szCs w:val="32"/>
          <w:lang w:val="en-US" w:eastAsia="zh-CN" w:bidi="ar"/>
        </w:rPr>
        <w:t>研发应用领域，</w:t>
      </w:r>
      <w:r>
        <w:rPr>
          <w:rFonts w:hint="eastAsia" w:ascii="仿宋_GB2312" w:hAnsi="Times New Roman" w:eastAsia="仿宋_GB2312" w:cs="Times New Roman"/>
          <w:kern w:val="0"/>
          <w:sz w:val="32"/>
          <w:szCs w:val="32"/>
          <w:lang w:val="en-US" w:eastAsia="zh-CN" w:bidi="ar"/>
        </w:rPr>
        <w:t>重点支持头部企业攻克</w:t>
      </w:r>
      <w:r>
        <w:rPr>
          <w:rFonts w:hint="default" w:ascii="Times New Roman" w:hAnsi="Times New Roman" w:eastAsia="仿宋_GB2312" w:cs="Times New Roman"/>
          <w:kern w:val="0"/>
          <w:sz w:val="32"/>
          <w:szCs w:val="32"/>
          <w:lang w:val="en-US" w:eastAsia="zh-CN" w:bidi="ar"/>
        </w:rPr>
        <w:t>AIGC视频生成、虚拟人情感交互、多模态底层大模型、高性能混元算力等关键技术，充分发挥场景优势，推动AIGC在广告营销、创意设计、动漫游戏、短剧、影视等核心领域的深度应用，催生新型</w:t>
      </w:r>
      <w:r>
        <w:rPr>
          <w:rFonts w:hint="eastAsia" w:ascii="Times New Roman" w:hAnsi="Times New Roman" w:eastAsia="仿宋_GB2312" w:cs="Times New Roman"/>
          <w:kern w:val="0"/>
          <w:sz w:val="32"/>
          <w:szCs w:val="32"/>
          <w:lang w:val="en-US" w:eastAsia="zh-CN" w:bidi="ar"/>
        </w:rPr>
        <w:t>文化</w:t>
      </w:r>
      <w:r>
        <w:rPr>
          <w:rFonts w:hint="default" w:ascii="Times New Roman" w:hAnsi="Times New Roman" w:eastAsia="仿宋_GB2312" w:cs="Times New Roman"/>
          <w:kern w:val="0"/>
          <w:sz w:val="32"/>
          <w:szCs w:val="32"/>
          <w:lang w:val="en-US" w:eastAsia="zh-CN" w:bidi="ar"/>
        </w:rPr>
        <w:t>产品与商业模式，显著提升产业效率，建设AIGC研发应用</w:t>
      </w:r>
      <w:r>
        <w:rPr>
          <w:rFonts w:hint="eastAsia" w:ascii="仿宋_GB2312" w:hAnsi="Times New Roman" w:eastAsia="仿宋_GB2312" w:cs="Times New Roman"/>
          <w:kern w:val="0"/>
          <w:sz w:val="32"/>
          <w:szCs w:val="32"/>
          <w:lang w:val="en-US" w:eastAsia="zh-CN" w:bidi="ar"/>
        </w:rPr>
        <w:t>高地。</w:t>
      </w:r>
      <w:r>
        <w:rPr>
          <w:rFonts w:hint="eastAsia" w:ascii="仿宋_GB2312" w:hAnsi="Times New Roman" w:eastAsia="仿宋_GB2312" w:cs="Times New Roman"/>
          <w:b/>
          <w:bCs/>
          <w:kern w:val="0"/>
          <w:sz w:val="32"/>
          <w:szCs w:val="32"/>
          <w:lang w:val="en-US" w:eastAsia="zh-CN" w:bidi="ar"/>
        </w:rPr>
        <w:t>超高清沉浸式创新应用领域，</w:t>
      </w:r>
      <w:r>
        <w:rPr>
          <w:rFonts w:hint="eastAsia" w:ascii="仿宋_GB2312" w:hAnsi="Times New Roman" w:eastAsia="仿宋_GB2312" w:cs="Times New Roman"/>
          <w:kern w:val="0"/>
          <w:sz w:val="32"/>
          <w:szCs w:val="32"/>
          <w:lang w:val="en-US" w:eastAsia="zh-CN" w:bidi="ar"/>
        </w:rPr>
        <w:t>加大</w:t>
      </w:r>
      <w:r>
        <w:rPr>
          <w:rFonts w:hint="default" w:ascii="Times New Roman" w:hAnsi="Times New Roman" w:eastAsia="仿宋_GB2312" w:cs="Times New Roman"/>
          <w:kern w:val="0"/>
          <w:sz w:val="32"/>
          <w:szCs w:val="32"/>
          <w:lang w:val="en-US" w:eastAsia="zh-CN" w:bidi="ar"/>
        </w:rPr>
        <w:t>对超高清、裸眼3D、未来显示、球（环）幕等感官体验技术的研发及市场转化力度，积极探索全息投影、高帧率/高动态范围、6G超</w:t>
      </w:r>
      <w:r>
        <w:rPr>
          <w:rFonts w:hint="eastAsia" w:ascii="仿宋_GB2312" w:hAnsi="Times New Roman" w:eastAsia="仿宋_GB2312" w:cs="Times New Roman"/>
          <w:kern w:val="0"/>
          <w:sz w:val="32"/>
          <w:szCs w:val="32"/>
          <w:lang w:val="en-US" w:eastAsia="zh-CN" w:bidi="ar"/>
        </w:rPr>
        <w:t>高速传输、实时云渲染、高并发低延迟虚拟空间构建等技术的落地应用，构建具备极致视觉效果与沉浸式叙事体验的产业生态。支持开发虚实共生演唱会、全息非遗展演等标杆场景，创新互动体验模式。</w:t>
      </w:r>
      <w:r>
        <w:rPr>
          <w:rFonts w:hint="eastAsia" w:ascii="仿宋_GB2312" w:hAnsi="Times New Roman" w:eastAsia="仿宋_GB2312" w:cs="Times New Roman"/>
          <w:b/>
          <w:bCs/>
          <w:kern w:val="0"/>
          <w:sz w:val="32"/>
          <w:szCs w:val="32"/>
          <w:highlight w:val="none"/>
          <w:lang w:val="en-US" w:eastAsia="zh-CN" w:bidi="ar"/>
        </w:rPr>
        <w:t>智慧生活体验应用领域</w:t>
      </w:r>
      <w:r>
        <w:rPr>
          <w:rFonts w:hint="default" w:ascii="Times New Roman" w:hAnsi="Times New Roman" w:eastAsia="仿宋_GB2312" w:cs="Times New Roman"/>
          <w:b/>
          <w:bCs/>
          <w:kern w:val="0"/>
          <w:sz w:val="32"/>
          <w:szCs w:val="32"/>
          <w:highlight w:val="none"/>
          <w:lang w:val="en-US" w:eastAsia="zh-CN" w:bidi="ar"/>
        </w:rPr>
        <w:t>，</w:t>
      </w:r>
      <w:r>
        <w:rPr>
          <w:rFonts w:hint="default" w:ascii="Times New Roman" w:hAnsi="Times New Roman" w:eastAsia="仿宋_GB2312" w:cs="Times New Roman"/>
          <w:b w:val="0"/>
          <w:bCs w:val="0"/>
          <w:kern w:val="0"/>
          <w:sz w:val="32"/>
          <w:szCs w:val="32"/>
          <w:highlight w:val="none"/>
          <w:lang w:val="en-US" w:eastAsia="zh-CN" w:bidi="ar"/>
        </w:rPr>
        <w:t>依托朝阳区时尚潮流优势，以数智技术、应用场景、特色IP与数据要素为支撑，构建</w:t>
      </w:r>
      <w:r>
        <w:rPr>
          <w:rFonts w:hint="eastAsia" w:ascii="Times New Roman" w:hAnsi="Times New Roman" w:eastAsia="仿宋_GB2312" w:cs="Times New Roman"/>
          <w:b w:val="0"/>
          <w:bCs w:val="0"/>
          <w:kern w:val="0"/>
          <w:sz w:val="32"/>
          <w:szCs w:val="32"/>
          <w:highlight w:val="none"/>
          <w:lang w:val="en-US" w:eastAsia="zh-CN" w:bidi="ar"/>
        </w:rPr>
        <w:t>“</w:t>
      </w:r>
      <w:r>
        <w:rPr>
          <w:rFonts w:hint="default" w:ascii="Times New Roman" w:hAnsi="Times New Roman" w:eastAsia="仿宋_GB2312" w:cs="Times New Roman"/>
          <w:b w:val="0"/>
          <w:bCs w:val="0"/>
          <w:kern w:val="0"/>
          <w:sz w:val="32"/>
          <w:szCs w:val="32"/>
          <w:highlight w:val="none"/>
          <w:lang w:val="en-US" w:eastAsia="zh-CN" w:bidi="ar"/>
        </w:rPr>
        <w:t>文化+科技+生活服务</w:t>
      </w:r>
      <w:r>
        <w:rPr>
          <w:rFonts w:hint="eastAsia" w:ascii="Times New Roman" w:hAnsi="Times New Roman" w:eastAsia="仿宋_GB2312" w:cs="Times New Roman"/>
          <w:b w:val="0"/>
          <w:bCs w:val="0"/>
          <w:kern w:val="0"/>
          <w:sz w:val="32"/>
          <w:szCs w:val="32"/>
          <w:highlight w:val="none"/>
          <w:lang w:val="en-US" w:eastAsia="zh-CN" w:bidi="ar"/>
        </w:rPr>
        <w:t>”</w:t>
      </w:r>
      <w:r>
        <w:rPr>
          <w:rFonts w:hint="default" w:ascii="Times New Roman" w:hAnsi="Times New Roman" w:eastAsia="仿宋_GB2312" w:cs="Times New Roman"/>
          <w:b w:val="0"/>
          <w:bCs w:val="0"/>
          <w:kern w:val="0"/>
          <w:sz w:val="32"/>
          <w:szCs w:val="32"/>
          <w:highlight w:val="none"/>
          <w:lang w:val="en-US" w:eastAsia="zh-CN" w:bidi="ar"/>
        </w:rPr>
        <w:t>融合生态，以智慧场景赋能品质生活，打造全域全时、无感便捷的文化体验新模式。</w:t>
      </w:r>
    </w:p>
    <w:bookmarkEnd w:id="62"/>
    <w:bookmarkEnd w:id="63"/>
    <w:p w14:paraId="4BBD943C">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outlineLvl w:val="1"/>
        <w:rPr>
          <w:rFonts w:ascii="仿宋_GB2312" w:hAnsi="仿宋_GB2312" w:eastAsia="楷体_GB2312" w:cs="仿宋_GB2312"/>
          <w:b w:val="0"/>
          <w:bCs w:val="0"/>
          <w:sz w:val="32"/>
          <w:szCs w:val="32"/>
        </w:rPr>
      </w:pPr>
      <w:bookmarkStart w:id="64" w:name="_Toc5658"/>
      <w:r>
        <w:rPr>
          <w:rFonts w:hint="eastAsia" w:ascii="楷体_GB2312" w:hAnsi="楷体_GB2312" w:eastAsia="楷体_GB2312" w:cs="楷体_GB2312"/>
          <w:b w:val="0"/>
          <w:bCs w:val="0"/>
          <w:sz w:val="32"/>
          <w:szCs w:val="32"/>
        </w:rPr>
        <w:t>第四节 全力推动产业链群发展</w:t>
      </w:r>
      <w:bookmarkEnd w:id="64"/>
    </w:p>
    <w:p w14:paraId="2610A6B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Regular" w:hAnsi="Times New Roman Regular" w:eastAsia="仿宋_GB2312" w:cs="Times New Roman Regular"/>
          <w:color w:val="000000"/>
          <w:sz w:val="32"/>
          <w:szCs w:val="32"/>
          <w:lang w:bidi="ar"/>
        </w:rPr>
      </w:pPr>
      <w:r>
        <w:rPr>
          <w:rFonts w:hint="eastAsia" w:ascii="仿宋_GB2312" w:hAnsi="仿宋_GB2312" w:eastAsia="仿宋_GB2312" w:cs="仿宋_GB2312"/>
          <w:b/>
          <w:bCs/>
          <w:sz w:val="32"/>
          <w:szCs w:val="32"/>
        </w:rPr>
        <w:t>强化链主企业核心带动。</w:t>
      </w:r>
      <w:r>
        <w:rPr>
          <w:rFonts w:hint="eastAsia" w:ascii="Times New Roman Regular" w:hAnsi="Times New Roman Regular" w:eastAsia="仿宋_GB2312" w:cs="Times New Roman Regular"/>
          <w:color w:val="000000"/>
          <w:sz w:val="32"/>
          <w:szCs w:val="32"/>
          <w:lang w:bidi="ar"/>
        </w:rPr>
        <w:t>强化链主企业在产业链协同中的核心地位，加大潜在链主培育，促进上下游企业汇聚，</w:t>
      </w:r>
      <w:r>
        <w:rPr>
          <w:rFonts w:hint="eastAsia" w:ascii="仿宋_GB2312" w:hAnsi="仿宋_GB2312" w:eastAsia="仿宋_GB2312" w:cs="仿宋_GB2312"/>
          <w:sz w:val="32"/>
          <w:szCs w:val="32"/>
        </w:rPr>
        <w:t>构建形成链主引领、腰部支撑、尾部集聚的链群企业体系。</w:t>
      </w:r>
      <w:r>
        <w:rPr>
          <w:rFonts w:hint="eastAsia" w:ascii="Times New Roman Regular" w:hAnsi="Times New Roman Regular" w:eastAsia="仿宋_GB2312" w:cs="Times New Roman Regular"/>
          <w:color w:val="000000"/>
          <w:sz w:val="32"/>
          <w:szCs w:val="32"/>
          <w:lang w:bidi="ar"/>
        </w:rPr>
        <w:t>建立链主企业培育机制和“链长制”服务机制，在技术研发、人才、空间、政策等方面加大精准支持力度，推动链主企业做大做强。健全链主与链上企业一体化配套服务，强化纽带利益关联，推动更多企业持续向产业链核心靠拢，加快助推企业能级向价值链高端攀升。依托区域文化企业梯次跨度成长机制，在</w:t>
      </w:r>
      <w:r>
        <w:rPr>
          <w:rFonts w:hint="eastAsia" w:ascii="Times New Roman Regular" w:hAnsi="Times New Roman Regular" w:eastAsia="仿宋_GB2312" w:cs="Times New Roman Regular"/>
          <w:color w:val="000000"/>
          <w:sz w:val="32"/>
          <w:szCs w:val="32"/>
          <w:lang w:eastAsia="zh-CN" w:bidi="ar"/>
        </w:rPr>
        <w:t>数字视听</w:t>
      </w:r>
      <w:r>
        <w:rPr>
          <w:rFonts w:hint="eastAsia" w:ascii="Times New Roman Regular" w:hAnsi="Times New Roman Regular" w:eastAsia="仿宋_GB2312" w:cs="Times New Roman Regular"/>
          <w:color w:val="000000"/>
          <w:sz w:val="32"/>
          <w:szCs w:val="32"/>
          <w:lang w:bidi="ar"/>
        </w:rPr>
        <w:t>、</w:t>
      </w:r>
      <w:r>
        <w:rPr>
          <w:rFonts w:hint="eastAsia" w:ascii="Times New Roman Regular" w:hAnsi="Times New Roman Regular" w:eastAsia="仿宋_GB2312" w:cs="Times New Roman Regular"/>
          <w:color w:val="000000"/>
          <w:sz w:val="32"/>
          <w:szCs w:val="32"/>
          <w:lang w:eastAsia="zh-CN" w:bidi="ar"/>
        </w:rPr>
        <w:t>数字文娱</w:t>
      </w:r>
      <w:r>
        <w:rPr>
          <w:rFonts w:hint="eastAsia" w:ascii="Times New Roman Regular" w:hAnsi="Times New Roman Regular" w:eastAsia="仿宋_GB2312" w:cs="Times New Roman Regular"/>
          <w:color w:val="000000"/>
          <w:sz w:val="32"/>
          <w:szCs w:val="32"/>
          <w:lang w:bidi="ar"/>
        </w:rPr>
        <w:t>、</w:t>
      </w:r>
      <w:r>
        <w:rPr>
          <w:rFonts w:hint="eastAsia" w:ascii="Times New Roman Regular" w:hAnsi="Times New Roman Regular" w:eastAsia="仿宋_GB2312" w:cs="Times New Roman Regular"/>
          <w:color w:val="000000"/>
          <w:sz w:val="32"/>
          <w:szCs w:val="32"/>
          <w:lang w:eastAsia="zh-CN" w:bidi="ar"/>
        </w:rPr>
        <w:t>数字出版</w:t>
      </w:r>
      <w:r>
        <w:rPr>
          <w:rFonts w:hint="eastAsia" w:ascii="Times New Roman Regular" w:hAnsi="Times New Roman Regular" w:eastAsia="仿宋_GB2312" w:cs="Times New Roman Regular"/>
          <w:color w:val="000000"/>
          <w:sz w:val="32"/>
          <w:szCs w:val="32"/>
          <w:lang w:bidi="ar"/>
        </w:rPr>
        <w:t>、</w:t>
      </w:r>
      <w:r>
        <w:rPr>
          <w:rFonts w:hint="eastAsia" w:ascii="Times New Roman Regular" w:hAnsi="Times New Roman Regular" w:eastAsia="仿宋_GB2312" w:cs="Times New Roman Regular"/>
          <w:color w:val="000000"/>
          <w:sz w:val="32"/>
          <w:szCs w:val="32"/>
          <w:lang w:val="en-US" w:eastAsia="zh-CN" w:bidi="ar"/>
        </w:rPr>
        <w:t>IP潮玩</w:t>
      </w:r>
      <w:r>
        <w:rPr>
          <w:rFonts w:hint="eastAsia" w:ascii="Times New Roman Regular" w:hAnsi="Times New Roman Regular" w:eastAsia="仿宋_GB2312" w:cs="Times New Roman Regular"/>
          <w:color w:val="000000"/>
          <w:sz w:val="32"/>
          <w:szCs w:val="32"/>
          <w:lang w:bidi="ar"/>
        </w:rPr>
        <w:t>等细分赛道，培育一批掌握核心技术、商业模式独特、市场前景广阔的“专精特新”企业、小巨人企业和独角兽企业。进一步强化链主企业辐射带动作用，深化与</w:t>
      </w:r>
      <w:r>
        <w:rPr>
          <w:rFonts w:hint="eastAsia" w:ascii="Times New Roman Regular" w:hAnsi="Times New Roman Regular" w:eastAsia="仿宋_GB2312" w:cs="Times New Roman Regular"/>
          <w:color w:val="000000"/>
          <w:sz w:val="32"/>
          <w:szCs w:val="32"/>
          <w:lang w:eastAsia="zh-CN" w:bidi="ar"/>
        </w:rPr>
        <w:t>龙头链主企业</w:t>
      </w:r>
      <w:r>
        <w:rPr>
          <w:rFonts w:hint="eastAsia" w:ascii="Times New Roman Regular" w:hAnsi="Times New Roman Regular" w:eastAsia="仿宋_GB2312" w:cs="Times New Roman Regular"/>
          <w:color w:val="000000"/>
          <w:sz w:val="32"/>
          <w:szCs w:val="32"/>
          <w:lang w:bidi="ar"/>
        </w:rPr>
        <w:t>战略合作，鼓励其开放供应链、技术平台、市场渠道资源，牵头组建产业联盟或创新联合体，促进产业链供应链纵深拓展、耦合升级，增强产业链稳定性和竞争力。</w:t>
      </w:r>
    </w:p>
    <w:p w14:paraId="5B5A37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Regular" w:hAnsi="Times New Roman Regular" w:eastAsia="仿宋_GB2312" w:cs="Times New Roman Regular"/>
          <w:color w:val="000000"/>
          <w:sz w:val="32"/>
          <w:szCs w:val="32"/>
          <w:lang w:bidi="ar"/>
        </w:rPr>
      </w:pPr>
      <w:r>
        <w:rPr>
          <w:rFonts w:hint="eastAsia" w:ascii="仿宋_GB2312" w:hAnsi="仿宋_GB2312" w:eastAsia="仿宋_GB2312" w:cs="仿宋_GB2312"/>
          <w:b/>
          <w:bCs/>
          <w:sz w:val="32"/>
          <w:szCs w:val="32"/>
        </w:rPr>
        <w:t>深耕强链补链延链建链。</w:t>
      </w:r>
      <w:r>
        <w:rPr>
          <w:rFonts w:hint="eastAsia" w:ascii="Times New Roman Regular" w:hAnsi="Times New Roman Regular" w:eastAsia="仿宋_GB2312" w:cs="Times New Roman Regular"/>
          <w:color w:val="000000"/>
          <w:sz w:val="32"/>
          <w:szCs w:val="32"/>
          <w:lang w:bidi="ar"/>
        </w:rPr>
        <w:t>梳理文化产业各领域上下游链条，明确重点环节，加快推动优势产业强链、短板产业补链、传统产业升链、新兴产业建链。聚焦</w:t>
      </w:r>
      <w:r>
        <w:rPr>
          <w:rFonts w:hint="eastAsia" w:ascii="Times New Roman Regular" w:hAnsi="Times New Roman Regular" w:eastAsia="仿宋_GB2312" w:cs="Times New Roman Regular"/>
          <w:color w:val="000000"/>
          <w:sz w:val="32"/>
          <w:szCs w:val="32"/>
          <w:lang w:eastAsia="zh-CN" w:bidi="ar"/>
        </w:rPr>
        <w:t>影视、广告等</w:t>
      </w:r>
      <w:r>
        <w:rPr>
          <w:rFonts w:hint="eastAsia" w:ascii="Times New Roman Regular" w:hAnsi="Times New Roman Regular" w:eastAsia="仿宋_GB2312" w:cs="Times New Roman Regular"/>
          <w:color w:val="000000"/>
          <w:sz w:val="32"/>
          <w:szCs w:val="32"/>
          <w:lang w:bidi="ar"/>
        </w:rPr>
        <w:t>完善的产业生态，推动XR虚拟拍摄棚、渲染算力中心、数字人营销等公共技术服务平台建设，</w:t>
      </w:r>
      <w:r>
        <w:rPr>
          <w:rFonts w:hint="eastAsia" w:ascii="仿宋_GB2312" w:hAnsi="仿宋_GB2312" w:eastAsia="仿宋_GB2312" w:cs="仿宋_GB2312"/>
          <w:sz w:val="32"/>
          <w:szCs w:val="32"/>
        </w:rPr>
        <w:t>集中资源重点在数字影视制作、发行和数字广告内容创作、营销等核心领域构筑领先优势，</w:t>
      </w:r>
      <w:r>
        <w:rPr>
          <w:rFonts w:hint="eastAsia" w:ascii="Times New Roman Regular" w:hAnsi="Times New Roman Regular" w:eastAsia="仿宋_GB2312" w:cs="Times New Roman Regular"/>
          <w:color w:val="000000"/>
          <w:sz w:val="32"/>
          <w:szCs w:val="32"/>
          <w:lang w:bidi="ar"/>
        </w:rPr>
        <w:t>增强关键链条科技赋能，提升行业链群韧性。加强</w:t>
      </w:r>
      <w:r>
        <w:rPr>
          <w:rFonts w:hint="eastAsia" w:ascii="Times New Roman Regular" w:hAnsi="Times New Roman Regular" w:eastAsia="仿宋_GB2312" w:cs="Times New Roman Regular"/>
          <w:color w:val="000000"/>
          <w:sz w:val="32"/>
          <w:szCs w:val="32"/>
          <w:lang w:eastAsia="zh-CN" w:bidi="ar"/>
        </w:rPr>
        <w:t>数字文娱</w:t>
      </w:r>
      <w:r>
        <w:rPr>
          <w:rFonts w:hint="eastAsia" w:ascii="Times New Roman Regular" w:hAnsi="Times New Roman Regular" w:eastAsia="仿宋_GB2312" w:cs="Times New Roman Regular"/>
          <w:color w:val="000000"/>
          <w:sz w:val="32"/>
          <w:szCs w:val="32"/>
          <w:lang w:bidi="ar"/>
        </w:rPr>
        <w:t>、</w:t>
      </w:r>
      <w:r>
        <w:rPr>
          <w:rFonts w:hint="eastAsia" w:ascii="Times New Roman Regular" w:hAnsi="Times New Roman Regular" w:eastAsia="仿宋_GB2312" w:cs="Times New Roman Regular"/>
          <w:color w:val="000000"/>
          <w:sz w:val="32"/>
          <w:szCs w:val="32"/>
          <w:lang w:eastAsia="zh-CN" w:bidi="ar"/>
        </w:rPr>
        <w:t>数字出版、</w:t>
      </w:r>
      <w:r>
        <w:rPr>
          <w:rFonts w:hint="eastAsia" w:ascii="Times New Roman Regular" w:hAnsi="Times New Roman Regular" w:eastAsia="仿宋_GB2312" w:cs="Times New Roman Regular"/>
          <w:color w:val="000000"/>
          <w:sz w:val="32"/>
          <w:szCs w:val="32"/>
          <w:lang w:bidi="ar"/>
        </w:rPr>
        <w:t>游戏电竞、</w:t>
      </w:r>
      <w:r>
        <w:rPr>
          <w:rFonts w:hint="eastAsia" w:ascii="Times New Roman Regular" w:hAnsi="Times New Roman Regular" w:eastAsia="仿宋_GB2312" w:cs="Times New Roman Regular"/>
          <w:color w:val="000000"/>
          <w:sz w:val="32"/>
          <w:szCs w:val="32"/>
          <w:lang w:val="en-US" w:eastAsia="zh-CN" w:bidi="ar"/>
        </w:rPr>
        <w:t>IP潮玩</w:t>
      </w:r>
      <w:r>
        <w:rPr>
          <w:rFonts w:hint="eastAsia" w:ascii="Times New Roman Regular" w:hAnsi="Times New Roman Regular" w:eastAsia="仿宋_GB2312" w:cs="Times New Roman Regular"/>
          <w:color w:val="000000"/>
          <w:sz w:val="32"/>
          <w:szCs w:val="32"/>
          <w:lang w:bidi="ar"/>
        </w:rPr>
        <w:t>特色产业补链延链，靶向招引</w:t>
      </w:r>
      <w:r>
        <w:rPr>
          <w:rFonts w:hint="eastAsia" w:ascii="Times New Roman Regular" w:hAnsi="Times New Roman Regular" w:eastAsia="仿宋_GB2312" w:cs="Times New Roman Regular"/>
          <w:color w:val="000000"/>
          <w:sz w:val="32"/>
          <w:szCs w:val="32"/>
          <w:lang w:eastAsia="zh-CN" w:bidi="ar"/>
        </w:rPr>
        <w:t>网文原创</w:t>
      </w:r>
      <w:r>
        <w:rPr>
          <w:rFonts w:hint="eastAsia" w:ascii="Times New Roman Regular" w:hAnsi="Times New Roman Regular" w:eastAsia="仿宋_GB2312" w:cs="Times New Roman Regular"/>
          <w:color w:val="000000"/>
          <w:sz w:val="32"/>
          <w:szCs w:val="32"/>
          <w:lang w:bidi="ar"/>
        </w:rPr>
        <w:t>、游戏研发、艺人经纪、潮玩消费等细分头部企业，依托文化园区、场馆等空间载体，提供资源对接、成果转化、场景应用等一站式服务，补齐产业链短板环节，延伸升级发展链条。锚定AIGC、超高清、元宇宙、文化智能装备等未来新兴产业，结合区域发展优势，加大链条企业布局培育，厚培产业生态，构筑未来发展基础优势。</w:t>
      </w:r>
    </w:p>
    <w:p w14:paraId="5DECA3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sz w:val="32"/>
          <w:szCs w:val="32"/>
        </w:rPr>
        <w:sectPr>
          <w:pgSz w:w="11906" w:h="16838"/>
          <w:pgMar w:top="1417" w:right="1474" w:bottom="1417" w:left="1587" w:header="851" w:footer="992" w:gutter="0"/>
          <w:pgNumType w:fmt="decimal"/>
          <w:cols w:space="0" w:num="1"/>
          <w:rtlGutter w:val="0"/>
          <w:docGrid w:type="lines" w:linePitch="315" w:charSpace="0"/>
        </w:sectPr>
      </w:pPr>
      <w:r>
        <w:rPr>
          <w:rFonts w:hint="eastAsia" w:ascii="仿宋_GB2312" w:hAnsi="仿宋_GB2312" w:eastAsia="仿宋_GB2312" w:cs="仿宋_GB2312"/>
          <w:b/>
          <w:bCs/>
          <w:sz w:val="32"/>
          <w:szCs w:val="32"/>
        </w:rPr>
        <w:t>构建链群圈层产业生态。</w:t>
      </w:r>
      <w:r>
        <w:rPr>
          <w:rFonts w:hint="eastAsia" w:ascii="仿宋_GB2312" w:hAnsi="仿宋_GB2312" w:eastAsia="仿宋_GB2312" w:cs="仿宋_GB2312"/>
          <w:sz w:val="32"/>
          <w:szCs w:val="32"/>
        </w:rPr>
        <w:t>立足文化产业圈层化、网络化的特质，围绕重点领域，着力培育一批由文化链主企业主导的产业链群，强化核心圈层的引领效能。健全文化产业不同领域跨链协同机制，搭建高效能的跨链融通平台，促进链群主体深度对接与资源共享，推动链群间实现相互赋能、关联共生与生态共建。鼓励引导文化产业园区、基地以龙头企业为牵引，加快实现关联企业集聚、产业集群发展、资源集约利用和功能集成优化，打造细分领域、特色空间的“链群”微生态。深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图谱招商”模式，聚焦全国文化产业大生态的关键枢纽与价值高地，引导文化领域头部企业吸引生态伙伴集群布局，通过跨链组合裂变与产业集群崛起，推动圈层生态规模扩展，最终形成区域链条强生态、全国文化产业大循环强引领的群链格局。</w:t>
      </w:r>
    </w:p>
    <w:p w14:paraId="5A06CD0A">
      <w:pPr>
        <w:widowControl w:val="0"/>
        <w:autoSpaceDE w:val="0"/>
        <w:autoSpaceDN w:val="0"/>
        <w:adjustRightInd w:val="0"/>
        <w:spacing w:before="312" w:beforeLines="100" w:after="312" w:afterLines="100" w:line="560" w:lineRule="exact"/>
        <w:jc w:val="center"/>
        <w:outlineLvl w:val="0"/>
        <w:rPr>
          <w:rFonts w:ascii="方正小标宋简体" w:hAnsi="方正小标宋简体" w:eastAsia="方正小标宋简体" w:cs="方正小标宋简体"/>
          <w:bCs/>
          <w:color w:val="000000"/>
          <w:sz w:val="36"/>
          <w:szCs w:val="36"/>
          <w:lang w:val="en-US" w:eastAsia="zh-CN" w:bidi="ar-SA"/>
        </w:rPr>
      </w:pPr>
      <w:bookmarkStart w:id="65" w:name="_Toc12869"/>
      <w:r>
        <w:rPr>
          <w:rFonts w:hint="eastAsia" w:ascii="方正小标宋简体" w:hAnsi="方正小标宋简体" w:eastAsia="方正小标宋简体" w:cs="方正小标宋简体"/>
          <w:bCs/>
          <w:color w:val="000000"/>
          <w:sz w:val="36"/>
          <w:szCs w:val="36"/>
          <w:lang w:val="en-US" w:eastAsia="zh-CN" w:bidi="ar-SA"/>
        </w:rPr>
        <w:t>第四章</w:t>
      </w:r>
      <w:r>
        <w:rPr>
          <w:rFonts w:hint="eastAsia" w:ascii="仿宋_GB2312" w:hAnsi="仿宋_GB2312" w:eastAsia="仿宋_GB2312" w:cs="仿宋_GB2312"/>
          <w:bCs/>
          <w:color w:val="000000"/>
          <w:sz w:val="36"/>
          <w:szCs w:val="36"/>
          <w:lang w:val="en-US" w:eastAsia="zh-CN" w:bidi="ar-SA"/>
        </w:rPr>
        <w:t xml:space="preserve"> </w:t>
      </w:r>
      <w:r>
        <w:rPr>
          <w:rFonts w:hint="eastAsia" w:ascii="方正小标宋简体" w:hAnsi="方正小标宋简体" w:eastAsia="方正小标宋简体" w:cs="方正小标宋简体"/>
          <w:bCs/>
          <w:color w:val="000000"/>
          <w:sz w:val="36"/>
          <w:szCs w:val="36"/>
          <w:lang w:val="en-US" w:eastAsia="zh-CN" w:bidi="ar-SA"/>
        </w:rPr>
        <w:t>优化“两廊四片区百园”空间布局</w:t>
      </w:r>
      <w:bookmarkEnd w:id="65"/>
    </w:p>
    <w:p w14:paraId="42386FDC">
      <w:pPr>
        <w:widowControl w:val="0"/>
        <w:autoSpaceDE w:val="0"/>
        <w:autoSpaceDN w:val="0"/>
        <w:adjustRightInd w:val="0"/>
        <w:spacing w:line="560" w:lineRule="exact"/>
        <w:ind w:firstLine="640" w:firstLineChars="200"/>
        <w:jc w:val="both"/>
        <w:rPr>
          <w:rFonts w:ascii="Times New Roman Regular" w:hAnsi="Times New Roman Regular" w:eastAsia="仿宋_GB2312" w:cs="Times New Roman Regular"/>
          <w:color w:val="auto"/>
          <w:kern w:val="2"/>
          <w:sz w:val="32"/>
          <w:szCs w:val="32"/>
          <w:lang w:val="en-US" w:eastAsia="zh-CN" w:bidi="ar-SA"/>
        </w:rPr>
      </w:pPr>
      <w:r>
        <w:rPr>
          <w:rFonts w:hint="eastAsia" w:ascii="Times New Roman Regular" w:hAnsi="Times New Roman Regular" w:eastAsia="仿宋_GB2312" w:cs="Times New Roman Regular"/>
          <w:color w:val="auto"/>
          <w:kern w:val="2"/>
          <w:sz w:val="32"/>
          <w:szCs w:val="32"/>
          <w:lang w:val="en-US" w:eastAsia="zh-CN" w:bidi="ar-SA"/>
        </w:rPr>
        <w:t>发挥区域资源禀赋、产业特色和发展优势，加强在功能定位、产业业态和链群生态方面的聚合联动，提升产业链现代化水平和创新链效能，优化构建协同创新、融合发展的</w:t>
      </w:r>
      <w:r>
        <w:rPr>
          <w:rFonts w:hint="eastAsia" w:ascii="Times New Roman Regular" w:hAnsi="Times New Roman Regular" w:eastAsia="仿宋_GB2312" w:cs="Times New Roman Regular"/>
          <w:color w:val="auto"/>
          <w:kern w:val="2"/>
          <w:sz w:val="32"/>
          <w:szCs w:val="32"/>
          <w:highlight w:val="none"/>
          <w:lang w:val="en-US" w:eastAsia="zh-CN" w:bidi="ar-SA"/>
        </w:rPr>
        <w:t>“两廊四片区百园”</w:t>
      </w:r>
      <w:r>
        <w:rPr>
          <w:rFonts w:hint="eastAsia" w:ascii="Times New Roman Regular" w:hAnsi="Times New Roman Regular" w:eastAsia="仿宋_GB2312" w:cs="Times New Roman Regular"/>
          <w:color w:val="auto"/>
          <w:kern w:val="2"/>
          <w:sz w:val="32"/>
          <w:szCs w:val="32"/>
          <w:lang w:val="en-US" w:eastAsia="zh-CN" w:bidi="ar-SA"/>
        </w:rPr>
        <w:t>发展新格局。</w:t>
      </w:r>
    </w:p>
    <w:p w14:paraId="59F31DE3">
      <w:pPr>
        <w:widowControl w:val="0"/>
        <w:autoSpaceDE w:val="0"/>
        <w:autoSpaceDN w:val="0"/>
        <w:adjustRightInd w:val="0"/>
        <w:spacing w:before="156" w:beforeLines="50" w:after="156" w:afterLines="50" w:line="560" w:lineRule="exact"/>
        <w:jc w:val="center"/>
        <w:outlineLvl w:val="1"/>
        <w:rPr>
          <w:rFonts w:ascii="Times New Roman Regular" w:hAnsi="Times New Roman Regular" w:eastAsia="仿宋_GB2312" w:cs="Times New Roman Regular"/>
          <w:b w:val="0"/>
          <w:bCs/>
          <w:color w:val="auto"/>
          <w:kern w:val="2"/>
          <w:sz w:val="32"/>
          <w:szCs w:val="32"/>
          <w:lang w:val="en-US" w:eastAsia="zh-CN" w:bidi="ar-SA"/>
        </w:rPr>
      </w:pPr>
      <w:bookmarkStart w:id="66" w:name="_Toc21202"/>
      <w:r>
        <w:rPr>
          <w:rFonts w:hint="eastAsia" w:ascii="楷体_GB2312" w:hAnsi="楷体_GB2312" w:eastAsia="楷体_GB2312" w:cs="楷体_GB2312"/>
          <w:b w:val="0"/>
          <w:bCs/>
          <w:color w:val="000000"/>
          <w:sz w:val="32"/>
          <w:szCs w:val="32"/>
          <w:lang w:val="en-US" w:eastAsia="zh-CN" w:bidi="ar-SA"/>
        </w:rPr>
        <w:t>第一节 深化</w:t>
      </w:r>
      <w:r>
        <w:rPr>
          <w:rFonts w:hint="default" w:ascii="Times New Roman" w:hAnsi="Times New Roman" w:eastAsia="楷体_GB2312" w:cs="Times New Roman"/>
          <w:b w:val="0"/>
          <w:bCs/>
          <w:color w:val="000000"/>
          <w:sz w:val="32"/>
          <w:szCs w:val="32"/>
          <w:lang w:val="en-US" w:eastAsia="zh-CN" w:bidi="ar-SA"/>
        </w:rPr>
        <w:t>CBD</w:t>
      </w:r>
      <w:r>
        <w:rPr>
          <w:rFonts w:hint="eastAsia" w:ascii="宋体" w:hAnsi="宋体" w:eastAsia="宋体" w:cs="宋体"/>
          <w:b w:val="0"/>
          <w:bCs/>
          <w:color w:val="000000"/>
          <w:sz w:val="32"/>
          <w:szCs w:val="32"/>
          <w:lang w:val="en-US" w:eastAsia="zh-CN" w:bidi="ar-SA"/>
        </w:rPr>
        <w:t>－</w:t>
      </w:r>
      <w:r>
        <w:rPr>
          <w:rFonts w:hint="eastAsia" w:ascii="楷体_GB2312" w:hAnsi="楷体_GB2312" w:eastAsia="楷体_GB2312" w:cs="楷体_GB2312"/>
          <w:b w:val="0"/>
          <w:bCs/>
          <w:color w:val="000000"/>
          <w:sz w:val="32"/>
          <w:szCs w:val="32"/>
          <w:lang w:val="en-US" w:eastAsia="zh-CN" w:bidi="ar-SA"/>
        </w:rPr>
        <w:t>定福庄国际文化传媒产业走廊建设</w:t>
      </w:r>
      <w:bookmarkEnd w:id="66"/>
    </w:p>
    <w:p w14:paraId="5993B3E8">
      <w:pPr>
        <w:widowControl/>
        <w:spacing w:line="560" w:lineRule="exact"/>
        <w:ind w:firstLine="640" w:firstLineChars="200"/>
        <w:rPr>
          <w:rFonts w:ascii="仿宋_GB2312" w:hAnsi="仿宋_GB2312" w:eastAsia="仿宋_GB2312" w:cs="仿宋_GB2312"/>
          <w:color w:val="000000"/>
          <w:sz w:val="32"/>
          <w:szCs w:val="32"/>
          <w:lang w:bidi="ar"/>
        </w:rPr>
      </w:pPr>
      <w:r>
        <w:rPr>
          <w:rFonts w:hint="eastAsia" w:ascii="Times New Roman" w:hAnsi="Times New Roman" w:eastAsia="仿宋_GB2312" w:cs="Times New Roman"/>
          <w:sz w:val="32"/>
          <w:szCs w:val="32"/>
          <w:lang w:eastAsia="zh-CN" w:bidi="ar"/>
        </w:rPr>
        <w:t>深入</w:t>
      </w:r>
      <w:r>
        <w:rPr>
          <w:rFonts w:hint="eastAsia" w:ascii="Times New Roman" w:hAnsi="Times New Roman" w:eastAsia="仿宋_GB2312" w:cs="Times New Roman"/>
          <w:color w:val="auto"/>
          <w:sz w:val="32"/>
          <w:szCs w:val="32"/>
          <w:lang w:eastAsia="zh-CN" w:bidi="ar"/>
        </w:rPr>
        <w:t>推进CBD</w:t>
      </w:r>
      <w:r>
        <w:rPr>
          <w:rFonts w:hint="eastAsia" w:ascii="宋体" w:hAnsi="宋体" w:eastAsia="宋体" w:cs="宋体"/>
          <w:color w:val="auto"/>
          <w:sz w:val="32"/>
          <w:szCs w:val="32"/>
          <w:lang w:eastAsia="zh-CN" w:bidi="ar"/>
        </w:rPr>
        <w:t>－</w:t>
      </w:r>
      <w:r>
        <w:rPr>
          <w:rFonts w:hint="eastAsia" w:ascii="Times New Roman" w:hAnsi="Times New Roman" w:eastAsia="仿宋_GB2312" w:cs="Times New Roman"/>
          <w:color w:val="auto"/>
          <w:sz w:val="32"/>
          <w:szCs w:val="32"/>
          <w:lang w:eastAsia="zh-CN" w:bidi="ar"/>
        </w:rPr>
        <w:t>定福庄国际文化传媒产业</w:t>
      </w:r>
      <w:r>
        <w:rPr>
          <w:rFonts w:hint="eastAsia" w:ascii="仿宋_GB2312" w:hAnsi="仿宋_GB2312" w:eastAsia="仿宋_GB2312" w:cs="仿宋_GB2312"/>
          <w:color w:val="000000"/>
          <w:sz w:val="32"/>
          <w:szCs w:val="32"/>
          <w:lang w:eastAsia="zh-CN" w:bidi="ar"/>
        </w:rPr>
        <w:t>走廊提质升级，</w:t>
      </w:r>
      <w:r>
        <w:rPr>
          <w:rFonts w:hint="eastAsia" w:ascii="Times New Roman" w:hAnsi="Times New Roman" w:eastAsia="仿宋_GB2312" w:cs="Times New Roman"/>
          <w:color w:val="auto"/>
          <w:sz w:val="32"/>
          <w:szCs w:val="32"/>
          <w:lang w:eastAsia="zh-CN" w:bidi="ar"/>
        </w:rPr>
        <w:t>高水平建设国家文化产业创新实验区</w:t>
      </w:r>
      <w:r>
        <w:rPr>
          <w:rFonts w:hint="eastAsia" w:ascii="仿宋_GB2312" w:hAnsi="仿宋_GB2312" w:eastAsia="仿宋_GB2312" w:cs="仿宋_GB2312"/>
          <w:color w:val="000000"/>
          <w:sz w:val="32"/>
          <w:szCs w:val="32"/>
          <w:lang w:bidi="ar"/>
        </w:rPr>
        <w:t>。立足高端要素整合，聚力培育数字视听、数字出版等新业态，推动文化传媒等传统优势行业转型升级，加快构建高端文化产业体系</w:t>
      </w:r>
      <w:r>
        <w:rPr>
          <w:rFonts w:hint="eastAsia" w:ascii="仿宋_GB2312" w:hAnsi="仿宋_GB2312" w:eastAsia="仿宋_GB2312" w:cs="仿宋_GB2312"/>
          <w:color w:val="000000"/>
          <w:sz w:val="32"/>
          <w:szCs w:val="32"/>
          <w:lang w:eastAsia="zh-CN" w:bidi="ar"/>
        </w:rPr>
        <w:t>。</w:t>
      </w:r>
      <w:r>
        <w:rPr>
          <w:rFonts w:hint="eastAsia" w:ascii="仿宋_GB2312" w:hAnsi="仿宋_GB2312" w:eastAsia="仿宋_GB2312" w:cs="仿宋_GB2312"/>
          <w:color w:val="000000"/>
          <w:sz w:val="32"/>
          <w:szCs w:val="32"/>
          <w:lang w:bidi="ar"/>
        </w:rPr>
        <w:t>持续增强</w:t>
      </w:r>
      <w:r>
        <w:rPr>
          <w:rFonts w:hint="eastAsia" w:ascii="仿宋_GB2312" w:hAnsi="仿宋_GB2312" w:eastAsia="仿宋_GB2312" w:cs="仿宋_GB2312"/>
          <w:color w:val="000000"/>
          <w:sz w:val="32"/>
          <w:szCs w:val="32"/>
          <w:lang w:eastAsia="zh-CN" w:bidi="ar"/>
        </w:rPr>
        <w:t>国家文化产业创新</w:t>
      </w:r>
      <w:r>
        <w:rPr>
          <w:rFonts w:hint="eastAsia" w:ascii="仿宋_GB2312" w:hAnsi="仿宋_GB2312" w:eastAsia="仿宋_GB2312" w:cs="仿宋_GB2312"/>
          <w:color w:val="000000"/>
          <w:sz w:val="32"/>
          <w:szCs w:val="32"/>
          <w:lang w:bidi="ar"/>
        </w:rPr>
        <w:t>实验区示范带动作用，通过功能拓展、产业升级、生态构建多维发力，</w:t>
      </w:r>
      <w:r>
        <w:rPr>
          <w:rFonts w:hint="eastAsia" w:ascii="仿宋_GB2312" w:hAnsi="仿宋_GB2312" w:eastAsia="仿宋_GB2312" w:cs="仿宋_GB2312"/>
          <w:color w:val="000000"/>
          <w:sz w:val="32"/>
          <w:szCs w:val="32"/>
          <w:lang w:eastAsia="zh-CN" w:bidi="ar"/>
        </w:rPr>
        <w:t>推动走廊</w:t>
      </w:r>
      <w:r>
        <w:rPr>
          <w:rFonts w:hint="eastAsia" w:ascii="仿宋_GB2312" w:hAnsi="仿宋_GB2312" w:eastAsia="仿宋_GB2312" w:cs="仿宋_GB2312"/>
          <w:color w:val="000000"/>
          <w:sz w:val="32"/>
          <w:szCs w:val="32"/>
          <w:lang w:bidi="ar"/>
        </w:rPr>
        <w:t>实现高质量发展。</w:t>
      </w:r>
      <w:r>
        <w:rPr>
          <w:rFonts w:hint="eastAsia" w:ascii="Times New Roman" w:hAnsi="Times New Roman" w:eastAsia="仿宋_GB2312"/>
          <w:sz w:val="32"/>
          <w:szCs w:val="32"/>
        </w:rPr>
        <w:t>强化CBD、</w:t>
      </w:r>
      <w:r>
        <w:rPr>
          <w:rFonts w:hint="eastAsia" w:ascii="Times New Roman" w:hAnsi="Times New Roman" w:eastAsia="仿宋_GB2312"/>
          <w:sz w:val="32"/>
          <w:szCs w:val="32"/>
          <w:lang w:eastAsia="zh-CN"/>
        </w:rPr>
        <w:t>定福庄区域国际商务资源、产学研协同</w:t>
      </w:r>
      <w:r>
        <w:rPr>
          <w:rFonts w:hint="eastAsia" w:ascii="Times New Roman" w:hAnsi="Times New Roman" w:eastAsia="仿宋_GB2312"/>
          <w:sz w:val="32"/>
          <w:szCs w:val="32"/>
        </w:rPr>
        <w:t>引擎效能，打造文化产业跨界融合策源地。依托CBD区域集团总部集聚，投行保险、律所咨询、版权交易等金融商务</w:t>
      </w:r>
      <w:r>
        <w:rPr>
          <w:rFonts w:hint="eastAsia" w:ascii="仿宋_GB2312" w:hAnsi="仿宋_GB2312" w:eastAsia="仿宋_GB2312" w:cs="仿宋_GB2312"/>
          <w:color w:val="000000"/>
          <w:sz w:val="32"/>
          <w:szCs w:val="32"/>
          <w:lang w:bidi="ar"/>
        </w:rPr>
        <w:t>服务业发达的优势，吸引新兴传媒机构、传播平台运营商及旗舰型文化企业、文化组织、行业协会等主体入驻，推动文化贸易、文化消费、文化投资升级发展，提升“文化</w:t>
      </w:r>
      <w:r>
        <w:rPr>
          <w:rFonts w:hint="default" w:ascii="Times New Roman" w:hAnsi="Times New Roman" w:eastAsia="仿宋_GB2312" w:cs="Times New Roman"/>
          <w:snapToGrid w:val="0"/>
          <w:color w:val="000000"/>
          <w:kern w:val="0"/>
          <w:sz w:val="32"/>
          <w:szCs w:val="40"/>
          <w:highlight w:val="none"/>
          <w:lang w:val="en-US" w:eastAsia="zh-CN" w:bidi="ar-SA"/>
        </w:rPr>
        <w:t>+</w:t>
      </w:r>
      <w:r>
        <w:rPr>
          <w:rFonts w:hint="eastAsia" w:ascii="仿宋_GB2312" w:hAnsi="仿宋_GB2312" w:eastAsia="仿宋_GB2312" w:cs="仿宋_GB2312"/>
          <w:color w:val="000000"/>
          <w:sz w:val="32"/>
          <w:szCs w:val="32"/>
          <w:lang w:bidi="ar"/>
        </w:rPr>
        <w:t>商务”融合效能，构建完善的国际文化商务生态圈。发挥定福庄</w:t>
      </w:r>
      <w:r>
        <w:rPr>
          <w:rFonts w:hint="eastAsia" w:ascii="仿宋_GB2312" w:hAnsi="仿宋_GB2312" w:eastAsia="仿宋_GB2312" w:cs="仿宋_GB2312"/>
          <w:color w:val="000000"/>
          <w:sz w:val="32"/>
          <w:szCs w:val="32"/>
          <w:lang w:eastAsia="zh-CN" w:bidi="ar"/>
        </w:rPr>
        <w:t>区域</w:t>
      </w:r>
      <w:r>
        <w:rPr>
          <w:rFonts w:hint="eastAsia" w:ascii="仿宋_GB2312" w:hAnsi="仿宋_GB2312" w:eastAsia="仿宋_GB2312" w:cs="仿宋_GB2312"/>
          <w:color w:val="000000"/>
          <w:sz w:val="32"/>
          <w:szCs w:val="32"/>
          <w:lang w:bidi="ar"/>
        </w:rPr>
        <w:t>中国传媒大学</w:t>
      </w:r>
      <w:r>
        <w:rPr>
          <w:rFonts w:hint="eastAsia" w:ascii="仿宋_GB2312" w:hAnsi="仿宋_GB2312" w:eastAsia="仿宋_GB2312" w:cs="仿宋_GB2312"/>
          <w:color w:val="000000"/>
          <w:sz w:val="32"/>
          <w:szCs w:val="32"/>
          <w:lang w:eastAsia="zh-CN" w:bidi="ar"/>
        </w:rPr>
        <w:t>、北京第二外国语学院</w:t>
      </w:r>
      <w:r>
        <w:rPr>
          <w:rFonts w:hint="eastAsia" w:ascii="仿宋_GB2312" w:hAnsi="仿宋_GB2312" w:eastAsia="仿宋_GB2312" w:cs="仿宋_GB2312"/>
          <w:color w:val="000000"/>
          <w:sz w:val="32"/>
          <w:szCs w:val="32"/>
          <w:lang w:bidi="ar"/>
        </w:rPr>
        <w:t>等高校智库资源优势，健全产学研用协同机制，加速推进数字传媒、网游电竞、数字动画等创新研发、成果转化，构建覆盖全链条、整合全要素的文化创新体系。</w:t>
      </w:r>
    </w:p>
    <w:p w14:paraId="6DB90755">
      <w:pPr>
        <w:keepNext w:val="0"/>
        <w:keepLines w:val="0"/>
        <w:pageBreakBefore w:val="0"/>
        <w:widowControl w:val="0"/>
        <w:numPr>
          <w:ilvl w:val="0"/>
          <w:numId w:val="3"/>
        </w:numPr>
        <w:kinsoku/>
        <w:wordWrap/>
        <w:overflowPunct/>
        <w:topLinePunct w:val="0"/>
        <w:autoSpaceDE w:val="0"/>
        <w:autoSpaceDN w:val="0"/>
        <w:bidi w:val="0"/>
        <w:adjustRightInd w:val="0"/>
        <w:snapToGrid/>
        <w:spacing w:before="156" w:beforeLines="50" w:after="156" w:afterLines="50" w:line="560" w:lineRule="exact"/>
        <w:jc w:val="center"/>
        <w:textAlignment w:val="auto"/>
        <w:outlineLvl w:val="1"/>
        <w:rPr>
          <w:rFonts w:ascii="楷体_GB2312" w:hAnsi="楷体_GB2312" w:eastAsia="楷体_GB2312" w:cs="楷体_GB2312"/>
          <w:b w:val="0"/>
          <w:bCs w:val="0"/>
          <w:color w:val="000000"/>
          <w:sz w:val="32"/>
          <w:szCs w:val="32"/>
          <w:lang w:val="en-US" w:eastAsia="zh-CN" w:bidi="ar-SA"/>
        </w:rPr>
      </w:pPr>
      <w:bookmarkStart w:id="67" w:name="_Toc6896"/>
      <w:r>
        <w:rPr>
          <w:rFonts w:hint="eastAsia" w:ascii="楷体_GB2312" w:hAnsi="楷体_GB2312" w:eastAsia="楷体_GB2312" w:cs="楷体_GB2312"/>
          <w:b w:val="0"/>
          <w:bCs w:val="0"/>
          <w:color w:val="000000"/>
          <w:sz w:val="32"/>
          <w:szCs w:val="32"/>
          <w:lang w:val="en-US" w:eastAsia="zh-CN" w:bidi="ar-SA"/>
        </w:rPr>
        <w:t>构筑大山子</w:t>
      </w:r>
      <w:r>
        <w:rPr>
          <w:rFonts w:hint="eastAsia" w:ascii="宋体" w:hAnsi="宋体" w:eastAsia="宋体" w:cs="宋体"/>
          <w:b w:val="0"/>
          <w:bCs w:val="0"/>
          <w:color w:val="000000"/>
          <w:sz w:val="32"/>
          <w:szCs w:val="32"/>
          <w:lang w:val="en-US" w:eastAsia="zh-CN" w:bidi="ar-SA"/>
        </w:rPr>
        <w:t>－</w:t>
      </w:r>
      <w:r>
        <w:rPr>
          <w:rFonts w:hint="eastAsia" w:ascii="楷体_GB2312" w:hAnsi="楷体_GB2312" w:eastAsia="楷体_GB2312" w:cs="楷体_GB2312"/>
          <w:b w:val="0"/>
          <w:bCs w:val="0"/>
          <w:color w:val="000000"/>
          <w:sz w:val="32"/>
          <w:szCs w:val="32"/>
          <w:lang w:val="en-US" w:eastAsia="zh-CN" w:bidi="ar-SA"/>
        </w:rPr>
        <w:t>东坝</w:t>
      </w:r>
      <w:r>
        <w:rPr>
          <w:rFonts w:hint="default" w:ascii="Times New Roman" w:hAnsi="Times New Roman" w:eastAsia="楷体_GB2312" w:cs="Times New Roman"/>
          <w:b w:val="0"/>
          <w:bCs w:val="0"/>
          <w:color w:val="000000"/>
          <w:sz w:val="32"/>
          <w:szCs w:val="32"/>
          <w:lang w:val="en-US" w:eastAsia="zh-CN" w:bidi="ar-SA"/>
        </w:rPr>
        <w:t>AIGC</w:t>
      </w:r>
      <w:r>
        <w:rPr>
          <w:rFonts w:hint="eastAsia" w:ascii="楷体_GB2312" w:hAnsi="楷体_GB2312" w:eastAsia="楷体_GB2312" w:cs="楷体_GB2312"/>
          <w:b w:val="0"/>
          <w:bCs w:val="0"/>
          <w:color w:val="000000"/>
          <w:sz w:val="32"/>
          <w:szCs w:val="32"/>
          <w:lang w:val="en-US" w:eastAsia="zh-CN" w:bidi="ar-SA"/>
        </w:rPr>
        <w:t>文化科技创新走廊高地</w:t>
      </w:r>
      <w:bookmarkEnd w:id="67"/>
    </w:p>
    <w:p w14:paraId="115F69AE">
      <w:pPr>
        <w:widowControl/>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围绕望京、酒仙桥、将台、</w:t>
      </w:r>
      <w:r>
        <w:rPr>
          <w:rFonts w:hint="eastAsia" w:ascii="Times New Roman" w:hAnsi="Times New Roman" w:eastAsia="仿宋_GB2312"/>
          <w:sz w:val="32"/>
          <w:szCs w:val="32"/>
          <w:lang w:eastAsia="zh-CN"/>
        </w:rPr>
        <w:t>东湖、</w:t>
      </w:r>
      <w:r>
        <w:rPr>
          <w:rFonts w:hint="eastAsia" w:ascii="Times New Roman" w:hAnsi="Times New Roman" w:eastAsia="仿宋_GB2312"/>
          <w:sz w:val="32"/>
          <w:szCs w:val="32"/>
        </w:rPr>
        <w:t>东坝等重点区域，依托</w:t>
      </w:r>
      <w:r>
        <w:rPr>
          <w:rFonts w:hint="eastAsia" w:ascii="Times New Roman" w:hAnsi="Times New Roman" w:eastAsia="仿宋_GB2312"/>
          <w:sz w:val="32"/>
          <w:szCs w:val="32"/>
          <w:lang w:val="en-US" w:eastAsia="zh-CN"/>
        </w:rPr>
        <w:t>未来显示产业园、798</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sz w:val="32"/>
          <w:szCs w:val="32"/>
          <w:lang w:val="en-US" w:eastAsia="zh-CN"/>
        </w:rPr>
        <w:t xml:space="preserve">751、Web </w:t>
      </w:r>
      <w:r>
        <w:rPr>
          <w:rFonts w:hint="eastAsia" w:ascii="Times New Roman" w:hAnsi="Times New Roman" w:eastAsia="仿宋_GB2312"/>
          <w:sz w:val="32"/>
          <w:szCs w:val="32"/>
        </w:rPr>
        <w:t>3.0产业园、</w:t>
      </w:r>
      <w:r>
        <w:rPr>
          <w:rFonts w:hint="eastAsia" w:ascii="Times New Roman" w:hAnsi="Times New Roman" w:eastAsia="仿宋_GB2312"/>
          <w:sz w:val="32"/>
          <w:szCs w:val="32"/>
          <w:lang w:val="en-US" w:eastAsia="zh-CN"/>
        </w:rPr>
        <w:t>AI Space、郎园Station</w:t>
      </w:r>
      <w:r>
        <w:rPr>
          <w:rFonts w:hint="eastAsia" w:ascii="Times New Roman" w:hAnsi="Times New Roman" w:eastAsia="仿宋_GB2312"/>
          <w:sz w:val="32"/>
          <w:szCs w:val="32"/>
        </w:rPr>
        <w:t>等</w:t>
      </w:r>
      <w:r>
        <w:rPr>
          <w:rFonts w:hint="eastAsia" w:ascii="Times New Roman" w:hAnsi="Times New Roman" w:eastAsia="仿宋_GB2312"/>
          <w:sz w:val="32"/>
          <w:szCs w:val="32"/>
          <w:lang w:eastAsia="zh-CN"/>
        </w:rPr>
        <w:t>文化科技集聚区</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发</w:t>
      </w:r>
      <w:r>
        <w:rPr>
          <w:rFonts w:hint="eastAsia" w:ascii="Times New Roman" w:hAnsi="Times New Roman" w:eastAsia="仿宋_GB2312" w:cs="Times New Roman"/>
          <w:sz w:val="32"/>
          <w:szCs w:val="32"/>
          <w:lang w:eastAsia="zh-CN"/>
        </w:rPr>
        <w:t>挥北京</w:t>
      </w:r>
      <w:r>
        <w:rPr>
          <w:rFonts w:hint="eastAsia" w:ascii="Times New Roman" w:hAnsi="Times New Roman" w:eastAsia="仿宋_GB2312" w:cs="Times New Roman"/>
          <w:sz w:val="32"/>
          <w:szCs w:val="32"/>
          <w:lang w:val="en-US" w:eastAsia="zh-CN"/>
        </w:rPr>
        <w:t>AIGC视听产业创新中心引擎作用，</w:t>
      </w:r>
      <w:r>
        <w:rPr>
          <w:rFonts w:hint="eastAsia" w:ascii="Times New Roman" w:hAnsi="Times New Roman" w:eastAsia="仿宋_GB2312"/>
          <w:sz w:val="32"/>
          <w:szCs w:val="32"/>
        </w:rPr>
        <w:t>汇聚一批 AIGC领先企业，重点推进 AIGC原始技术突破和产品研发，辐射</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两河一带</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世界级滨水经济区，打造</w:t>
      </w:r>
      <w:r>
        <w:rPr>
          <w:rFonts w:hint="eastAsia" w:ascii="Times New Roman" w:hAnsi="Times New Roman" w:eastAsia="仿宋_GB2312"/>
          <w:sz w:val="32"/>
          <w:szCs w:val="32"/>
          <w:lang w:eastAsia="zh-CN"/>
        </w:rPr>
        <w:t>一批数字光影、沉浸式体验、裸眼</w:t>
      </w:r>
      <w:r>
        <w:rPr>
          <w:rFonts w:hint="eastAsia" w:ascii="Times New Roman" w:hAnsi="Times New Roman" w:eastAsia="仿宋_GB2312"/>
          <w:sz w:val="32"/>
          <w:szCs w:val="32"/>
          <w:lang w:val="en-US" w:eastAsia="zh-CN"/>
        </w:rPr>
        <w:t>3D、超现场、未来显示等</w:t>
      </w:r>
      <w:r>
        <w:rPr>
          <w:rFonts w:hint="eastAsia" w:ascii="Times New Roman" w:hAnsi="Times New Roman" w:eastAsia="仿宋_GB2312"/>
          <w:sz w:val="32"/>
          <w:szCs w:val="32"/>
          <w:lang w:eastAsia="zh-CN"/>
        </w:rPr>
        <w:t>文化科技融合、数字文旅消费</w:t>
      </w:r>
      <w:r>
        <w:rPr>
          <w:rFonts w:hint="eastAsia" w:ascii="Times New Roman" w:hAnsi="Times New Roman" w:eastAsia="仿宋_GB2312"/>
          <w:sz w:val="32"/>
          <w:szCs w:val="32"/>
        </w:rPr>
        <w:t>标杆示范应用场景，促进技术创新转化落地。充分发挥</w:t>
      </w:r>
      <w:r>
        <w:rPr>
          <w:rFonts w:hint="eastAsia" w:ascii="Times New Roman" w:hAnsi="Times New Roman" w:eastAsia="仿宋_GB2312"/>
          <w:sz w:val="32"/>
          <w:szCs w:val="32"/>
          <w:lang w:eastAsia="zh-CN"/>
        </w:rPr>
        <w:t>区域</w:t>
      </w:r>
      <w:r>
        <w:rPr>
          <w:rFonts w:hint="eastAsia" w:ascii="Times New Roman" w:hAnsi="Times New Roman" w:eastAsia="仿宋_GB2312"/>
          <w:sz w:val="32"/>
          <w:szCs w:val="32"/>
        </w:rPr>
        <w:t>场景富集优势，以多模态生成能力为核心，抢抓AIGC作为新型生产工具对数字内容生产方式带来的变革性机遇，</w:t>
      </w:r>
      <w:r>
        <w:rPr>
          <w:rFonts w:hint="eastAsia" w:ascii="Times New Roman" w:hAnsi="Times New Roman" w:eastAsia="仿宋_GB2312"/>
          <w:color w:val="000000"/>
          <w:sz w:val="32"/>
          <w:szCs w:val="32"/>
        </w:rPr>
        <w:t>聚焦广告营销、影视制作、短剧短视频、动漫动画、游戏电竞等重点领域</w:t>
      </w:r>
      <w:r>
        <w:rPr>
          <w:rFonts w:hint="eastAsia" w:ascii="Times New Roman" w:hAnsi="Times New Roman" w:eastAsia="仿宋_GB2312"/>
          <w:sz w:val="32"/>
          <w:szCs w:val="32"/>
        </w:rPr>
        <w:t>，精准识别技术应用基础、堵点卡点与发展潜力，</w:t>
      </w:r>
      <w:r>
        <w:rPr>
          <w:rFonts w:ascii="Times New Roman" w:hAnsi="Times New Roman" w:eastAsia="仿宋_GB2312"/>
          <w:sz w:val="32"/>
          <w:szCs w:val="32"/>
        </w:rPr>
        <w:t>重点强化算力基础设施、高质量多模态数据集、多模态模型、智能体平台等共性底座与核心工具链的系统性建设，</w:t>
      </w:r>
      <w:r>
        <w:rPr>
          <w:rFonts w:hint="eastAsia" w:ascii="Times New Roman" w:hAnsi="Times New Roman" w:eastAsia="仿宋_GB2312"/>
          <w:sz w:val="32"/>
          <w:szCs w:val="32"/>
        </w:rPr>
        <w:t>打通AIGC技术在数字</w:t>
      </w:r>
      <w:r>
        <w:rPr>
          <w:rFonts w:hint="eastAsia" w:ascii="Times New Roman" w:hAnsi="Times New Roman" w:eastAsia="仿宋_GB2312"/>
          <w:sz w:val="32"/>
          <w:szCs w:val="32"/>
          <w:lang w:eastAsia="zh-CN"/>
        </w:rPr>
        <w:t>文化</w:t>
      </w:r>
      <w:r>
        <w:rPr>
          <w:rFonts w:hint="eastAsia" w:ascii="Times New Roman" w:hAnsi="Times New Roman" w:eastAsia="仿宋_GB2312"/>
          <w:sz w:val="32"/>
          <w:szCs w:val="32"/>
        </w:rPr>
        <w:t>生产</w:t>
      </w:r>
      <w:r>
        <w:rPr>
          <w:rFonts w:hint="eastAsia" w:ascii="Times New Roman" w:hAnsi="Times New Roman" w:eastAsia="仿宋_GB2312"/>
          <w:sz w:val="32"/>
          <w:szCs w:val="32"/>
          <w:lang w:eastAsia="zh-CN"/>
        </w:rPr>
        <w:t>领域</w:t>
      </w:r>
      <w:r>
        <w:rPr>
          <w:rFonts w:hint="eastAsia" w:ascii="Times New Roman" w:hAnsi="Times New Roman" w:eastAsia="仿宋_GB2312"/>
          <w:sz w:val="32"/>
          <w:szCs w:val="32"/>
        </w:rPr>
        <w:t>的全链条应用，</w:t>
      </w:r>
      <w:r>
        <w:rPr>
          <w:rFonts w:hint="eastAsia" w:ascii="Times New Roman" w:hAnsi="Times New Roman" w:eastAsia="仿宋_GB2312"/>
          <w:color w:val="000000"/>
          <w:sz w:val="32"/>
          <w:szCs w:val="32"/>
        </w:rPr>
        <w:t>构建覆盖技术研发、创新孵化、场景应用、内容生产的</w:t>
      </w:r>
      <w:r>
        <w:rPr>
          <w:rFonts w:ascii="Times New Roman" w:hAnsi="Times New Roman" w:eastAsia="仿宋_GB2312"/>
          <w:color w:val="000000"/>
          <w:sz w:val="32"/>
          <w:szCs w:val="32"/>
        </w:rPr>
        <w:t>AIGC</w:t>
      </w:r>
      <w:r>
        <w:rPr>
          <w:rFonts w:hint="eastAsia" w:ascii="Times New Roman" w:hAnsi="Times New Roman" w:eastAsia="仿宋_GB2312"/>
          <w:color w:val="000000"/>
          <w:sz w:val="32"/>
          <w:szCs w:val="32"/>
          <w:lang w:eastAsia="zh-CN"/>
        </w:rPr>
        <w:t>文化科技</w:t>
      </w:r>
      <w:r>
        <w:rPr>
          <w:rFonts w:hint="eastAsia" w:ascii="Times New Roman" w:hAnsi="Times New Roman" w:eastAsia="仿宋_GB2312"/>
          <w:color w:val="000000"/>
          <w:sz w:val="32"/>
          <w:szCs w:val="32"/>
        </w:rPr>
        <w:t>全产业链生态体系</w:t>
      </w:r>
      <w:r>
        <w:rPr>
          <w:rFonts w:ascii="Times New Roman" w:hAnsi="Times New Roman" w:eastAsia="仿宋_GB2312"/>
          <w:sz w:val="32"/>
          <w:szCs w:val="32"/>
        </w:rPr>
        <w:t>和产业集聚中心。</w:t>
      </w:r>
    </w:p>
    <w:p w14:paraId="66A9E9B5">
      <w:pPr>
        <w:widowControl w:val="0"/>
        <w:numPr>
          <w:ilvl w:val="0"/>
          <w:numId w:val="3"/>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val="0"/>
          <w:color w:val="000000"/>
          <w:sz w:val="32"/>
          <w:szCs w:val="32"/>
          <w:highlight w:val="none"/>
          <w:lang w:val="en-US" w:eastAsia="zh-CN" w:bidi="ar-SA"/>
        </w:rPr>
      </w:pPr>
      <w:bookmarkStart w:id="68" w:name="_Toc207098902"/>
      <w:bookmarkEnd w:id="68"/>
      <w:bookmarkStart w:id="69" w:name="_Toc27248"/>
      <w:r>
        <w:rPr>
          <w:rFonts w:hint="eastAsia" w:ascii="楷体_GB2312" w:hAnsi="楷体_GB2312" w:eastAsia="楷体_GB2312" w:cs="楷体_GB2312"/>
          <w:b w:val="0"/>
          <w:bCs w:val="0"/>
          <w:color w:val="000000"/>
          <w:sz w:val="32"/>
          <w:szCs w:val="32"/>
          <w:highlight w:val="none"/>
          <w:lang w:val="en-US" w:eastAsia="zh-CN" w:bidi="ar-SA"/>
        </w:rPr>
        <w:t>打造四大文化产业</w:t>
      </w:r>
      <w:bookmarkEnd w:id="69"/>
      <w:r>
        <w:rPr>
          <w:rFonts w:hint="eastAsia" w:ascii="楷体_GB2312" w:hAnsi="楷体_GB2312" w:eastAsia="楷体_GB2312" w:cs="楷体_GB2312"/>
          <w:b w:val="0"/>
          <w:bCs w:val="0"/>
          <w:color w:val="000000"/>
          <w:sz w:val="32"/>
          <w:szCs w:val="32"/>
          <w:highlight w:val="none"/>
          <w:lang w:val="en-US" w:eastAsia="zh-CN" w:bidi="ar-SA"/>
        </w:rPr>
        <w:t>片区</w:t>
      </w:r>
    </w:p>
    <w:p w14:paraId="28F463BC">
      <w:pPr>
        <w:widowControl w:val="0"/>
        <w:autoSpaceDE w:val="0"/>
        <w:autoSpaceDN w:val="0"/>
        <w:adjustRightInd w:val="0"/>
        <w:spacing w:before="156" w:beforeLines="50" w:after="156" w:afterLines="50" w:line="560" w:lineRule="exact"/>
        <w:ind w:firstLine="640" w:firstLineChars="200"/>
        <w:jc w:val="both"/>
        <w:rPr>
          <w:rFonts w:hint="eastAsia" w:ascii="Times New Roman" w:hAnsi="Times New Roman" w:eastAsia="仿宋_GB2312" w:cs="Times New Roman"/>
          <w:b w:val="0"/>
          <w:bCs w:val="0"/>
          <w:color w:val="000000"/>
          <w:sz w:val="32"/>
          <w:szCs w:val="32"/>
          <w:highlight w:val="yellow"/>
          <w:lang w:val="en-US" w:eastAsia="zh-CN" w:bidi="ar-SA"/>
        </w:rPr>
      </w:pPr>
      <w:r>
        <w:rPr>
          <w:rFonts w:hint="eastAsia" w:ascii="Times New Roman" w:hAnsi="Times New Roman" w:eastAsia="仿宋_GB2312" w:cs="Times New Roman"/>
          <w:color w:val="000000"/>
          <w:sz w:val="32"/>
          <w:szCs w:val="32"/>
          <w:lang w:val="en-US" w:eastAsia="zh-CN" w:bidi="ar-SA"/>
        </w:rPr>
        <w:t>充分释放奥林匹克中心区鸟巢、水立方等奥运场馆效能，积极引入演唱会、体育赛事、时尚会展、沉浸体验等多元业态，培育艺人经纪、舞台设计、装备租赁、活动主办、票务代理等全链条生态，全力建设</w:t>
      </w:r>
      <w:r>
        <w:rPr>
          <w:rFonts w:hint="eastAsia" w:ascii="Times New Roman" w:hAnsi="Times New Roman" w:eastAsia="仿宋_GB2312" w:cs="Times New Roman"/>
          <w:b/>
          <w:bCs/>
          <w:color w:val="000000"/>
          <w:sz w:val="32"/>
          <w:szCs w:val="32"/>
          <w:highlight w:val="none"/>
          <w:lang w:val="en-US" w:eastAsia="zh-CN" w:bidi="ar-SA"/>
        </w:rPr>
        <w:t>奥林匹克文体展演活力片区</w:t>
      </w:r>
      <w:r>
        <w:rPr>
          <w:rFonts w:hint="eastAsia" w:ascii="Times New Roman" w:hAnsi="Times New Roman" w:eastAsia="仿宋_GB2312" w:cs="Times New Roman"/>
          <w:b w:val="0"/>
          <w:bCs w:val="0"/>
          <w:color w:val="000000"/>
          <w:sz w:val="32"/>
          <w:szCs w:val="32"/>
          <w:highlight w:val="none"/>
          <w:lang w:val="en-US" w:eastAsia="zh-CN" w:bidi="ar-SA"/>
        </w:rPr>
        <w:t>。</w:t>
      </w:r>
      <w:r>
        <w:rPr>
          <w:rFonts w:hint="eastAsia" w:ascii="Times New Roman" w:hAnsi="Times New Roman" w:eastAsia="仿宋_GB2312" w:cs="Times New Roman"/>
          <w:color w:val="000000"/>
          <w:sz w:val="32"/>
          <w:szCs w:val="32"/>
          <w:lang w:val="en-US" w:eastAsia="zh-CN" w:bidi="ar-SA"/>
        </w:rPr>
        <w:t>重点依托区域行业龙头企业，通过吸引内容制作、技术研发、运营服务等上下游企业集聚，完善数字视听和影视制作产业链条，在北部地区加速建</w:t>
      </w:r>
      <w:r>
        <w:rPr>
          <w:rFonts w:hint="eastAsia" w:ascii="Times New Roman" w:hAnsi="Times New Roman" w:eastAsia="仿宋_GB2312" w:cs="Times New Roman"/>
          <w:color w:val="000000"/>
          <w:sz w:val="32"/>
          <w:szCs w:val="32"/>
          <w:highlight w:val="none"/>
          <w:lang w:val="en-US" w:eastAsia="zh-CN" w:bidi="ar-SA"/>
        </w:rPr>
        <w:t>设</w:t>
      </w:r>
      <w:r>
        <w:rPr>
          <w:rFonts w:hint="eastAsia" w:ascii="Times New Roman" w:hAnsi="Times New Roman" w:eastAsia="仿宋_GB2312" w:cs="Times New Roman"/>
          <w:b/>
          <w:bCs/>
          <w:color w:val="000000"/>
          <w:sz w:val="32"/>
          <w:szCs w:val="32"/>
          <w:highlight w:val="none"/>
          <w:lang w:val="en-US" w:eastAsia="zh-CN" w:bidi="ar-SA"/>
        </w:rPr>
        <w:t>数字视听产业片区</w:t>
      </w:r>
      <w:r>
        <w:rPr>
          <w:rFonts w:hint="eastAsia" w:ascii="Times New Roman" w:hAnsi="Times New Roman" w:eastAsia="仿宋_GB2312" w:cs="Times New Roman"/>
          <w:b w:val="0"/>
          <w:bCs w:val="0"/>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持续擦亮潘家园古玩艺术品特色品牌，深入挖掘传统文化符号价值，加大文创产品、工艺品及艺术衍生品研发力度，发挥“国家文创实验区·国潮文创店”平台作用，打造国潮文创IP，培育云鉴赏、云拍卖、云展示等古玩艺术品新模式，推动传统文化与现代消费深度融合，打造</w:t>
      </w:r>
      <w:r>
        <w:rPr>
          <w:rFonts w:hint="eastAsia" w:ascii="Times New Roman" w:hAnsi="Times New Roman" w:eastAsia="仿宋_GB2312" w:cs="Times New Roman"/>
          <w:b/>
          <w:bCs/>
          <w:color w:val="000000"/>
          <w:sz w:val="32"/>
          <w:szCs w:val="32"/>
          <w:highlight w:val="none"/>
          <w:lang w:val="en-US" w:eastAsia="zh-CN" w:bidi="ar-SA"/>
        </w:rPr>
        <w:t>潘家园文创艺术品交易片区</w:t>
      </w:r>
      <w:r>
        <w:rPr>
          <w:rFonts w:hint="eastAsia" w:ascii="Times New Roman" w:hAnsi="Times New Roman" w:eastAsia="仿宋_GB2312" w:cs="Times New Roman"/>
          <w:b w:val="0"/>
          <w:bCs w:val="0"/>
          <w:color w:val="000000"/>
          <w:sz w:val="32"/>
          <w:szCs w:val="32"/>
          <w:lang w:val="en-US" w:eastAsia="zh-CN" w:bidi="ar-SA"/>
        </w:rPr>
        <w:t>。主动融入朝阳区南部崛起战略，大力</w:t>
      </w:r>
      <w:r>
        <w:rPr>
          <w:rFonts w:hint="eastAsia" w:ascii="Times New Roman" w:hAnsi="Times New Roman" w:eastAsia="仿宋_GB2312" w:cs="Times New Roman"/>
          <w:color w:val="000000"/>
          <w:sz w:val="32"/>
          <w:szCs w:val="32"/>
          <w:lang w:val="en-US" w:eastAsia="zh-CN" w:bidi="ar-SA"/>
        </w:rPr>
        <w:t>提升北京音乐产业园等重点园区的产业聚合能力与示范带动作用，加强与山河湾谷创新区产业协同，促进文化科技、数字内容、网游电竞、数字音乐等资源集聚，将东南部地区打造为特色鲜明的</w:t>
      </w:r>
      <w:r>
        <w:rPr>
          <w:rFonts w:hint="eastAsia" w:ascii="Times New Roman" w:hAnsi="Times New Roman" w:eastAsia="仿宋_GB2312" w:cs="Times New Roman"/>
          <w:b/>
          <w:bCs/>
          <w:color w:val="000000"/>
          <w:sz w:val="32"/>
          <w:szCs w:val="32"/>
          <w:highlight w:val="none"/>
          <w:lang w:val="en-US" w:eastAsia="zh-CN" w:bidi="ar-SA"/>
        </w:rPr>
        <w:t>数字创意及音乐产业片区</w:t>
      </w:r>
      <w:r>
        <w:rPr>
          <w:rFonts w:hint="eastAsia" w:ascii="Times New Roman" w:hAnsi="Times New Roman" w:eastAsia="仿宋_GB2312" w:cs="Times New Roman"/>
          <w:b w:val="0"/>
          <w:bCs w:val="0"/>
          <w:color w:val="000000"/>
          <w:sz w:val="32"/>
          <w:szCs w:val="32"/>
          <w:highlight w:val="none"/>
          <w:lang w:val="en-US" w:eastAsia="zh-CN" w:bidi="ar-SA"/>
        </w:rPr>
        <w:t>。</w:t>
      </w:r>
    </w:p>
    <w:p w14:paraId="513B659F">
      <w:pPr>
        <w:widowControl w:val="0"/>
        <w:numPr>
          <w:ilvl w:val="0"/>
          <w:numId w:val="3"/>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val="0"/>
          <w:color w:val="000000"/>
          <w:sz w:val="32"/>
          <w:szCs w:val="32"/>
          <w:lang w:val="en-US" w:eastAsia="zh-CN" w:bidi="ar-SA"/>
        </w:rPr>
      </w:pPr>
      <w:r>
        <w:rPr>
          <w:rFonts w:hint="eastAsia" w:ascii="楷体_GB2312" w:hAnsi="楷体_GB2312" w:eastAsia="楷体_GB2312" w:cs="楷体_GB2312"/>
          <w:b w:val="0"/>
          <w:bCs w:val="0"/>
          <w:color w:val="000000"/>
          <w:sz w:val="32"/>
          <w:szCs w:val="32"/>
          <w:lang w:val="en-US" w:eastAsia="zh-CN" w:bidi="ar-SA"/>
        </w:rPr>
        <w:t xml:space="preserve"> </w:t>
      </w:r>
      <w:bookmarkStart w:id="70" w:name="_Toc21718"/>
      <w:bookmarkStart w:id="71" w:name="_Toc206077060"/>
      <w:r>
        <w:rPr>
          <w:rFonts w:hint="eastAsia" w:ascii="楷体_GB2312" w:hAnsi="楷体_GB2312" w:eastAsia="楷体_GB2312" w:cs="楷体_GB2312"/>
          <w:b w:val="0"/>
          <w:bCs w:val="0"/>
          <w:color w:val="000000"/>
          <w:sz w:val="32"/>
          <w:szCs w:val="32"/>
          <w:lang w:val="en-US" w:eastAsia="zh-CN" w:bidi="ar-SA"/>
        </w:rPr>
        <w:t>推动文化园区品牌化特色化发展</w:t>
      </w:r>
      <w:bookmarkEnd w:id="70"/>
      <w:bookmarkEnd w:id="71"/>
    </w:p>
    <w:p w14:paraId="07E2A1B6">
      <w:pPr>
        <w:widowControl w:val="0"/>
        <w:autoSpaceDE w:val="0"/>
        <w:autoSpaceDN w:val="0"/>
        <w:adjustRightInd w:val="0"/>
        <w:spacing w:before="156" w:beforeLines="50" w:after="156" w:afterLines="50" w:line="560" w:lineRule="exact"/>
        <w:ind w:firstLine="640" w:firstLineChars="200"/>
        <w:jc w:val="both"/>
        <w:rPr>
          <w:rFonts w:hint="eastAsia" w:ascii="..ì." w:hAnsi="..ì." w:eastAsia="仿宋_GB2312" w:cs="..ì."/>
          <w:b/>
          <w:bCs/>
          <w:color w:val="000000"/>
          <w:sz w:val="32"/>
          <w:szCs w:val="32"/>
          <w:lang w:val="en-US" w:eastAsia="zh-CN" w:bidi="ar-SA"/>
        </w:rPr>
      </w:pPr>
      <w:r>
        <w:rPr>
          <w:rFonts w:hint="eastAsia" w:ascii="..ì." w:hAnsi="..ì." w:eastAsia="仿宋_GB2312" w:cs="..ì."/>
          <w:color w:val="000000"/>
          <w:sz w:val="32"/>
          <w:szCs w:val="32"/>
          <w:lang w:val="en-US" w:eastAsia="zh-CN" w:bidi="ar-SA"/>
        </w:rPr>
        <w:t>主动融入“科技百园”建设，系统性推进文化产业园区功能优化与能级跃升，依托百家园区资源禀赋与产业基础，强化差异化定位与功能协同，提升园区规模化、内涵式、集约化发展效能。鼓励支持</w:t>
      </w:r>
      <w:r>
        <w:rPr>
          <w:rFonts w:hint="eastAsia" w:ascii="仿宋_GB2312" w:hAnsi="仿宋_GB2312" w:eastAsia="仿宋_GB2312" w:cs="仿宋_GB2312"/>
          <w:b w:val="0"/>
          <w:bCs w:val="0"/>
          <w:color w:val="000000"/>
          <w:sz w:val="32"/>
          <w:szCs w:val="32"/>
          <w:lang w:val="en-US" w:eastAsia="zh-CN" w:bidi="ar-SA"/>
        </w:rPr>
        <w:t>文化产业园区创新运营管理方式，培育懂文化、懂产业、懂运营的园区人才队伍，提升专业化运营能力。</w:t>
      </w:r>
      <w:r>
        <w:rPr>
          <w:rFonts w:hint="eastAsia" w:ascii="..ì." w:hAnsi="..ì." w:eastAsia="仿宋_GB2312" w:cs="..ì."/>
          <w:color w:val="000000"/>
          <w:sz w:val="32"/>
          <w:szCs w:val="32"/>
          <w:lang w:val="en-US" w:eastAsia="zh-CN" w:bidi="ar-SA"/>
        </w:rPr>
        <w:t>推进园区“一园一品”建设，鼓励引导园区结合自身特色，构建差异化、品牌化的主导产业生态，吸引链主企业入驻，促进园区特色产业集聚发展，不断提升园区知名度和影响力。引导园区向文化科技园区转型，培育打造一批新兴业态特色园区，推动传统园区与数字经济、科技创新、文化创意深度融合。鼓励园区打造演艺新空间、沉浸式体验等消费新场景，举办创意市集、文化展演等文化消费特色活动，打造产城人文景融合的“城市文化会客厅”。统筹规划园区产业方向与生态布局，形成百家园区特色鲜明、功能互补、协同发展的良好局面，为文化产业发展提供载体支撑。</w:t>
      </w:r>
      <w:r>
        <w:rPr>
          <w:rFonts w:hint="eastAsia" w:ascii="..ì." w:hAnsi="..ì." w:eastAsia="仿宋_GB2312" w:cs="..ì."/>
          <w:b/>
          <w:bCs/>
          <w:color w:val="000000"/>
          <w:sz w:val="32"/>
          <w:szCs w:val="32"/>
          <w:lang w:val="en-US" w:eastAsia="zh-CN" w:bidi="ar-SA"/>
        </w:rPr>
        <w:t xml:space="preserve"> </w:t>
      </w:r>
    </w:p>
    <w:p w14:paraId="7844D394">
      <w:pPr>
        <w:widowControl w:val="0"/>
        <w:autoSpaceDE w:val="0"/>
        <w:autoSpaceDN w:val="0"/>
        <w:adjustRightInd w:val="0"/>
        <w:spacing w:before="156" w:beforeLines="50" w:after="156" w:afterLines="50" w:line="560" w:lineRule="exact"/>
        <w:jc w:val="center"/>
        <w:rPr>
          <w:rFonts w:hint="eastAsia" w:ascii="..ì." w:hAnsi="..ì." w:eastAsia="仿宋_GB2312" w:cs="..ì."/>
          <w:b/>
          <w:bCs/>
          <w:color w:val="000000"/>
          <w:sz w:val="32"/>
          <w:szCs w:val="32"/>
          <w:highlight w:val="none"/>
          <w:lang w:val="en-US" w:eastAsia="zh-CN" w:bidi="ar-SA"/>
        </w:rPr>
      </w:pPr>
      <w:r>
        <w:rPr>
          <w:rFonts w:hint="eastAsia" w:ascii="..ì." w:hAnsi="..ì." w:eastAsia="仿宋_GB2312" w:cs="..ì."/>
          <w:b/>
          <w:bCs/>
          <w:color w:val="000000"/>
          <w:sz w:val="32"/>
          <w:szCs w:val="32"/>
          <w:highlight w:val="none"/>
          <w:lang w:val="en-US" w:eastAsia="zh-CN" w:bidi="ar-SA"/>
        </w:rPr>
        <w:t>朝阳区“两廊四片区百园”文化产业空间布局</w:t>
      </w:r>
    </w:p>
    <w:p w14:paraId="23D7E2AE">
      <w:pPr>
        <w:widowControl w:val="0"/>
        <w:autoSpaceDE w:val="0"/>
        <w:autoSpaceDN w:val="0"/>
        <w:adjustRightInd w:val="0"/>
        <w:spacing w:before="156" w:beforeLines="50" w:after="156" w:afterLines="50" w:line="560" w:lineRule="exact"/>
        <w:jc w:val="center"/>
        <w:rPr>
          <w:rFonts w:hint="eastAsia" w:ascii="..ì." w:hAnsi="..ì." w:eastAsia="仿宋_GB2312" w:cs="..ì."/>
          <w:b/>
          <w:bCs/>
          <w:color w:val="000000"/>
          <w:sz w:val="32"/>
          <w:szCs w:val="32"/>
          <w:highlight w:val="none"/>
          <w:lang w:val="en-US" w:eastAsia="zh-CN" w:bidi="ar-SA"/>
        </w:rPr>
      </w:pPr>
      <w:r>
        <w:rPr>
          <w:rFonts w:hint="eastAsia" w:ascii="..ì." w:hAnsi="..ì." w:eastAsia="仿宋_GB2312" w:cs="..ì."/>
          <w:b/>
          <w:bCs/>
          <w:color w:val="000000"/>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59055</wp:posOffset>
            </wp:positionH>
            <wp:positionV relativeFrom="paragraph">
              <wp:posOffset>83820</wp:posOffset>
            </wp:positionV>
            <wp:extent cx="5615940" cy="7019925"/>
            <wp:effectExtent l="0" t="0" r="7620" b="5715"/>
            <wp:wrapNone/>
            <wp:docPr id="1" name="图片 1" descr="696cf18571928c77a6bb2197b7414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96cf18571928c77a6bb2197b74142f"/>
                    <pic:cNvPicPr>
                      <a:picLocks noChangeAspect="1"/>
                    </pic:cNvPicPr>
                  </pic:nvPicPr>
                  <pic:blipFill>
                    <a:blip r:embed="rId12"/>
                    <a:stretch>
                      <a:fillRect/>
                    </a:stretch>
                  </pic:blipFill>
                  <pic:spPr>
                    <a:xfrm>
                      <a:off x="0" y="0"/>
                      <a:ext cx="5615940" cy="7019925"/>
                    </a:xfrm>
                    <a:prstGeom prst="rect">
                      <a:avLst/>
                    </a:prstGeom>
                  </pic:spPr>
                </pic:pic>
              </a:graphicData>
            </a:graphic>
          </wp:anchor>
        </w:drawing>
      </w:r>
    </w:p>
    <w:p w14:paraId="162EA9E3">
      <w:pPr>
        <w:spacing w:before="156" w:beforeLines="50" w:after="156" w:afterLines="50" w:line="560" w:lineRule="exact"/>
        <w:jc w:val="center"/>
        <w:rPr>
          <w:rFonts w:hint="eastAsia" w:eastAsia="仿宋_GB2312"/>
          <w:b/>
          <w:bCs/>
          <w:sz w:val="32"/>
          <w:szCs w:val="32"/>
          <w:highlight w:val="none"/>
          <w:lang w:eastAsia="zh-CN"/>
        </w:rPr>
        <w:sectPr>
          <w:pgSz w:w="11906" w:h="16838"/>
          <w:pgMar w:top="1417" w:right="1474" w:bottom="1417" w:left="1587" w:header="851" w:footer="992" w:gutter="0"/>
          <w:pgNumType w:fmt="decimal"/>
          <w:cols w:space="0" w:num="1"/>
          <w:rtlGutter w:val="0"/>
          <w:docGrid w:type="lines" w:linePitch="315" w:charSpace="0"/>
        </w:sectPr>
      </w:pPr>
    </w:p>
    <w:p w14:paraId="61881490">
      <w:pPr>
        <w:widowControl w:val="0"/>
        <w:autoSpaceDE/>
        <w:autoSpaceDN/>
        <w:adjustRightInd w:val="0"/>
        <w:spacing w:before="312" w:beforeLines="100" w:after="312" w:afterLines="100" w:line="560" w:lineRule="exact"/>
        <w:ind w:firstLine="0" w:firstLineChars="0"/>
        <w:jc w:val="center"/>
        <w:outlineLvl w:val="0"/>
        <w:rPr>
          <w:rFonts w:ascii="方正小标宋简体" w:hAnsi="方正小标宋简体" w:eastAsia="方正小标宋简体" w:cs="方正小标宋简体"/>
          <w:bCs/>
          <w:color w:val="000000"/>
          <w:sz w:val="36"/>
          <w:szCs w:val="36"/>
          <w:lang w:val="en-US" w:eastAsia="zh-CN" w:bidi="ar-SA"/>
        </w:rPr>
      </w:pPr>
      <w:bookmarkStart w:id="72" w:name="_Toc22951"/>
      <w:r>
        <w:rPr>
          <w:rFonts w:hint="eastAsia" w:ascii="方正小标宋简体" w:hAnsi="方正小标宋简体" w:eastAsia="方正小标宋简体" w:cs="方正小标宋简体"/>
          <w:bCs/>
          <w:color w:val="000000"/>
          <w:sz w:val="36"/>
          <w:szCs w:val="36"/>
          <w:lang w:val="en-US" w:eastAsia="zh-CN" w:bidi="ar-SA"/>
        </w:rPr>
        <w:t>第五章 深化国家文化产业创新实验区建设</w:t>
      </w:r>
      <w:bookmarkEnd w:id="72"/>
    </w:p>
    <w:p w14:paraId="5A4BDDFE">
      <w:pPr>
        <w:widowControl w:val="0"/>
        <w:autoSpaceDE w:val="0"/>
        <w:autoSpaceDN w:val="0"/>
        <w:adjustRightInd w:val="0"/>
        <w:spacing w:after="156" w:afterLines="50" w:line="560" w:lineRule="exact"/>
        <w:ind w:firstLine="640" w:firstLineChars="200"/>
        <w:rPr>
          <w:rFonts w:ascii="仿宋_GB2312" w:hAnsi="仿宋_GB2312" w:eastAsia="仿宋_GB2312" w:cs="仿宋_GB2312"/>
          <w:bCs/>
          <w:color w:val="000000"/>
          <w:sz w:val="32"/>
          <w:szCs w:val="32"/>
          <w:lang w:val="en-US" w:eastAsia="zh-CN" w:bidi="ar-SA"/>
        </w:rPr>
      </w:pPr>
      <w:r>
        <w:rPr>
          <w:rFonts w:hint="eastAsia" w:ascii="Times New Roman" w:hAnsi="Times New Roman" w:eastAsia="仿宋_GB2312" w:cs="Times New Roman"/>
          <w:color w:val="000000"/>
          <w:sz w:val="32"/>
          <w:szCs w:val="32"/>
          <w:lang w:val="en-US" w:eastAsia="zh-CN" w:bidi="ar-SA"/>
        </w:rPr>
        <w:t>落实部市共建战略</w:t>
      </w:r>
      <w:r>
        <w:rPr>
          <w:rFonts w:ascii="Times New Roman" w:hAnsi="Times New Roman" w:eastAsia="仿宋_GB2312" w:cs="Times New Roman"/>
          <w:color w:val="000000"/>
          <w:sz w:val="32"/>
          <w:szCs w:val="32"/>
          <w:lang w:val="en-US" w:eastAsia="zh-CN" w:bidi="ar-SA"/>
        </w:rPr>
        <w:t>，</w:t>
      </w:r>
      <w:r>
        <w:rPr>
          <w:rFonts w:hint="eastAsia" w:ascii="仿宋_GB2312" w:hAnsi="仿宋_GB2312" w:eastAsia="仿宋_GB2312" w:cs="仿宋_GB2312"/>
          <w:color w:val="000000"/>
          <w:sz w:val="32"/>
          <w:szCs w:val="32"/>
          <w:lang w:val="en-US" w:eastAsia="zh-CN" w:bidi="ar-SA"/>
        </w:rPr>
        <w:t>大力开展首创性、集成式探索，加大文化领域改革创新，形成更多</w:t>
      </w:r>
      <w:r>
        <w:rPr>
          <w:rFonts w:ascii="Times New Roman" w:hAnsi="Times New Roman" w:eastAsia="仿宋_GB2312" w:cs="Times New Roman"/>
          <w:color w:val="000000"/>
          <w:sz w:val="32"/>
          <w:szCs w:val="32"/>
          <w:lang w:val="en-US" w:eastAsia="zh-CN" w:bidi="ar-SA"/>
        </w:rPr>
        <w:t>可复制推广的经验模式</w:t>
      </w:r>
      <w:r>
        <w:rPr>
          <w:rFonts w:hint="eastAsia" w:ascii="Times New Roman" w:hAnsi="Times New Roman" w:eastAsia="仿宋_GB2312" w:cs="Times New Roman"/>
          <w:color w:val="000000"/>
          <w:sz w:val="32"/>
          <w:szCs w:val="32"/>
          <w:lang w:val="en-US" w:eastAsia="zh-CN" w:bidi="ar-SA"/>
        </w:rPr>
        <w:t>，深入推进</w:t>
      </w:r>
      <w:r>
        <w:rPr>
          <w:rFonts w:hint="eastAsia" w:ascii="仿宋_GB2312" w:hAnsi="仿宋_GB2312" w:eastAsia="仿宋_GB2312" w:cs="仿宋_GB2312"/>
          <w:color w:val="000000"/>
          <w:sz w:val="32"/>
          <w:szCs w:val="32"/>
          <w:lang w:val="en-US" w:eastAsia="zh-CN" w:bidi="ar-SA"/>
        </w:rPr>
        <w:t>国家文化产业创新实验区更高质量发展，增强</w:t>
      </w:r>
      <w:r>
        <w:rPr>
          <w:rFonts w:hint="eastAsia" w:ascii="Times New Roman" w:hAnsi="Times New Roman" w:eastAsia="仿宋_GB2312" w:cs="Times New Roman"/>
          <w:color w:val="000000"/>
          <w:sz w:val="32"/>
          <w:szCs w:val="32"/>
          <w:lang w:val="en-US" w:eastAsia="zh-CN" w:bidi="ar-SA"/>
        </w:rPr>
        <w:t>服务</w:t>
      </w:r>
      <w:r>
        <w:rPr>
          <w:rFonts w:ascii="Times New Roman" w:hAnsi="Times New Roman" w:eastAsia="仿宋_GB2312" w:cs="Times New Roman"/>
          <w:color w:val="000000"/>
          <w:sz w:val="32"/>
          <w:szCs w:val="32"/>
          <w:lang w:val="en-US" w:eastAsia="zh-CN" w:bidi="ar-SA"/>
        </w:rPr>
        <w:t>首都全国文化中心</w:t>
      </w:r>
      <w:r>
        <w:rPr>
          <w:rFonts w:hint="eastAsia" w:ascii="Times New Roman" w:hAnsi="Times New Roman" w:eastAsia="仿宋_GB2312" w:cs="Times New Roman"/>
          <w:color w:val="000000"/>
          <w:sz w:val="32"/>
          <w:szCs w:val="32"/>
          <w:lang w:val="en-US" w:eastAsia="zh-CN" w:bidi="ar-SA"/>
        </w:rPr>
        <w:t>建设支撑作用</w:t>
      </w:r>
      <w:r>
        <w:rPr>
          <w:rFonts w:ascii="Times New Roman" w:hAnsi="Times New Roman" w:eastAsia="仿宋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示范引领</w:t>
      </w:r>
      <w:r>
        <w:rPr>
          <w:rFonts w:ascii="Times New Roman" w:hAnsi="Times New Roman" w:eastAsia="仿宋_GB2312" w:cs="Times New Roman"/>
          <w:color w:val="000000"/>
          <w:sz w:val="32"/>
          <w:szCs w:val="32"/>
          <w:lang w:val="en-US" w:eastAsia="zh-CN" w:bidi="ar-SA"/>
        </w:rPr>
        <w:t>全国文化产业创新</w:t>
      </w:r>
      <w:r>
        <w:rPr>
          <w:rFonts w:hint="eastAsia" w:ascii="Times New Roman" w:hAnsi="Times New Roman" w:eastAsia="仿宋_GB2312" w:cs="Times New Roman"/>
          <w:color w:val="000000"/>
          <w:sz w:val="32"/>
          <w:szCs w:val="32"/>
          <w:lang w:val="en-US" w:eastAsia="zh-CN" w:bidi="ar-SA"/>
        </w:rPr>
        <w:t>发展。</w:t>
      </w:r>
    </w:p>
    <w:p w14:paraId="69939297">
      <w:pPr>
        <w:widowControl w:val="0"/>
        <w:numPr>
          <w:ilvl w:val="0"/>
          <w:numId w:val="4"/>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73" w:name="_Toc21271"/>
      <w:r>
        <w:rPr>
          <w:rFonts w:hint="eastAsia" w:ascii="楷体_GB2312" w:hAnsi="楷体_GB2312" w:eastAsia="楷体_GB2312" w:cs="楷体_GB2312"/>
          <w:b w:val="0"/>
          <w:bCs/>
          <w:color w:val="000000"/>
          <w:sz w:val="32"/>
          <w:szCs w:val="32"/>
          <w:lang w:val="en-US" w:eastAsia="zh-CN" w:bidi="ar-SA"/>
        </w:rPr>
        <w:t>深化部市区协同发展机制</w:t>
      </w:r>
      <w:bookmarkEnd w:id="73"/>
    </w:p>
    <w:p w14:paraId="346248A7">
      <w:pPr>
        <w:widowControl/>
        <w:spacing w:line="560" w:lineRule="exact"/>
        <w:ind w:firstLine="640" w:firstLineChars="200"/>
        <w:rPr>
          <w:rFonts w:ascii="楷体_GB2312" w:hAnsi="楷体_GB2312" w:eastAsia="楷体_GB2312" w:cs="楷体_GB2312"/>
          <w:b/>
          <w:sz w:val="32"/>
          <w:szCs w:val="32"/>
        </w:rPr>
      </w:pPr>
      <w:r>
        <w:rPr>
          <w:rFonts w:ascii="Times New Roman" w:hAnsi="Times New Roman" w:eastAsia="仿宋_GB2312"/>
          <w:sz w:val="32"/>
          <w:szCs w:val="32"/>
        </w:rPr>
        <w:t>深化部市</w:t>
      </w:r>
      <w:r>
        <w:rPr>
          <w:rFonts w:hint="eastAsia" w:ascii="Times New Roman" w:hAnsi="Times New Roman" w:eastAsia="仿宋_GB2312"/>
          <w:sz w:val="32"/>
          <w:szCs w:val="32"/>
        </w:rPr>
        <w:t>区</w:t>
      </w:r>
      <w:r>
        <w:rPr>
          <w:rFonts w:hint="eastAsia" w:ascii="Times New Roman" w:hAnsi="Times New Roman" w:eastAsia="仿宋_GB2312"/>
          <w:sz w:val="32"/>
          <w:szCs w:val="32"/>
          <w:lang w:eastAsia="zh-CN"/>
        </w:rPr>
        <w:t>协同发展</w:t>
      </w:r>
      <w:r>
        <w:rPr>
          <w:rFonts w:ascii="Times New Roman" w:hAnsi="Times New Roman" w:eastAsia="仿宋_GB2312"/>
          <w:sz w:val="32"/>
          <w:szCs w:val="32"/>
        </w:rPr>
        <w:t>机制，进一步加强文化和旅游部、北京市</w:t>
      </w:r>
      <w:r>
        <w:rPr>
          <w:rFonts w:hint="eastAsia" w:ascii="Times New Roman" w:hAnsi="Times New Roman" w:eastAsia="仿宋_GB2312"/>
          <w:sz w:val="32"/>
          <w:szCs w:val="32"/>
        </w:rPr>
        <w:t>对</w:t>
      </w:r>
      <w:r>
        <w:rPr>
          <w:rFonts w:hint="eastAsia" w:ascii="Times New Roman" w:hAnsi="Times New Roman" w:eastAsia="仿宋_GB2312"/>
          <w:sz w:val="32"/>
          <w:szCs w:val="32"/>
          <w:lang w:eastAsia="zh-CN"/>
        </w:rPr>
        <w:t>国家文化产业创新实验区</w:t>
      </w:r>
      <w:r>
        <w:rPr>
          <w:rFonts w:ascii="Times New Roman" w:hAnsi="Times New Roman" w:eastAsia="仿宋_GB2312"/>
          <w:sz w:val="32"/>
          <w:szCs w:val="32"/>
        </w:rPr>
        <w:t>整体发展战略的</w:t>
      </w:r>
      <w:r>
        <w:rPr>
          <w:rFonts w:hint="eastAsia" w:ascii="Times New Roman" w:hAnsi="Times New Roman" w:eastAsia="仿宋_GB2312"/>
          <w:sz w:val="32"/>
          <w:szCs w:val="32"/>
        </w:rPr>
        <w:t>顶层设计和</w:t>
      </w:r>
      <w:r>
        <w:rPr>
          <w:rFonts w:ascii="Times New Roman" w:hAnsi="Times New Roman" w:eastAsia="仿宋_GB2312"/>
          <w:sz w:val="32"/>
          <w:szCs w:val="32"/>
        </w:rPr>
        <w:t>统筹指导</w:t>
      </w:r>
      <w:r>
        <w:rPr>
          <w:rFonts w:hint="eastAsia" w:ascii="Times New Roman" w:hAnsi="Times New Roman" w:eastAsia="仿宋_GB2312"/>
          <w:sz w:val="32"/>
          <w:szCs w:val="32"/>
        </w:rPr>
        <w:t>。结合文化产业发展新趋势，争取更多国家、市级层面试点改革任务和先行先试政策，</w:t>
      </w:r>
      <w:r>
        <w:rPr>
          <w:rFonts w:hint="eastAsia" w:ascii="仿宋_GB2312" w:hAnsi="仿宋_GB2312" w:eastAsia="仿宋_GB2312" w:cs="仿宋_GB2312"/>
          <w:bCs/>
          <w:color w:val="000000"/>
          <w:sz w:val="32"/>
          <w:szCs w:val="32"/>
        </w:rPr>
        <w:t>推动重大功能性、平台性项目优先落地，为实验区转变发展方式、优化产业结构、培育新质生产力赋权赋能。健全完善实验区建设协调小组机制，加强部市区各级资源统筹集成，协调解决跨领域、跨区域的重大问题。</w:t>
      </w:r>
      <w:r>
        <w:rPr>
          <w:rFonts w:hint="eastAsia" w:ascii="Times New Roman" w:hAnsi="Times New Roman" w:eastAsia="仿宋_GB2312"/>
          <w:sz w:val="32"/>
          <w:szCs w:val="32"/>
        </w:rPr>
        <w:t>发挥实验区建设协调小组办公室职能，</w:t>
      </w:r>
      <w:r>
        <w:rPr>
          <w:rFonts w:hint="eastAsia" w:ascii="Times New Roman" w:hAnsi="Times New Roman" w:eastAsia="仿宋_GB2312"/>
          <w:color w:val="000000"/>
          <w:sz w:val="32"/>
          <w:szCs w:val="32"/>
        </w:rPr>
        <w:t>建立常态化调度联络机制，</w:t>
      </w:r>
      <w:r>
        <w:rPr>
          <w:rFonts w:ascii="Times New Roman" w:hAnsi="Times New Roman" w:eastAsia="仿宋_GB2312"/>
          <w:sz w:val="32"/>
          <w:szCs w:val="32"/>
        </w:rPr>
        <w:t>强化重点任务落实、经验推广、宣传推介和督导评估</w:t>
      </w:r>
      <w:r>
        <w:rPr>
          <w:rFonts w:hint="eastAsia" w:ascii="Times New Roman" w:hAnsi="Times New Roman" w:eastAsia="仿宋_GB2312"/>
          <w:sz w:val="32"/>
          <w:szCs w:val="32"/>
        </w:rPr>
        <w:t>，</w:t>
      </w:r>
      <w:r>
        <w:rPr>
          <w:rFonts w:ascii="Times New Roman" w:hAnsi="Times New Roman" w:eastAsia="仿宋_GB2312"/>
          <w:sz w:val="32"/>
          <w:szCs w:val="32"/>
        </w:rPr>
        <w:t>形成上下贯通、高效协同的发展合力。</w:t>
      </w:r>
      <w:r>
        <w:rPr>
          <w:rFonts w:ascii="Times New Roman" w:hAnsi="Times New Roman" w:eastAsia="仿宋_GB2312" w:cs="Times New Roman"/>
          <w:color w:val="000000"/>
          <w:sz w:val="32"/>
          <w:szCs w:val="32"/>
        </w:rPr>
        <w:t>朝阳区压实属地责任，</w:t>
      </w:r>
      <w:r>
        <w:rPr>
          <w:rFonts w:hint="eastAsia" w:ascii="Times New Roman" w:hAnsi="Times New Roman" w:eastAsia="仿宋_GB2312" w:cs="Times New Roman"/>
          <w:color w:val="000000"/>
          <w:sz w:val="32"/>
          <w:szCs w:val="32"/>
          <w:lang w:eastAsia="zh-CN"/>
        </w:rPr>
        <w:t>积极</w:t>
      </w:r>
      <w:r>
        <w:rPr>
          <w:rFonts w:hint="eastAsia" w:ascii="Times New Roman" w:hAnsi="Times New Roman" w:eastAsia="仿宋_GB2312" w:cs="Times New Roman"/>
          <w:sz w:val="32"/>
          <w:szCs w:val="32"/>
          <w:lang w:eastAsia="zh-CN"/>
        </w:rPr>
        <w:t>承接国家、北京市重大战略任务和重点项目</w:t>
      </w:r>
      <w:r>
        <w:rPr>
          <w:rFonts w:ascii="Times New Roman" w:hAnsi="Times New Roman" w:eastAsia="仿宋_GB2312" w:cs="Times New Roman"/>
          <w:color w:val="000000"/>
          <w:sz w:val="32"/>
          <w:szCs w:val="32"/>
        </w:rPr>
        <w:t>，打通政策落</w:t>
      </w:r>
      <w:r>
        <w:rPr>
          <w:rFonts w:hint="eastAsia" w:ascii="仿宋_GB2312" w:hAnsi="仿宋_GB2312" w:eastAsia="仿宋_GB2312" w:cs="仿宋_GB2312"/>
          <w:sz w:val="32"/>
          <w:szCs w:val="32"/>
        </w:rPr>
        <w:t>地“最后一公里”。实验区探索</w:t>
      </w:r>
      <w:r>
        <w:rPr>
          <w:rFonts w:ascii="Times New Roman" w:hAnsi="Times New Roman" w:eastAsia="仿宋_GB2312" w:cs="Times New Roman"/>
          <w:color w:val="000000"/>
          <w:sz w:val="32"/>
          <w:szCs w:val="32"/>
        </w:rPr>
        <w:t>管委会统筹引领、</w:t>
      </w:r>
      <w:r>
        <w:rPr>
          <w:rFonts w:hint="eastAsia" w:ascii="Times New Roman" w:hAnsi="Times New Roman" w:eastAsia="仿宋_GB2312" w:cs="Times New Roman"/>
          <w:color w:val="000000"/>
          <w:sz w:val="32"/>
          <w:szCs w:val="32"/>
          <w:lang w:eastAsia="zh-CN"/>
        </w:rPr>
        <w:t>行业管理部门与属地街乡协同推进</w:t>
      </w:r>
      <w:r>
        <w:rPr>
          <w:rFonts w:ascii="Times New Roman" w:hAnsi="Times New Roman" w:eastAsia="仿宋_GB2312" w:cs="Times New Roman"/>
          <w:color w:val="000000"/>
          <w:sz w:val="32"/>
          <w:szCs w:val="32"/>
        </w:rPr>
        <w:t>、链群企业深度参与、社会主体广泛共享的管理模式，争取</w:t>
      </w:r>
      <w:r>
        <w:rPr>
          <w:rFonts w:hint="eastAsia" w:ascii="Times New Roman" w:hAnsi="Times New Roman" w:eastAsia="仿宋_GB2312" w:cs="Times New Roman"/>
          <w:color w:val="000000"/>
          <w:sz w:val="32"/>
          <w:szCs w:val="32"/>
        </w:rPr>
        <w:t>先行改革试点政策</w:t>
      </w:r>
      <w:r>
        <w:rPr>
          <w:rFonts w:ascii="Times New Roman" w:hAnsi="Times New Roman" w:eastAsia="仿宋_GB2312" w:cs="Times New Roman"/>
          <w:color w:val="000000"/>
          <w:sz w:val="32"/>
          <w:szCs w:val="32"/>
        </w:rPr>
        <w:t>，推进基础设施与公共服务升级，</w:t>
      </w:r>
      <w:r>
        <w:rPr>
          <w:rFonts w:ascii="Times New Roman" w:hAnsi="Times New Roman" w:eastAsia="仿宋_GB2312"/>
          <w:sz w:val="32"/>
          <w:szCs w:val="32"/>
        </w:rPr>
        <w:t>充分释放</w:t>
      </w:r>
      <w:r>
        <w:rPr>
          <w:rFonts w:hint="eastAsia" w:ascii="Times New Roman" w:hAnsi="Times New Roman" w:eastAsia="仿宋_GB2312"/>
          <w:sz w:val="32"/>
          <w:szCs w:val="32"/>
        </w:rPr>
        <w:t>文化</w:t>
      </w:r>
      <w:r>
        <w:rPr>
          <w:rFonts w:ascii="Times New Roman" w:hAnsi="Times New Roman" w:eastAsia="仿宋_GB2312"/>
          <w:sz w:val="32"/>
          <w:szCs w:val="32"/>
        </w:rPr>
        <w:t>产业发展活力。</w:t>
      </w:r>
    </w:p>
    <w:p w14:paraId="481D6BE6">
      <w:pPr>
        <w:widowControl w:val="0"/>
        <w:numPr>
          <w:ilvl w:val="0"/>
          <w:numId w:val="4"/>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74" w:name="_Toc4942"/>
      <w:r>
        <w:rPr>
          <w:rFonts w:hint="eastAsia" w:ascii="楷体_GB2312" w:hAnsi="楷体_GB2312" w:eastAsia="楷体_GB2312" w:cs="楷体_GB2312"/>
          <w:b w:val="0"/>
          <w:bCs/>
          <w:color w:val="000000"/>
          <w:sz w:val="32"/>
          <w:szCs w:val="32"/>
          <w:lang w:val="en-US" w:eastAsia="zh-CN" w:bidi="ar-SA"/>
        </w:rPr>
        <w:t>纵深推进文化领域改革创新</w:t>
      </w:r>
      <w:bookmarkEnd w:id="74"/>
    </w:p>
    <w:p w14:paraId="706A76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rPr>
        <w:t>充分发挥</w:t>
      </w:r>
      <w:r>
        <w:rPr>
          <w:rFonts w:hint="eastAsia" w:ascii="Times New Roman" w:hAnsi="Times New Roman" w:eastAsia="仿宋_GB2312"/>
          <w:sz w:val="32"/>
          <w:szCs w:val="32"/>
          <w:lang w:eastAsia="zh-CN"/>
        </w:rPr>
        <w:t>国家文化产业创新</w:t>
      </w:r>
      <w:r>
        <w:rPr>
          <w:rFonts w:hint="eastAsia" w:ascii="Times New Roman" w:hAnsi="Times New Roman" w:eastAsia="仿宋_GB2312"/>
          <w:sz w:val="32"/>
          <w:szCs w:val="32"/>
        </w:rPr>
        <w:t>实验区的创新引领与示范带动作用，</w:t>
      </w:r>
      <w:r>
        <w:rPr>
          <w:rFonts w:ascii="Times New Roman" w:hAnsi="Times New Roman" w:eastAsia="仿宋_GB2312" w:cs="Times New Roman"/>
          <w:sz w:val="32"/>
          <w:szCs w:val="32"/>
        </w:rPr>
        <w:t>深入推进文化体制机制、政策环境、文化科技、文旅消费、金融服务、人才培养、</w:t>
      </w:r>
      <w:r>
        <w:rPr>
          <w:rFonts w:hint="eastAsia" w:ascii="Times New Roman" w:hAnsi="Times New Roman" w:eastAsia="仿宋_GB2312" w:cs="Times New Roman"/>
          <w:sz w:val="32"/>
          <w:szCs w:val="32"/>
        </w:rPr>
        <w:t>链群</w:t>
      </w:r>
      <w:r>
        <w:rPr>
          <w:rFonts w:ascii="Times New Roman" w:hAnsi="Times New Roman" w:eastAsia="仿宋_GB2312" w:cs="Times New Roman"/>
          <w:sz w:val="32"/>
          <w:szCs w:val="32"/>
        </w:rPr>
        <w:t>发展、产业体系、文化贸易等领域</w:t>
      </w:r>
      <w:r>
        <w:rPr>
          <w:rFonts w:hint="eastAsia" w:ascii="Times New Roman" w:hAnsi="Times New Roman" w:eastAsia="仿宋_GB2312"/>
          <w:sz w:val="32"/>
          <w:szCs w:val="32"/>
        </w:rPr>
        <w:t>多维度、深层次的改革创新，全面激活实验区的创新引擎与示范效能。</w:t>
      </w:r>
      <w:r>
        <w:rPr>
          <w:rFonts w:hint="eastAsia" w:ascii="Times New Roman" w:hAnsi="Times New Roman" w:eastAsia="仿宋_GB2312"/>
          <w:sz w:val="32"/>
          <w:szCs w:val="32"/>
          <w:lang w:eastAsia="zh-CN"/>
        </w:rPr>
        <w:t>加强</w:t>
      </w:r>
      <w:r>
        <w:rPr>
          <w:rFonts w:hint="eastAsia" w:ascii="Times New Roman" w:hAnsi="Times New Roman" w:eastAsia="仿宋_GB2312"/>
          <w:sz w:val="32"/>
          <w:szCs w:val="32"/>
        </w:rPr>
        <w:t>政策</w:t>
      </w:r>
      <w:r>
        <w:rPr>
          <w:rFonts w:hint="eastAsia" w:ascii="Times New Roman" w:hAnsi="Times New Roman" w:eastAsia="仿宋_GB2312"/>
          <w:sz w:val="32"/>
          <w:szCs w:val="32"/>
          <w:lang w:eastAsia="zh-CN"/>
        </w:rPr>
        <w:t>创新</w:t>
      </w:r>
      <w:r>
        <w:rPr>
          <w:rFonts w:hint="eastAsia" w:ascii="Times New Roman" w:hAnsi="Times New Roman" w:eastAsia="仿宋_GB2312"/>
          <w:sz w:val="32"/>
          <w:szCs w:val="32"/>
        </w:rPr>
        <w:t>，聚焦文化产业发展的关键环节与薄弱领域，出台一系列针对性强、含金量高的政策措施。推进文化科技双向赋能，强化数智科技创新应用，催生更多新业态、新模式。激发文旅消费活力，</w:t>
      </w:r>
      <w:r>
        <w:rPr>
          <w:rFonts w:hint="eastAsia" w:ascii="仿宋_GB2312" w:hAnsi="仿宋_GB2312" w:eastAsia="仿宋_GB2312" w:cs="仿宋_GB2312"/>
          <w:sz w:val="32"/>
          <w:szCs w:val="32"/>
        </w:rPr>
        <w:t>培育全息、全时、全域、全效的文化消费场景矩阵，</w:t>
      </w:r>
      <w:r>
        <w:rPr>
          <w:rFonts w:hint="eastAsia" w:ascii="仿宋_GB2312" w:hAnsi="仿宋_GB2312" w:eastAsia="仿宋_GB2312" w:cs="仿宋_GB2312"/>
          <w:sz w:val="32"/>
          <w:szCs w:val="32"/>
          <w:lang w:eastAsia="zh-CN"/>
        </w:rPr>
        <w:t>推</w:t>
      </w:r>
      <w:r>
        <w:rPr>
          <w:rFonts w:hint="eastAsia" w:ascii="Times New Roman" w:hAnsi="Times New Roman" w:eastAsia="仿宋_GB2312"/>
          <w:sz w:val="32"/>
          <w:szCs w:val="32"/>
        </w:rPr>
        <w:t>进文旅消费扩容提质。健全适配文化产业特点的金融服务体系，创新金融产品与服务模式，提升金融服务效率。构建多层次、多元化的文化人才培养体系，营造优良的人才发展生态。围绕数字文化、数字视听等重点领域，培育一批特色产业集群，增强产业规模效应。优化文化产业结构，培育壮大新兴文化产业，形成多元发展、多点支撑的现代产业格局。积极拓展文化贸易渠道，推动更多优质文化产品和服务走向国际市场，提升国际文化贸易水平。力争到2030年，</w:t>
      </w:r>
      <w:r>
        <w:rPr>
          <w:rFonts w:hint="eastAsia" w:ascii="Times New Roman" w:hAnsi="Times New Roman" w:eastAsia="仿宋_GB2312"/>
          <w:sz w:val="32"/>
          <w:szCs w:val="32"/>
          <w:lang w:eastAsia="zh-CN"/>
        </w:rPr>
        <w:t>实验区规模以上文化及相关产业企业营收达到</w:t>
      </w:r>
      <w:r>
        <w:rPr>
          <w:rFonts w:hint="eastAsia" w:ascii="Times New Roman" w:hAnsi="Times New Roman" w:eastAsia="仿宋_GB2312"/>
          <w:sz w:val="32"/>
          <w:szCs w:val="32"/>
          <w:lang w:val="en-US" w:eastAsia="zh-CN"/>
        </w:rPr>
        <w:t>2500亿元</w:t>
      </w:r>
      <w:r>
        <w:rPr>
          <w:rFonts w:hint="eastAsia" w:ascii="Times New Roman" w:hAnsi="Times New Roman" w:eastAsia="仿宋_GB2312"/>
          <w:sz w:val="32"/>
          <w:szCs w:val="32"/>
        </w:rPr>
        <w:t>，</w:t>
      </w:r>
      <w:r>
        <w:rPr>
          <w:rFonts w:ascii="Times New Roman" w:hAnsi="Times New Roman" w:eastAsia="仿宋_GB2312" w:cs="Times New Roman"/>
          <w:sz w:val="32"/>
          <w:szCs w:val="32"/>
        </w:rPr>
        <w:t>全力</w:t>
      </w:r>
      <w:r>
        <w:rPr>
          <w:rFonts w:hint="eastAsia" w:ascii="Times New Roman" w:hAnsi="Times New Roman" w:eastAsia="仿宋_GB2312" w:cs="Times New Roman"/>
          <w:sz w:val="32"/>
          <w:szCs w:val="32"/>
          <w:lang w:eastAsia="zh-CN"/>
        </w:rPr>
        <w:t>将实验区</w:t>
      </w:r>
      <w:r>
        <w:rPr>
          <w:rFonts w:ascii="Times New Roman" w:hAnsi="Times New Roman" w:eastAsia="仿宋_GB2312" w:cs="Times New Roman"/>
          <w:sz w:val="32"/>
          <w:szCs w:val="32"/>
        </w:rPr>
        <w:t>建设</w:t>
      </w:r>
      <w:r>
        <w:rPr>
          <w:rFonts w:hint="eastAsia" w:ascii="Times New Roman" w:hAnsi="Times New Roman" w:eastAsia="仿宋_GB2312" w:cs="Times New Roman"/>
          <w:sz w:val="32"/>
          <w:szCs w:val="32"/>
          <w:lang w:eastAsia="zh-CN"/>
        </w:rPr>
        <w:t>成为</w:t>
      </w:r>
      <w:r>
        <w:rPr>
          <w:rFonts w:hint="eastAsia" w:ascii="Times New Roman" w:hAnsi="Times New Roman" w:eastAsia="仿宋_GB2312" w:cs="Times New Roman"/>
          <w:sz w:val="32"/>
          <w:szCs w:val="32"/>
        </w:rPr>
        <w:t>全国</w:t>
      </w:r>
      <w:r>
        <w:rPr>
          <w:rFonts w:ascii="Times New Roman" w:hAnsi="Times New Roman" w:eastAsia="仿宋_GB2312" w:cs="Times New Roman"/>
          <w:sz w:val="32"/>
          <w:szCs w:val="32"/>
        </w:rPr>
        <w:t>文化产业改革创新先行区、</w:t>
      </w:r>
      <w:r>
        <w:rPr>
          <w:rFonts w:hint="eastAsia" w:ascii="Times New Roman" w:hAnsi="Times New Roman" w:eastAsia="仿宋_GB2312" w:cs="Times New Roman"/>
          <w:sz w:val="32"/>
          <w:szCs w:val="32"/>
        </w:rPr>
        <w:t>全国</w:t>
      </w:r>
      <w:r>
        <w:rPr>
          <w:rFonts w:ascii="Times New Roman" w:hAnsi="Times New Roman" w:eastAsia="仿宋_GB2312" w:cs="Times New Roman"/>
          <w:sz w:val="32"/>
          <w:szCs w:val="32"/>
        </w:rPr>
        <w:t>文化新质生产力发展样板区、</w:t>
      </w:r>
      <w:r>
        <w:rPr>
          <w:rFonts w:hint="eastAsia" w:ascii="Times New Roman" w:hAnsi="Times New Roman" w:eastAsia="仿宋_GB2312" w:cs="Times New Roman"/>
          <w:sz w:val="32"/>
          <w:szCs w:val="32"/>
          <w:highlight w:val="none"/>
          <w:lang w:eastAsia="zh-CN"/>
        </w:rPr>
        <w:t>全国文化中心示范</w:t>
      </w:r>
      <w:r>
        <w:rPr>
          <w:rFonts w:ascii="Times New Roman" w:hAnsi="Times New Roman" w:eastAsia="仿宋_GB2312" w:cs="Times New Roman"/>
          <w:sz w:val="32"/>
          <w:szCs w:val="32"/>
          <w:highlight w:val="none"/>
        </w:rPr>
        <w:t>引领区</w:t>
      </w:r>
      <w:r>
        <w:rPr>
          <w:rFonts w:ascii="Times New Roman" w:hAnsi="Times New Roman" w:eastAsia="仿宋_GB2312" w:cs="Times New Roman"/>
          <w:sz w:val="32"/>
          <w:szCs w:val="32"/>
        </w:rPr>
        <w:t>和国际文化交流合作窗口区。</w:t>
      </w:r>
    </w:p>
    <w:p w14:paraId="5BFCD9CF">
      <w:pPr>
        <w:widowControl w:val="0"/>
        <w:numPr>
          <w:ilvl w:val="0"/>
          <w:numId w:val="4"/>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75" w:name="_Toc16519"/>
      <w:r>
        <w:rPr>
          <w:rFonts w:hint="eastAsia" w:ascii="楷体_GB2312" w:hAnsi="楷体_GB2312" w:eastAsia="楷体_GB2312" w:cs="楷体_GB2312"/>
          <w:b w:val="0"/>
          <w:bCs/>
          <w:color w:val="000000"/>
          <w:sz w:val="32"/>
          <w:szCs w:val="32"/>
          <w:lang w:val="en-US" w:eastAsia="zh-CN" w:bidi="ar-SA"/>
        </w:rPr>
        <w:t>构建集成政策创新体系</w:t>
      </w:r>
      <w:bookmarkEnd w:id="75"/>
    </w:p>
    <w:p w14:paraId="43F64FC5">
      <w:pPr>
        <w:widowControl w:val="0"/>
        <w:tabs>
          <w:tab w:val="left" w:pos="0"/>
          <w:tab w:val="left" w:pos="284"/>
          <w:tab w:val="left" w:pos="720"/>
        </w:tabs>
        <w:spacing w:line="560" w:lineRule="exact"/>
        <w:ind w:firstLine="640" w:firstLineChars="200"/>
        <w:jc w:val="both"/>
        <w:rPr>
          <w:rFonts w:ascii="楷体_GB2312" w:hAnsi="楷体_GB2312" w:eastAsia="楷体_GB2312" w:cs="楷体_GB2312"/>
          <w:b/>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充分发挥国家文化产业创新实验区“试验田”作用，出台实施深化实验区高质量发展的新一轮建设方案，构建更加完善的“国家先行试点+市级重点支持+区级率先实践”集成赋能的政策创新体系，切实将政策优势转化为发展优势。加强国家、市级层面对国家文化产业创新实验区的</w:t>
      </w:r>
      <w:r>
        <w:rPr>
          <w:rFonts w:ascii="Times New Roman" w:hAnsi="Times New Roman" w:eastAsia="仿宋_GB2312" w:cs="Times New Roman"/>
          <w:kern w:val="2"/>
          <w:sz w:val="32"/>
          <w:szCs w:val="32"/>
          <w:lang w:val="en-US" w:eastAsia="zh-CN" w:bidi="ar-SA"/>
        </w:rPr>
        <w:t>扶持力度，</w:t>
      </w:r>
      <w:r>
        <w:rPr>
          <w:rFonts w:hint="eastAsia" w:ascii="Times New Roman" w:hAnsi="Times New Roman" w:eastAsia="仿宋_GB2312" w:cs="Times New Roman"/>
          <w:kern w:val="2"/>
          <w:sz w:val="32"/>
          <w:szCs w:val="32"/>
          <w:lang w:val="en-US" w:eastAsia="zh-CN" w:bidi="ar-SA"/>
        </w:rPr>
        <w:t>集成部市政策资源，加强对</w:t>
      </w:r>
      <w:r>
        <w:rPr>
          <w:rFonts w:ascii="Times New Roman" w:hAnsi="Times New Roman" w:eastAsia="仿宋_GB2312" w:cs="Times New Roman"/>
          <w:kern w:val="2"/>
          <w:sz w:val="32"/>
          <w:szCs w:val="32"/>
          <w:lang w:val="en-US" w:eastAsia="zh-CN" w:bidi="ar-SA"/>
        </w:rPr>
        <w:t>实验区</w:t>
      </w:r>
      <w:r>
        <w:rPr>
          <w:rFonts w:hint="eastAsia" w:ascii="Times New Roman" w:hAnsi="Times New Roman" w:eastAsia="仿宋_GB2312" w:cs="Times New Roman"/>
          <w:kern w:val="2"/>
          <w:sz w:val="32"/>
          <w:szCs w:val="32"/>
          <w:lang w:val="en-US" w:eastAsia="zh-CN" w:bidi="ar-SA"/>
        </w:rPr>
        <w:t>建设</w:t>
      </w:r>
      <w:r>
        <w:rPr>
          <w:rFonts w:ascii="Times New Roman" w:hAnsi="Times New Roman" w:eastAsia="仿宋_GB2312" w:cs="Times New Roman"/>
          <w:kern w:val="2"/>
          <w:sz w:val="32"/>
          <w:szCs w:val="32"/>
          <w:lang w:val="en-US" w:eastAsia="zh-CN" w:bidi="ar-SA"/>
        </w:rPr>
        <w:t>发展</w:t>
      </w:r>
      <w:r>
        <w:rPr>
          <w:rFonts w:hint="eastAsia" w:ascii="Times New Roman" w:hAnsi="Times New Roman" w:eastAsia="仿宋_GB2312" w:cs="Times New Roman"/>
          <w:kern w:val="2"/>
          <w:sz w:val="32"/>
          <w:szCs w:val="32"/>
          <w:lang w:val="en-US" w:eastAsia="zh-CN" w:bidi="ar-SA"/>
        </w:rPr>
        <w:t>的</w:t>
      </w:r>
      <w:r>
        <w:rPr>
          <w:rFonts w:ascii="Times New Roman" w:hAnsi="Times New Roman" w:eastAsia="仿宋_GB2312" w:cs="Times New Roman"/>
          <w:kern w:val="2"/>
          <w:sz w:val="32"/>
          <w:szCs w:val="32"/>
          <w:lang w:val="en-US" w:eastAsia="zh-CN" w:bidi="ar-SA"/>
        </w:rPr>
        <w:t>专项</w:t>
      </w:r>
      <w:r>
        <w:rPr>
          <w:rFonts w:hint="eastAsia" w:ascii="Times New Roman" w:hAnsi="Times New Roman" w:eastAsia="仿宋_GB2312" w:cs="Times New Roman"/>
          <w:kern w:val="2"/>
          <w:sz w:val="32"/>
          <w:szCs w:val="32"/>
          <w:lang w:val="en-US" w:eastAsia="zh-CN" w:bidi="ar-SA"/>
        </w:rPr>
        <w:t>政策支持</w:t>
      </w:r>
      <w:r>
        <w:rPr>
          <w:rFonts w:ascii="Times New Roman" w:hAnsi="Times New Roman" w:eastAsia="仿宋_GB2312" w:cs="Times New Roman"/>
          <w:kern w:val="2"/>
          <w:sz w:val="32"/>
          <w:szCs w:val="32"/>
          <w:lang w:val="en-US" w:eastAsia="zh-CN" w:bidi="ar-SA"/>
        </w:rPr>
        <w:t>。系统研究比较</w:t>
      </w:r>
      <w:r>
        <w:rPr>
          <w:rFonts w:hint="eastAsia" w:ascii="Times New Roman" w:hAnsi="Times New Roman" w:eastAsia="仿宋_GB2312" w:cs="Times New Roman"/>
          <w:kern w:val="2"/>
          <w:sz w:val="32"/>
          <w:szCs w:val="32"/>
          <w:lang w:val="en-US" w:eastAsia="zh-CN" w:bidi="ar-SA"/>
        </w:rPr>
        <w:t>国家文化产业创新实验区</w:t>
      </w:r>
      <w:r>
        <w:rPr>
          <w:rFonts w:ascii="Times New Roman" w:hAnsi="Times New Roman" w:eastAsia="仿宋_GB2312" w:cs="Times New Roman"/>
          <w:kern w:val="2"/>
          <w:sz w:val="32"/>
          <w:szCs w:val="32"/>
          <w:lang w:val="en-US" w:eastAsia="zh-CN" w:bidi="ar-SA"/>
        </w:rPr>
        <w:t>与国内重点地区产业政策，结合实验区发展实际，做好相关政策的平移借鉴。用好北京市一揽子文化产业扶持政策，</w:t>
      </w:r>
      <w:r>
        <w:rPr>
          <w:rFonts w:hint="eastAsia" w:ascii="Times New Roman" w:hAnsi="Times New Roman" w:eastAsia="仿宋_GB2312" w:cs="Times New Roman"/>
          <w:kern w:val="2"/>
          <w:sz w:val="32"/>
          <w:szCs w:val="32"/>
          <w:lang w:val="en-US" w:eastAsia="zh-CN" w:bidi="ar-SA"/>
        </w:rPr>
        <w:t>加大</w:t>
      </w:r>
      <w:r>
        <w:rPr>
          <w:rFonts w:ascii="Times New Roman" w:hAnsi="Times New Roman" w:eastAsia="仿宋_GB2312" w:cs="Times New Roman"/>
          <w:kern w:val="2"/>
          <w:sz w:val="32"/>
          <w:szCs w:val="32"/>
          <w:lang w:val="en-US" w:eastAsia="zh-CN" w:bidi="ar-SA"/>
        </w:rPr>
        <w:t>市区政策联动叠加。</w:t>
      </w:r>
      <w:r>
        <w:rPr>
          <w:rFonts w:hint="eastAsia" w:ascii="Times New Roman" w:hAnsi="Times New Roman" w:eastAsia="仿宋_GB2312" w:cs="Times New Roman"/>
          <w:kern w:val="2"/>
          <w:sz w:val="32"/>
          <w:szCs w:val="32"/>
          <w:lang w:val="en-US" w:eastAsia="zh-CN" w:bidi="ar-SA"/>
        </w:rPr>
        <w:t>强化政策引导，结合产业发展趋势，</w:t>
      </w:r>
      <w:r>
        <w:rPr>
          <w:rFonts w:ascii="Times New Roman" w:hAnsi="Times New Roman" w:eastAsia="仿宋_GB2312" w:cs="Times New Roman"/>
          <w:kern w:val="2"/>
          <w:sz w:val="32"/>
          <w:szCs w:val="32"/>
          <w:lang w:val="en-US" w:eastAsia="zh-CN" w:bidi="ar-SA"/>
        </w:rPr>
        <w:t>动态修订完善朝阳区促进文化产业高质量发展资金政策，</w:t>
      </w:r>
      <w:r>
        <w:rPr>
          <w:rFonts w:hint="eastAsia" w:ascii="Times New Roman" w:hAnsi="Times New Roman" w:eastAsia="仿宋_GB2312" w:cs="Times New Roman"/>
          <w:kern w:val="2"/>
          <w:sz w:val="32"/>
          <w:szCs w:val="32"/>
          <w:lang w:val="en-US" w:eastAsia="zh-CN" w:bidi="ar-SA"/>
        </w:rPr>
        <w:t>加大对新技术、新业态、新模式扶持力度，出台数字视听、游戏电竞、IP潮玩等重点领域专项行动计划，提升精准支持效能。紧抓深入推进“两区”建设契机，</w:t>
      </w:r>
      <w:r>
        <w:rPr>
          <w:rFonts w:ascii="Times New Roman" w:hAnsi="Times New Roman" w:eastAsia="仿宋_GB2312" w:cs="Times New Roman"/>
          <w:kern w:val="2"/>
          <w:sz w:val="32"/>
          <w:szCs w:val="32"/>
          <w:lang w:val="en-US" w:eastAsia="zh-CN" w:bidi="ar-SA"/>
        </w:rPr>
        <w:t>有序扩大文化领域</w:t>
      </w:r>
      <w:r>
        <w:rPr>
          <w:rFonts w:hint="eastAsia" w:ascii="Times New Roman" w:hAnsi="Times New Roman" w:eastAsia="仿宋_GB2312" w:cs="Times New Roman"/>
          <w:kern w:val="2"/>
          <w:sz w:val="32"/>
          <w:szCs w:val="32"/>
          <w:lang w:val="en-US" w:eastAsia="zh-CN" w:bidi="ar-SA"/>
        </w:rPr>
        <w:t>开放</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积极落实文化服务出口（退）免税或零税率政策，提高文化破浪出海朝阳贡献力</w:t>
      </w:r>
      <w:r>
        <w:rPr>
          <w:rFonts w:hint="eastAsia" w:ascii="Times New Roman" w:hAnsi="Times New Roman" w:eastAsia="仿宋_GB2312" w:cs="Times New Roman"/>
          <w:color w:val="000000"/>
          <w:kern w:val="2"/>
          <w:sz w:val="32"/>
          <w:szCs w:val="32"/>
          <w:lang w:val="en-US" w:eastAsia="zh-CN" w:bidi="ar-SA"/>
        </w:rPr>
        <w:t>。</w:t>
      </w:r>
    </w:p>
    <w:p w14:paraId="7CEC135C">
      <w:pPr>
        <w:widowControl w:val="0"/>
        <w:numPr>
          <w:ilvl w:val="0"/>
          <w:numId w:val="4"/>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76" w:name="_Toc21745"/>
      <w:r>
        <w:rPr>
          <w:rFonts w:hint="eastAsia" w:ascii="楷体_GB2312" w:hAnsi="楷体_GB2312" w:eastAsia="楷体_GB2312" w:cs="楷体_GB2312"/>
          <w:b w:val="0"/>
          <w:bCs/>
          <w:color w:val="000000"/>
          <w:sz w:val="32"/>
          <w:szCs w:val="32"/>
          <w:lang w:val="en-US" w:eastAsia="zh-CN" w:bidi="ar-SA"/>
        </w:rPr>
        <w:t>建设全国性示范引领格局</w:t>
      </w:r>
      <w:bookmarkEnd w:id="76"/>
    </w:p>
    <w:p w14:paraId="784FD7E0">
      <w:pPr>
        <w:widowControl w:val="0"/>
        <w:spacing w:line="560" w:lineRule="exact"/>
        <w:ind w:firstLine="640" w:firstLineChars="200"/>
        <w:jc w:val="both"/>
        <w:rPr>
          <w:rFonts w:ascii="仿宋_GB2312" w:hAnsi="Times New Roman" w:eastAsia="仿宋_GB2312" w:cs="Times New Roman"/>
          <w:kern w:val="0"/>
          <w:sz w:val="32"/>
          <w:szCs w:val="32"/>
          <w:lang w:val="en-US" w:eastAsia="zh-CN" w:bidi="ar-SA"/>
        </w:rPr>
      </w:pPr>
      <w:bookmarkStart w:id="77" w:name="_Toc1343904628"/>
      <w:bookmarkStart w:id="78" w:name="_Toc206077066"/>
      <w:bookmarkStart w:id="79" w:name="_Toc942366411"/>
      <w:bookmarkStart w:id="80" w:name="_Toc206064198"/>
      <w:r>
        <w:rPr>
          <w:rFonts w:hint="eastAsia" w:ascii="仿宋_GB2312" w:hAnsi="Times New Roman" w:eastAsia="仿宋_GB2312" w:cs="Times New Roman"/>
          <w:kern w:val="0"/>
          <w:sz w:val="32"/>
          <w:szCs w:val="32"/>
          <w:lang w:val="en-US" w:eastAsia="zh-CN" w:bidi="ar-SA"/>
        </w:rPr>
        <w:t>深化国家文化产业创新实验区核心区建设，在更广阔范围、更丰富领域、更深层次上推动要素资源整合，加大文化改革与政策集成创新力度，催生更多创新发展成果，持续提升示范引领效能。在系统总结国家文化产业创新实验区核心区发展经验的基础上，将其创新经验、发展模式和政策举措适时推广复制至天桥演艺区、首钢园、国家对外文化贸易基地、宋庄艺术区等北京市重点文化产业功能区，进一步强化对首都全国文化中心建设的支撑作用。充分释放国家文化产业创新实验区的影响力与辐射力，深化京津冀协同发展机制，加强与雄安新区、天津国家动漫产业综合示范区等区域的联动协作，助力京津冀文化产业实现一体化高质量发展。创新开拓与全国文化产业重点功能区及文化产业带的协同发展路径，通过战略联动、要素融通、经验辐射等方式，构建全国文化产业高水平、深层次、全方位的合作新格局。</w:t>
      </w:r>
      <w:bookmarkEnd w:id="77"/>
      <w:bookmarkEnd w:id="78"/>
      <w:bookmarkEnd w:id="79"/>
      <w:bookmarkEnd w:id="80"/>
    </w:p>
    <w:p w14:paraId="307F9C73">
      <w:pPr>
        <w:spacing w:line="560" w:lineRule="exact"/>
        <w:ind w:firstLine="640" w:firstLineChars="200"/>
        <w:rPr>
          <w:rFonts w:eastAsia="仿宋_GB2312"/>
          <w:sz w:val="32"/>
          <w:szCs w:val="32"/>
        </w:rPr>
        <w:sectPr>
          <w:pgSz w:w="11906" w:h="16838"/>
          <w:pgMar w:top="1417" w:right="1474" w:bottom="1417" w:left="1587" w:header="851" w:footer="992" w:gutter="0"/>
          <w:pgNumType w:fmt="decimal"/>
          <w:cols w:space="0" w:num="1"/>
          <w:rtlGutter w:val="0"/>
          <w:docGrid w:type="lines" w:linePitch="315" w:charSpace="0"/>
        </w:sectPr>
      </w:pPr>
    </w:p>
    <w:p w14:paraId="15DAC509">
      <w:pPr>
        <w:widowControl w:val="0"/>
        <w:autoSpaceDE w:val="0"/>
        <w:autoSpaceDN w:val="0"/>
        <w:adjustRightInd w:val="0"/>
        <w:spacing w:before="312" w:beforeLines="100" w:after="312" w:afterLines="100" w:line="560" w:lineRule="exact"/>
        <w:jc w:val="center"/>
        <w:outlineLvl w:val="0"/>
        <w:rPr>
          <w:rFonts w:ascii="方正小标宋简体" w:hAnsi="方正小标宋简体" w:eastAsia="方正小标宋简体" w:cs="方正小标宋简体"/>
          <w:bCs/>
          <w:color w:val="000000"/>
          <w:sz w:val="36"/>
          <w:szCs w:val="36"/>
          <w:lang w:val="en-US" w:eastAsia="zh-CN" w:bidi="ar-SA"/>
        </w:rPr>
      </w:pPr>
      <w:bookmarkStart w:id="81" w:name="_Toc21087"/>
      <w:r>
        <w:rPr>
          <w:rFonts w:hint="eastAsia" w:ascii="方正小标宋简体" w:hAnsi="方正小标宋简体" w:eastAsia="方正小标宋简体" w:cs="方正小标宋简体"/>
          <w:bCs/>
          <w:color w:val="000000"/>
          <w:sz w:val="36"/>
          <w:szCs w:val="36"/>
          <w:lang w:val="en-US" w:eastAsia="zh-CN" w:bidi="ar-SA"/>
        </w:rPr>
        <w:t>第六章 实施文化产业十大能级跃升工程</w:t>
      </w:r>
      <w:bookmarkEnd w:id="81"/>
    </w:p>
    <w:p w14:paraId="2A39650F">
      <w:pPr>
        <w:widowControl/>
        <w:spacing w:line="560" w:lineRule="exact"/>
        <w:ind w:firstLine="640" w:firstLineChars="200"/>
        <w:rPr>
          <w:rFonts w:ascii="楷体_GB2312" w:hAnsi="楷体_GB2312" w:eastAsia="楷体_GB2312" w:cs="楷体_GB2312"/>
          <w:b/>
          <w:sz w:val="32"/>
          <w:szCs w:val="32"/>
        </w:rPr>
      </w:pPr>
      <w:r>
        <w:rPr>
          <w:rFonts w:hint="eastAsia" w:ascii="仿宋_GB2312" w:hAnsi="宋体" w:eastAsia="仿宋_GB2312" w:cs="仿宋_GB2312"/>
          <w:color w:val="000000"/>
          <w:kern w:val="0"/>
          <w:sz w:val="32"/>
          <w:szCs w:val="32"/>
          <w:lang w:bidi="ar"/>
        </w:rPr>
        <w:t>坚持</w:t>
      </w:r>
      <w:r>
        <w:rPr>
          <w:rFonts w:ascii="仿宋_GB2312" w:hAnsi="宋体" w:eastAsia="仿宋_GB2312" w:cs="仿宋_GB2312"/>
          <w:color w:val="000000"/>
          <w:kern w:val="0"/>
          <w:sz w:val="32"/>
          <w:szCs w:val="32"/>
          <w:lang w:bidi="ar"/>
        </w:rPr>
        <w:t>以生态</w:t>
      </w:r>
      <w:r>
        <w:rPr>
          <w:rFonts w:hint="eastAsia" w:ascii="仿宋_GB2312" w:hAnsi="宋体" w:eastAsia="仿宋_GB2312" w:cs="仿宋_GB2312"/>
          <w:color w:val="000000"/>
          <w:kern w:val="0"/>
          <w:sz w:val="32"/>
          <w:szCs w:val="32"/>
          <w:lang w:bidi="ar"/>
        </w:rPr>
        <w:t>建设促发展、以精细管理创效益，聚焦朝阳区文化产业链群产业体系、“</w:t>
      </w:r>
      <w:r>
        <w:rPr>
          <w:rFonts w:hint="eastAsia" w:ascii="仿宋_GB2312" w:hAnsi="宋体" w:eastAsia="仿宋_GB2312" w:cs="仿宋_GB2312"/>
          <w:color w:val="000000"/>
          <w:kern w:val="0"/>
          <w:sz w:val="32"/>
          <w:szCs w:val="32"/>
          <w:highlight w:val="none"/>
          <w:lang w:bidi="ar"/>
        </w:rPr>
        <w:t>两廊四</w:t>
      </w:r>
      <w:r>
        <w:rPr>
          <w:rFonts w:hint="eastAsia" w:ascii="仿宋_GB2312" w:hAnsi="宋体" w:eastAsia="仿宋_GB2312" w:cs="仿宋_GB2312"/>
          <w:color w:val="000000"/>
          <w:kern w:val="0"/>
          <w:sz w:val="32"/>
          <w:szCs w:val="32"/>
          <w:highlight w:val="none"/>
          <w:lang w:eastAsia="zh-CN" w:bidi="ar"/>
        </w:rPr>
        <w:t>片区百园</w:t>
      </w:r>
      <w:r>
        <w:rPr>
          <w:rFonts w:hint="eastAsia" w:ascii="仿宋_GB2312" w:hAnsi="宋体" w:eastAsia="仿宋_GB2312" w:cs="仿宋_GB2312"/>
          <w:color w:val="000000"/>
          <w:kern w:val="0"/>
          <w:sz w:val="32"/>
          <w:szCs w:val="32"/>
          <w:lang w:bidi="ar"/>
        </w:rPr>
        <w:t>”建设布局，重点实施数智</w:t>
      </w:r>
      <w:r>
        <w:rPr>
          <w:rFonts w:hint="eastAsia" w:ascii="仿宋_GB2312" w:hAnsi="宋体" w:eastAsia="仿宋_GB2312" w:cs="仿宋_GB2312"/>
          <w:color w:val="000000"/>
          <w:kern w:val="0"/>
          <w:sz w:val="32"/>
          <w:szCs w:val="32"/>
          <w:lang w:eastAsia="zh-CN" w:bidi="ar"/>
        </w:rPr>
        <w:t>文化</w:t>
      </w:r>
      <w:r>
        <w:rPr>
          <w:rFonts w:hint="eastAsia" w:ascii="仿宋_GB2312" w:hAnsi="宋体" w:eastAsia="仿宋_GB2312" w:cs="仿宋_GB2312"/>
          <w:color w:val="000000"/>
          <w:kern w:val="0"/>
          <w:sz w:val="32"/>
          <w:szCs w:val="32"/>
          <w:lang w:bidi="ar"/>
        </w:rPr>
        <w:t>创新、数据</w:t>
      </w:r>
      <w:r>
        <w:rPr>
          <w:rFonts w:hint="eastAsia" w:ascii="仿宋_GB2312" w:hAnsi="宋体" w:eastAsia="仿宋_GB2312" w:cs="仿宋_GB2312"/>
          <w:color w:val="000000"/>
          <w:kern w:val="0"/>
          <w:sz w:val="32"/>
          <w:szCs w:val="32"/>
          <w:lang w:eastAsia="zh-CN" w:bidi="ar"/>
        </w:rPr>
        <w:t>开发</w:t>
      </w:r>
      <w:r>
        <w:rPr>
          <w:rFonts w:hint="eastAsia" w:ascii="仿宋_GB2312" w:hAnsi="宋体" w:eastAsia="仿宋_GB2312" w:cs="仿宋_GB2312"/>
          <w:color w:val="000000"/>
          <w:kern w:val="0"/>
          <w:sz w:val="32"/>
          <w:szCs w:val="32"/>
          <w:lang w:bidi="ar"/>
        </w:rPr>
        <w:t>应用、</w:t>
      </w:r>
      <w:r>
        <w:rPr>
          <w:rFonts w:hint="default" w:ascii="Times New Roman" w:hAnsi="Times New Roman" w:eastAsia="仿宋_GB2312" w:cs="Times New Roman"/>
          <w:color w:val="000000"/>
          <w:kern w:val="0"/>
          <w:sz w:val="32"/>
          <w:szCs w:val="32"/>
          <w:lang w:val="en-US" w:eastAsia="zh-CN" w:bidi="ar"/>
        </w:rPr>
        <w:t>IP创造与价值</w:t>
      </w:r>
      <w:r>
        <w:rPr>
          <w:rFonts w:hint="eastAsia" w:ascii="仿宋_GB2312" w:hAnsi="宋体" w:eastAsia="仿宋_GB2312" w:cs="仿宋_GB2312"/>
          <w:color w:val="000000"/>
          <w:kern w:val="0"/>
          <w:sz w:val="32"/>
          <w:szCs w:val="32"/>
          <w:lang w:val="en-US" w:eastAsia="zh-CN" w:bidi="ar"/>
        </w:rPr>
        <w:t>提升</w:t>
      </w:r>
      <w:r>
        <w:rPr>
          <w:rFonts w:hint="eastAsia" w:ascii="仿宋_GB2312" w:hAnsi="宋体" w:eastAsia="仿宋_GB2312" w:cs="仿宋_GB2312"/>
          <w:color w:val="000000"/>
          <w:kern w:val="0"/>
          <w:sz w:val="32"/>
          <w:szCs w:val="32"/>
          <w:lang w:bidi="ar"/>
        </w:rPr>
        <w:t>、精品培育、企业</w:t>
      </w:r>
      <w:r>
        <w:rPr>
          <w:rFonts w:hint="eastAsia" w:ascii="仿宋_GB2312" w:hAnsi="宋体" w:eastAsia="仿宋_GB2312" w:cs="仿宋_GB2312"/>
          <w:color w:val="000000"/>
          <w:kern w:val="0"/>
          <w:sz w:val="32"/>
          <w:szCs w:val="32"/>
          <w:lang w:eastAsia="zh-CN" w:bidi="ar"/>
        </w:rPr>
        <w:t>梯次</w:t>
      </w:r>
      <w:r>
        <w:rPr>
          <w:rFonts w:hint="eastAsia" w:ascii="仿宋_GB2312" w:hAnsi="宋体" w:eastAsia="仿宋_GB2312" w:cs="仿宋_GB2312"/>
          <w:color w:val="000000"/>
          <w:kern w:val="0"/>
          <w:sz w:val="32"/>
          <w:szCs w:val="32"/>
          <w:lang w:bidi="ar"/>
        </w:rPr>
        <w:t>培育、园区品质提升、文化出海等十大重点任务，深入推动文化产业发展能级跃升。</w:t>
      </w:r>
    </w:p>
    <w:p w14:paraId="6252B618">
      <w:pPr>
        <w:widowControl w:val="0"/>
        <w:autoSpaceDE/>
        <w:autoSpaceDN/>
        <w:adjustRightInd w:val="0"/>
        <w:spacing w:before="156" w:beforeLines="50" w:after="156" w:afterLines="50" w:line="560" w:lineRule="exact"/>
        <w:ind w:firstLine="0"/>
        <w:jc w:val="center"/>
        <w:outlineLvl w:val="1"/>
        <w:rPr>
          <w:rFonts w:ascii="楷体_GB2312" w:hAnsi="楷体_GB2312" w:eastAsia="楷体_GB2312" w:cs="楷体_GB2312"/>
          <w:b w:val="0"/>
          <w:bCs/>
          <w:color w:val="000000"/>
          <w:sz w:val="32"/>
          <w:szCs w:val="32"/>
          <w:lang w:val="en-US" w:eastAsia="zh-CN" w:bidi="ar-SA"/>
        </w:rPr>
      </w:pPr>
      <w:bookmarkStart w:id="82" w:name="_Toc15684"/>
      <w:r>
        <w:rPr>
          <w:rFonts w:hint="eastAsia" w:ascii="楷体_GB2312" w:hAnsi="楷体_GB2312" w:eastAsia="楷体_GB2312" w:cs="楷体_GB2312"/>
          <w:b w:val="0"/>
          <w:bCs/>
          <w:color w:val="000000"/>
          <w:sz w:val="32"/>
          <w:szCs w:val="32"/>
          <w:lang w:val="en-US" w:eastAsia="zh-CN" w:bidi="ar-SA"/>
        </w:rPr>
        <w:t>第一节 数智文化创新工程</w:t>
      </w:r>
      <w:bookmarkEnd w:id="82"/>
    </w:p>
    <w:p w14:paraId="7B79FBF5">
      <w:pPr>
        <w:spacing w:line="560" w:lineRule="exact"/>
        <w:ind w:firstLine="640" w:firstLineChars="200"/>
        <w:rPr>
          <w:rFonts w:ascii="楷体_GB2312" w:hAnsi="楷体_GB2312" w:eastAsia="楷体_GB2312" w:cs="楷体_GB2312"/>
          <w:b/>
          <w:sz w:val="32"/>
          <w:szCs w:val="32"/>
        </w:rPr>
      </w:pPr>
      <w:r>
        <w:rPr>
          <w:rFonts w:ascii="仿宋_GB2312" w:hAnsi="宋体" w:eastAsia="仿宋_GB2312" w:cs="仿宋_GB2312"/>
          <w:color w:val="000000"/>
          <w:kern w:val="0"/>
          <w:sz w:val="32"/>
          <w:szCs w:val="32"/>
          <w:lang w:bidi="ar"/>
        </w:rPr>
        <w:t>深入实施</w:t>
      </w:r>
      <w:r>
        <w:rPr>
          <w:rFonts w:hint="eastAsia" w:ascii="仿宋_GB2312" w:hAnsi="宋体" w:eastAsia="仿宋_GB2312" w:cs="仿宋_GB2312"/>
          <w:color w:val="000000"/>
          <w:kern w:val="0"/>
          <w:sz w:val="32"/>
          <w:szCs w:val="32"/>
          <w:lang w:eastAsia="zh-CN" w:bidi="ar"/>
        </w:rPr>
        <w:t>重点企业和</w:t>
      </w:r>
      <w:r>
        <w:rPr>
          <w:rFonts w:ascii="仿宋_GB2312" w:hAnsi="宋体" w:eastAsia="仿宋_GB2312" w:cs="仿宋_GB2312"/>
          <w:color w:val="000000"/>
          <w:kern w:val="0"/>
          <w:sz w:val="32"/>
          <w:szCs w:val="32"/>
          <w:lang w:bidi="ar"/>
        </w:rPr>
        <w:t>重大项</w:t>
      </w:r>
      <w:r>
        <w:rPr>
          <w:rFonts w:hint="eastAsia" w:ascii="仿宋_GB2312" w:hAnsi="宋体" w:eastAsia="仿宋_GB2312" w:cs="仿宋_GB2312"/>
          <w:color w:val="000000"/>
          <w:kern w:val="0"/>
          <w:sz w:val="32"/>
          <w:szCs w:val="32"/>
          <w:lang w:bidi="ar"/>
        </w:rPr>
        <w:t>目带动战略，引育一批文化科技融合龙头企业，培育一批掌握核心技术、拥有知识产权，发展速度快、发展潜力大的高成长型企业，落地虎鲸文娱数字影棚</w:t>
      </w:r>
      <w:r>
        <w:rPr>
          <w:rFonts w:hint="eastAsia" w:ascii="Times New Roman" w:hAnsi="Times New Roman" w:eastAsia="仿宋_GB2312"/>
          <w:sz w:val="32"/>
          <w:szCs w:val="32"/>
        </w:rPr>
        <w:t>等</w:t>
      </w:r>
      <w:r>
        <w:rPr>
          <w:rFonts w:hint="eastAsia" w:ascii="Times New Roman" w:hAnsi="Times New Roman" w:eastAsia="仿宋_GB2312"/>
          <w:sz w:val="32"/>
          <w:szCs w:val="32"/>
          <w:lang w:eastAsia="zh-CN"/>
        </w:rPr>
        <w:t>一批</w:t>
      </w:r>
      <w:r>
        <w:rPr>
          <w:rFonts w:hint="eastAsia" w:ascii="仿宋_GB2312" w:hAnsi="宋体" w:eastAsia="仿宋_GB2312" w:cs="仿宋_GB2312"/>
          <w:color w:val="000000"/>
          <w:kern w:val="0"/>
          <w:sz w:val="32"/>
          <w:szCs w:val="32"/>
          <w:lang w:bidi="ar"/>
        </w:rPr>
        <w:t>示范带动强的数字文化产业项目，</w:t>
      </w:r>
      <w:r>
        <w:rPr>
          <w:rFonts w:hint="eastAsia" w:ascii="Times New Roman" w:hAnsi="Times New Roman" w:eastAsia="仿宋_GB2312"/>
          <w:sz w:val="32"/>
          <w:szCs w:val="32"/>
        </w:rPr>
        <w:t>建成</w:t>
      </w:r>
      <w:r>
        <w:rPr>
          <w:rFonts w:hint="eastAsia" w:ascii="Times New Roman" w:hAnsi="Times New Roman" w:eastAsia="仿宋_GB2312"/>
          <w:sz w:val="32"/>
          <w:szCs w:val="32"/>
          <w:lang w:eastAsia="zh-CN"/>
        </w:rPr>
        <w:t>一批文化科技特色</w:t>
      </w:r>
      <w:r>
        <w:rPr>
          <w:rFonts w:hint="eastAsia" w:ascii="Times New Roman" w:hAnsi="Times New Roman" w:eastAsia="仿宋_GB2312"/>
          <w:sz w:val="32"/>
          <w:szCs w:val="32"/>
        </w:rPr>
        <w:t>产业集群</w:t>
      </w:r>
      <w:r>
        <w:rPr>
          <w:rFonts w:hint="eastAsia" w:ascii="仿宋_GB2312" w:hAnsi="宋体" w:eastAsia="仿宋_GB2312" w:cs="仿宋_GB2312"/>
          <w:color w:val="000000"/>
          <w:kern w:val="0"/>
          <w:sz w:val="32"/>
          <w:szCs w:val="32"/>
          <w:lang w:bidi="ar"/>
        </w:rPr>
        <w:t>。</w:t>
      </w:r>
      <w:r>
        <w:rPr>
          <w:rFonts w:ascii="Times New Roman" w:hAnsi="Times New Roman" w:eastAsia="仿宋_GB2312" w:cs="Times New Roman"/>
          <w:sz w:val="32"/>
          <w:szCs w:val="32"/>
        </w:rPr>
        <w:t>支持组建新型研发机构，聚焦数智文化领域关键核心技术攻关，健全产学研用协同创新机制，完善成果转化全链条服务体系，</w:t>
      </w:r>
      <w:r>
        <w:rPr>
          <w:rFonts w:hint="default" w:ascii="Times New Roman" w:hAnsi="Times New Roman" w:eastAsia="仿宋_GB2312" w:cs="Times New Roman"/>
          <w:snapToGrid w:val="0"/>
          <w:color w:val="000000"/>
          <w:kern w:val="0"/>
          <w:sz w:val="32"/>
          <w:szCs w:val="40"/>
          <w:highlight w:val="none"/>
          <w:lang w:val="en-US" w:eastAsia="zh-CN" w:bidi="ar-SA"/>
        </w:rPr>
        <w:t>构建</w:t>
      </w:r>
      <w:r>
        <w:rPr>
          <w:rFonts w:hint="eastAsia" w:ascii="Times New Roman" w:hAnsi="Times New Roman" w:eastAsia="仿宋_GB2312" w:cs="Times New Roman"/>
          <w:snapToGrid w:val="0"/>
          <w:color w:val="000000"/>
          <w:kern w:val="0"/>
          <w:sz w:val="32"/>
          <w:szCs w:val="40"/>
          <w:highlight w:val="none"/>
          <w:lang w:val="en-US" w:eastAsia="zh-CN" w:bidi="ar-SA"/>
        </w:rPr>
        <w:t>“</w:t>
      </w:r>
      <w:r>
        <w:rPr>
          <w:rFonts w:hint="default" w:ascii="Times New Roman" w:hAnsi="Times New Roman" w:eastAsia="仿宋_GB2312" w:cs="Times New Roman"/>
          <w:snapToGrid w:val="0"/>
          <w:color w:val="000000"/>
          <w:kern w:val="0"/>
          <w:sz w:val="32"/>
          <w:szCs w:val="40"/>
          <w:highlight w:val="none"/>
          <w:lang w:val="en-US" w:eastAsia="zh-CN" w:bidi="ar-SA"/>
        </w:rPr>
        <w:t>重大实验室+特色园区+共性平台+应用场景</w:t>
      </w:r>
      <w:r>
        <w:rPr>
          <w:rFonts w:hint="eastAsia" w:ascii="Times New Roman" w:hAnsi="Times New Roman" w:eastAsia="仿宋_GB2312" w:cs="Times New Roman"/>
          <w:snapToGrid w:val="0"/>
          <w:color w:val="000000"/>
          <w:kern w:val="0"/>
          <w:sz w:val="32"/>
          <w:szCs w:val="40"/>
          <w:highlight w:val="none"/>
          <w:lang w:val="en-US" w:eastAsia="zh-CN" w:bidi="ar-SA"/>
        </w:rPr>
        <w:t>”</w:t>
      </w:r>
      <w:r>
        <w:rPr>
          <w:rFonts w:hint="default" w:ascii="Times New Roman" w:hAnsi="Times New Roman" w:eastAsia="仿宋_GB2312" w:cs="Times New Roman"/>
          <w:snapToGrid w:val="0"/>
          <w:color w:val="000000"/>
          <w:kern w:val="0"/>
          <w:sz w:val="32"/>
          <w:szCs w:val="40"/>
          <w:highlight w:val="none"/>
          <w:lang w:val="en-US" w:eastAsia="zh-CN" w:bidi="ar-SA"/>
        </w:rPr>
        <w:t>创新矩阵</w:t>
      </w:r>
      <w:r>
        <w:rPr>
          <w:rFonts w:hint="eastAsia" w:ascii="Times New Roman" w:hAnsi="Times New Roman" w:eastAsia="仿宋_GB2312"/>
          <w:sz w:val="32"/>
          <w:szCs w:val="32"/>
        </w:rPr>
        <w:t>，推动实现更多“从</w:t>
      </w:r>
      <w:r>
        <w:rPr>
          <w:rFonts w:ascii="Times New Roman" w:hAnsi="Times New Roman" w:eastAsia="仿宋_GB2312"/>
          <w:sz w:val="32"/>
          <w:szCs w:val="32"/>
        </w:rPr>
        <w:t>0</w:t>
      </w:r>
      <w:r>
        <w:rPr>
          <w:rFonts w:hint="eastAsia" w:ascii="Times New Roman" w:hAnsi="Times New Roman" w:eastAsia="仿宋_GB2312"/>
          <w:sz w:val="32"/>
          <w:szCs w:val="32"/>
        </w:rPr>
        <w:t xml:space="preserve">到 </w:t>
      </w:r>
      <w:r>
        <w:rPr>
          <w:rFonts w:ascii="Times New Roman" w:hAnsi="Times New Roman" w:eastAsia="仿宋_GB2312"/>
          <w:sz w:val="32"/>
          <w:szCs w:val="32"/>
        </w:rPr>
        <w:t>1</w:t>
      </w:r>
      <w:r>
        <w:rPr>
          <w:rFonts w:hint="eastAsia" w:ascii="Times New Roman" w:hAnsi="Times New Roman" w:eastAsia="仿宋_GB2312"/>
          <w:sz w:val="32"/>
          <w:szCs w:val="32"/>
        </w:rPr>
        <w:t>”的突破、从“1到100”的产业转化。</w:t>
      </w:r>
      <w:r>
        <w:rPr>
          <w:rFonts w:hint="default" w:ascii="Times New Roman" w:hAnsi="Times New Roman" w:eastAsia="仿宋_GB2312" w:cs="Times New Roman"/>
          <w:snapToGrid w:val="0"/>
          <w:color w:val="000000"/>
          <w:kern w:val="0"/>
          <w:sz w:val="32"/>
          <w:szCs w:val="40"/>
          <w:highlight w:val="none"/>
          <w:lang w:val="en-US" w:eastAsia="zh-CN" w:bidi="ar-SA"/>
        </w:rPr>
        <w:t>依托AIGC视听产业创新中心，搭建文化产业垂直领域大模型开放开源社区</w:t>
      </w:r>
      <w:r>
        <w:rPr>
          <w:rFonts w:ascii="Times New Roman" w:hAnsi="Times New Roman" w:eastAsia="仿宋_GB2312"/>
          <w:sz w:val="32"/>
          <w:szCs w:val="32"/>
        </w:rPr>
        <w:t>，</w:t>
      </w:r>
      <w:r>
        <w:rPr>
          <w:rFonts w:hint="eastAsia" w:ascii="Times New Roman" w:hAnsi="Times New Roman" w:eastAsia="仿宋_GB2312"/>
          <w:sz w:val="32"/>
          <w:szCs w:val="32"/>
        </w:rPr>
        <w:t>打造50个数字广告</w:t>
      </w:r>
      <w:r>
        <w:rPr>
          <w:rFonts w:ascii="Times New Roman" w:hAnsi="Times New Roman" w:eastAsia="仿宋_GB2312"/>
          <w:sz w:val="32"/>
          <w:szCs w:val="32"/>
        </w:rPr>
        <w:t>、短剧短视频、影视制作、动漫动画、</w:t>
      </w:r>
      <w:r>
        <w:rPr>
          <w:rFonts w:hint="eastAsia" w:ascii="Times New Roman" w:hAnsi="Times New Roman" w:eastAsia="仿宋_GB2312"/>
          <w:sz w:val="32"/>
          <w:szCs w:val="32"/>
        </w:rPr>
        <w:t>数字音乐</w:t>
      </w:r>
      <w:r>
        <w:rPr>
          <w:rFonts w:ascii="Times New Roman" w:hAnsi="Times New Roman" w:eastAsia="仿宋_GB2312"/>
          <w:sz w:val="32"/>
          <w:szCs w:val="32"/>
        </w:rPr>
        <w:t>等</w:t>
      </w:r>
      <w:r>
        <w:rPr>
          <w:rFonts w:hint="eastAsia" w:ascii="Times New Roman" w:hAnsi="Times New Roman" w:eastAsia="仿宋_GB2312"/>
          <w:sz w:val="32"/>
          <w:szCs w:val="32"/>
        </w:rPr>
        <w:t>示范标杆场景，加速形成集聚效应和产业生态。</w:t>
      </w:r>
      <w:r>
        <w:rPr>
          <w:rFonts w:hint="eastAsia" w:ascii="Times New Roman" w:hAnsi="Times New Roman" w:eastAsia="仿宋_GB2312"/>
          <w:sz w:val="32"/>
          <w:szCs w:val="32"/>
          <w:lang w:eastAsia="zh-CN"/>
        </w:rPr>
        <w:t>鼓励企业积极参与</w:t>
      </w:r>
      <w:r>
        <w:rPr>
          <w:rFonts w:hint="eastAsia" w:ascii="Times New Roman" w:hAnsi="Times New Roman" w:eastAsia="仿宋_GB2312"/>
          <w:sz w:val="32"/>
          <w:szCs w:val="32"/>
        </w:rPr>
        <w:t>全球数字经济大会、中关村论坛、CBD论坛等重大平台，</w:t>
      </w:r>
      <w:r>
        <w:rPr>
          <w:rFonts w:hint="eastAsia" w:ascii="Times New Roman" w:hAnsi="Times New Roman" w:eastAsia="仿宋_GB2312"/>
          <w:sz w:val="32"/>
          <w:szCs w:val="32"/>
          <w:lang w:eastAsia="zh-CN"/>
        </w:rPr>
        <w:t>加强合作交流，</w:t>
      </w:r>
      <w:r>
        <w:rPr>
          <w:rFonts w:hint="eastAsia" w:ascii="Times New Roman" w:hAnsi="Times New Roman" w:eastAsia="仿宋_GB2312"/>
          <w:sz w:val="32"/>
          <w:szCs w:val="32"/>
        </w:rPr>
        <w:t>吸引集聚全球文化科技创新资源，营造文化科技融合创新活跃氛围。</w:t>
      </w:r>
    </w:p>
    <w:p w14:paraId="0E0BBB83">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83" w:name="_Toc22904"/>
      <w:r>
        <w:rPr>
          <w:rFonts w:hint="eastAsia" w:ascii="楷体_GB2312" w:hAnsi="楷体_GB2312" w:eastAsia="楷体_GB2312" w:cs="楷体_GB2312"/>
          <w:b w:val="0"/>
          <w:bCs/>
          <w:color w:val="000000"/>
          <w:sz w:val="32"/>
          <w:szCs w:val="32"/>
          <w:lang w:val="en-US" w:eastAsia="zh-CN" w:bidi="ar-SA"/>
        </w:rPr>
        <w:t>文化数据开发利用工程</w:t>
      </w:r>
      <w:bookmarkEnd w:id="83"/>
    </w:p>
    <w:p w14:paraId="01D0CAA4">
      <w:pPr>
        <w:adjustRightInd w:val="0"/>
        <w:snapToGrid w:val="0"/>
        <w:spacing w:before="0" w:beforeLines="-2147483648" w:after="0" w:afterLines="-2147483648" w:line="560" w:lineRule="exact"/>
        <w:ind w:firstLine="640" w:firstLineChars="200"/>
        <w:rPr>
          <w:rFonts w:ascii="仿宋_GB2312" w:hAnsi="仿宋_GB2312" w:eastAsia="Noto Sans SC" w:cs="仿宋_GB2312"/>
          <w:sz w:val="32"/>
          <w:szCs w:val="32"/>
        </w:rPr>
      </w:pPr>
      <w:r>
        <w:rPr>
          <w:rFonts w:hint="eastAsia" w:ascii="Times New Roman" w:hAnsi="Times New Roman" w:eastAsia="仿宋_GB2312" w:cs="Times New Roman"/>
          <w:sz w:val="32"/>
          <w:szCs w:val="32"/>
          <w:lang w:eastAsia="zh-CN"/>
        </w:rPr>
        <w:t>鼓励企业</w:t>
      </w:r>
      <w:r>
        <w:rPr>
          <w:rFonts w:hint="eastAsia" w:ascii="Times New Roman" w:hAnsi="Times New Roman" w:eastAsia="仿宋_GB2312" w:cs="Times New Roman"/>
          <w:sz w:val="32"/>
          <w:szCs w:val="32"/>
        </w:rPr>
        <w:t>加强数据资源开发利用，</w:t>
      </w:r>
      <w:r>
        <w:rPr>
          <w:rFonts w:hint="eastAsia" w:ascii="仿宋_GB2312" w:hAnsi="仿宋_GB2312" w:eastAsia="仿宋_GB2312" w:cs="仿宋_GB2312"/>
          <w:color w:val="000000"/>
          <w:sz w:val="32"/>
          <w:szCs w:val="32"/>
        </w:rPr>
        <w:t>构建文化数据资产保护与应用体系，</w:t>
      </w:r>
      <w:r>
        <w:rPr>
          <w:rFonts w:hint="eastAsia" w:ascii="Times New Roman" w:hAnsi="Times New Roman" w:eastAsia="仿宋_GB2312" w:cs="Times New Roman"/>
          <w:sz w:val="32"/>
          <w:szCs w:val="32"/>
          <w:lang w:eastAsia="zh-CN"/>
        </w:rPr>
        <w:t>探索</w:t>
      </w:r>
      <w:r>
        <w:rPr>
          <w:rFonts w:hint="eastAsia" w:ascii="仿宋_GB2312" w:hAnsi="仿宋_GB2312" w:eastAsia="仿宋_GB2312" w:cs="仿宋_GB2312"/>
          <w:color w:val="000000"/>
          <w:sz w:val="32"/>
          <w:szCs w:val="32"/>
        </w:rPr>
        <w:t>打造集聚合、治理、流通于一体的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一站式</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文化大数据平台，推动文化数据在确权、展示、定价、交易等环节实现全流程数字化、智能化管理，为数据资产流通提供高效便捷的通道。</w:t>
      </w:r>
      <w:r>
        <w:rPr>
          <w:rFonts w:hint="eastAsia" w:ascii="仿宋_GB2312" w:hAnsi="仿宋_GB2312" w:eastAsia="仿宋_GB2312" w:cs="仿宋_GB2312"/>
          <w:color w:val="000000"/>
          <w:sz w:val="32"/>
          <w:szCs w:val="32"/>
          <w:lang w:eastAsia="zh-CN"/>
        </w:rPr>
        <w:t>强化高质量数据要素供给，</w:t>
      </w:r>
      <w:r>
        <w:rPr>
          <w:rFonts w:hint="eastAsia" w:ascii="Times New Roman" w:hAnsi="Times New Roman" w:eastAsia="仿宋_GB2312"/>
          <w:sz w:val="32"/>
          <w:szCs w:val="24"/>
          <w:lang w:eastAsia="zh-CN"/>
        </w:rPr>
        <w:t>鼓励企业</w:t>
      </w:r>
      <w:r>
        <w:rPr>
          <w:rFonts w:hint="eastAsia" w:ascii="Times New Roman" w:hAnsi="Times New Roman" w:eastAsia="仿宋_GB2312"/>
          <w:sz w:val="32"/>
          <w:szCs w:val="24"/>
        </w:rPr>
        <w:t>研发</w:t>
      </w:r>
      <w:r>
        <w:rPr>
          <w:rFonts w:hint="eastAsia" w:ascii="Times New Roman" w:hAnsi="Times New Roman" w:eastAsia="仿宋_GB2312"/>
          <w:sz w:val="32"/>
          <w:szCs w:val="24"/>
          <w:lang w:eastAsia="zh-CN"/>
        </w:rPr>
        <w:t>面向</w:t>
      </w:r>
      <w:r>
        <w:rPr>
          <w:rFonts w:hint="eastAsia" w:ascii="Times New Roman" w:hAnsi="Times New Roman" w:eastAsia="仿宋_GB2312"/>
          <w:sz w:val="32"/>
          <w:szCs w:val="24"/>
        </w:rPr>
        <w:t>文化细分</w:t>
      </w:r>
      <w:r>
        <w:rPr>
          <w:rFonts w:hint="eastAsia" w:ascii="Times New Roman" w:hAnsi="Times New Roman" w:eastAsia="仿宋_GB2312"/>
          <w:sz w:val="32"/>
          <w:szCs w:val="24"/>
          <w:lang w:eastAsia="zh-CN"/>
        </w:rPr>
        <w:t>领域的</w:t>
      </w:r>
      <w:r>
        <w:rPr>
          <w:rFonts w:hint="eastAsia" w:ascii="Times New Roman" w:hAnsi="Times New Roman" w:eastAsia="仿宋_GB2312"/>
          <w:sz w:val="32"/>
          <w:szCs w:val="24"/>
          <w:lang w:val="en-US" w:eastAsia="zh-CN"/>
        </w:rPr>
        <w:t>AI视觉、3D生成等</w:t>
      </w:r>
      <w:r>
        <w:rPr>
          <w:rFonts w:hint="eastAsia" w:ascii="Times New Roman" w:hAnsi="Times New Roman" w:eastAsia="仿宋_GB2312"/>
          <w:sz w:val="32"/>
          <w:szCs w:val="24"/>
          <w:lang w:eastAsia="zh-CN"/>
        </w:rPr>
        <w:t>行业</w:t>
      </w:r>
      <w:r>
        <w:rPr>
          <w:rFonts w:hint="eastAsia" w:ascii="Times New Roman" w:hAnsi="Times New Roman" w:eastAsia="仿宋_GB2312"/>
          <w:sz w:val="32"/>
          <w:szCs w:val="24"/>
        </w:rPr>
        <w:t>模型，</w:t>
      </w:r>
      <w:r>
        <w:rPr>
          <w:rFonts w:hint="eastAsia" w:ascii="仿宋_GB2312" w:hAnsi="仿宋_GB2312" w:eastAsia="仿宋_GB2312" w:cs="仿宋_GB2312"/>
          <w:i w:val="0"/>
          <w:iCs w:val="0"/>
          <w:caps w:val="0"/>
          <w:color w:val="000000"/>
          <w:spacing w:val="0"/>
          <w:sz w:val="32"/>
          <w:szCs w:val="32"/>
          <w:shd w:val="clear"/>
        </w:rPr>
        <w:t>建设多模态智能数字资产数据集</w:t>
      </w:r>
      <w:r>
        <w:rPr>
          <w:rFonts w:hint="eastAsia" w:ascii="仿宋_GB2312" w:hAnsi="仿宋_GB2312" w:eastAsia="仿宋_GB2312" w:cs="仿宋_GB2312"/>
          <w:i w:val="0"/>
          <w:iCs w:val="0"/>
          <w:caps w:val="0"/>
          <w:color w:val="000000"/>
          <w:spacing w:val="0"/>
          <w:sz w:val="32"/>
          <w:szCs w:val="32"/>
          <w:shd w:val="clear"/>
          <w:lang w:eastAsia="zh-CN"/>
        </w:rPr>
        <w:t>，支持专业机构提供企业数据治理和质量评价服务</w:t>
      </w:r>
      <w:r>
        <w:rPr>
          <w:rFonts w:hint="eastAsia" w:ascii="仿宋_GB2312" w:hAnsi="仿宋_GB2312" w:eastAsia="仿宋_GB2312" w:cs="仿宋_GB2312"/>
          <w:b w:val="0"/>
          <w:bCs w:val="0"/>
          <w:color w:val="000000"/>
          <w:sz w:val="32"/>
          <w:szCs w:val="32"/>
          <w:lang w:eastAsia="zh-CN"/>
        </w:rPr>
        <w:t>，</w:t>
      </w:r>
      <w:r>
        <w:rPr>
          <w:rFonts w:hint="eastAsia" w:ascii="Times New Roman" w:hAnsi="Times New Roman" w:eastAsia="仿宋_GB2312" w:cs="Times New Roman"/>
          <w:sz w:val="32"/>
          <w:szCs w:val="32"/>
        </w:rPr>
        <w:t>推动数据集</w:t>
      </w:r>
      <w:r>
        <w:rPr>
          <w:rFonts w:hint="eastAsia" w:ascii="Times New Roman" w:hAnsi="Times New Roman" w:eastAsia="仿宋_GB2312" w:cs="Times New Roman"/>
          <w:sz w:val="32"/>
          <w:szCs w:val="32"/>
          <w:lang w:eastAsia="zh-CN"/>
        </w:rPr>
        <w:t>依法依规</w:t>
      </w:r>
      <w:r>
        <w:rPr>
          <w:rFonts w:hint="eastAsia" w:ascii="Times New Roman" w:hAnsi="Times New Roman" w:eastAsia="仿宋_GB2312" w:cs="Times New Roman"/>
          <w:sz w:val="32"/>
          <w:szCs w:val="32"/>
        </w:rPr>
        <w:t>面向公众开放使用</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b w:val="0"/>
          <w:bCs w:val="0"/>
          <w:color w:val="000000"/>
          <w:sz w:val="32"/>
          <w:szCs w:val="32"/>
          <w:lang w:eastAsia="zh-CN"/>
        </w:rPr>
        <w:t>支持企业模型训练和场景应用，</w:t>
      </w:r>
      <w:r>
        <w:rPr>
          <w:rFonts w:hint="eastAsia" w:ascii="仿宋_GB2312" w:hAnsi="仿宋_GB2312" w:eastAsia="仿宋_GB2312" w:cs="仿宋_GB2312"/>
          <w:color w:val="000000"/>
          <w:sz w:val="32"/>
          <w:szCs w:val="32"/>
          <w:lang w:eastAsia="zh-CN"/>
        </w:rPr>
        <w:t>加速</w:t>
      </w:r>
      <w:r>
        <w:rPr>
          <w:rFonts w:hint="eastAsia" w:ascii="仿宋_GB2312" w:hAnsi="仿宋_GB2312" w:eastAsia="仿宋_GB2312" w:cs="仿宋_GB2312"/>
          <w:color w:val="000000"/>
          <w:sz w:val="32"/>
          <w:szCs w:val="32"/>
        </w:rPr>
        <w:t>文化数据</w:t>
      </w:r>
      <w:r>
        <w:rPr>
          <w:rFonts w:hint="eastAsia" w:ascii="仿宋_GB2312" w:hAnsi="仿宋_GB2312" w:eastAsia="仿宋_GB2312" w:cs="仿宋_GB2312"/>
          <w:color w:val="000000"/>
          <w:sz w:val="32"/>
          <w:szCs w:val="32"/>
          <w:lang w:eastAsia="zh-CN"/>
        </w:rPr>
        <w:t>价值显性化、资产化</w:t>
      </w:r>
      <w:r>
        <w:rPr>
          <w:rFonts w:hint="eastAsia" w:ascii="仿宋_GB2312" w:hAnsi="仿宋_GB2312" w:eastAsia="仿宋_GB2312" w:cs="仿宋_GB2312"/>
          <w:i w:val="0"/>
          <w:iCs w:val="0"/>
          <w:caps w:val="0"/>
          <w:color w:val="000000"/>
          <w:spacing w:val="0"/>
          <w:sz w:val="32"/>
          <w:szCs w:val="32"/>
          <w:shd w:val="clear"/>
          <w:lang w:eastAsia="zh-CN"/>
        </w:rPr>
        <w:t>。</w:t>
      </w:r>
      <w:r>
        <w:rPr>
          <w:rFonts w:ascii="Times New Roman" w:hAnsi="Times New Roman" w:eastAsia="仿宋_GB2312" w:cs="Times New Roman"/>
          <w:sz w:val="32"/>
          <w:szCs w:val="32"/>
        </w:rPr>
        <w:t>探索数据分类分级和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监管沙盒</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机制，</w:t>
      </w:r>
      <w:r>
        <w:rPr>
          <w:rFonts w:hint="eastAsia" w:ascii="仿宋_GB2312" w:hAnsi="仿宋_GB2312" w:eastAsia="仿宋_GB2312" w:cs="仿宋_GB2312"/>
          <w:color w:val="000000"/>
          <w:sz w:val="32"/>
          <w:szCs w:val="32"/>
          <w:lang w:eastAsia="zh-CN"/>
        </w:rPr>
        <w:t>提升数据运营效率</w:t>
      </w:r>
      <w:r>
        <w:rPr>
          <w:rFonts w:hint="eastAsia" w:ascii="仿宋_GB2312" w:hAnsi="仿宋_GB2312" w:eastAsia="仿宋_GB2312" w:cs="仿宋_GB2312"/>
          <w:color w:val="000000"/>
          <w:sz w:val="32"/>
          <w:szCs w:val="32"/>
        </w:rPr>
        <w:t>，</w:t>
      </w:r>
      <w:r>
        <w:rPr>
          <w:rFonts w:hint="eastAsia" w:ascii="Times New Roman" w:hAnsi="Times New Roman" w:eastAsia="仿宋_GB2312" w:cs="Times New Roman"/>
          <w:sz w:val="32"/>
          <w:szCs w:val="32"/>
        </w:rPr>
        <w:t>完善分级授权管理、全过程审计监督、数据脱敏加密等保障体系</w:t>
      </w:r>
      <w:r>
        <w:rPr>
          <w:rFonts w:ascii="Times New Roman" w:hAnsi="Times New Roman" w:eastAsia="仿宋_GB2312" w:cs="Times New Roman"/>
          <w:sz w:val="32"/>
          <w:szCs w:val="32"/>
        </w:rPr>
        <w:t>。</w:t>
      </w:r>
    </w:p>
    <w:p w14:paraId="6522A123">
      <w:pPr>
        <w:widowControl w:val="0"/>
        <w:numPr>
          <w:ilvl w:val="0"/>
          <w:numId w:val="5"/>
        </w:numPr>
        <w:autoSpaceDE w:val="0"/>
        <w:autoSpaceDN w:val="0"/>
        <w:adjustRightInd w:val="0"/>
        <w:spacing w:before="156" w:beforeLines="50" w:after="156" w:afterLines="50" w:line="560" w:lineRule="exact"/>
        <w:jc w:val="center"/>
        <w:outlineLvl w:val="1"/>
        <w:rPr>
          <w:rFonts w:hint="default" w:ascii="Times New Roman" w:hAnsi="Times New Roman" w:eastAsia="楷体_GB2312" w:cs="Times New Roman"/>
          <w:b w:val="0"/>
          <w:bCs/>
          <w:color w:val="000000"/>
          <w:sz w:val="32"/>
          <w:szCs w:val="32"/>
          <w:highlight w:val="none"/>
          <w:lang w:val="en-US" w:eastAsia="zh-CN" w:bidi="ar-SA"/>
        </w:rPr>
      </w:pPr>
      <w:bookmarkStart w:id="84" w:name="_Toc6882"/>
      <w:r>
        <w:rPr>
          <w:rFonts w:hint="default" w:ascii="Times New Roman" w:hAnsi="Times New Roman" w:eastAsia="楷体_GB2312" w:cs="Times New Roman"/>
          <w:b w:val="0"/>
          <w:bCs/>
          <w:color w:val="000000"/>
          <w:sz w:val="32"/>
          <w:szCs w:val="32"/>
          <w:highlight w:val="none"/>
          <w:lang w:val="en-US" w:eastAsia="zh-CN" w:bidi="ar-SA"/>
        </w:rPr>
        <w:t>IP</w:t>
      </w:r>
      <w:r>
        <w:rPr>
          <w:rFonts w:hint="eastAsia" w:ascii="Times New Roman" w:hAnsi="Times New Roman" w:eastAsia="楷体_GB2312" w:cs="Times New Roman"/>
          <w:b w:val="0"/>
          <w:bCs/>
          <w:color w:val="000000"/>
          <w:sz w:val="32"/>
          <w:szCs w:val="32"/>
          <w:highlight w:val="none"/>
          <w:lang w:val="en-US" w:eastAsia="zh-CN" w:bidi="ar-SA"/>
        </w:rPr>
        <w:t>创造与价值提升</w:t>
      </w:r>
      <w:r>
        <w:rPr>
          <w:rFonts w:hint="default" w:ascii="Times New Roman" w:hAnsi="Times New Roman" w:eastAsia="楷体_GB2312" w:cs="Times New Roman"/>
          <w:b w:val="0"/>
          <w:bCs/>
          <w:color w:val="000000"/>
          <w:sz w:val="32"/>
          <w:szCs w:val="32"/>
          <w:highlight w:val="none"/>
          <w:lang w:val="en-US" w:eastAsia="zh-CN" w:bidi="ar-SA"/>
        </w:rPr>
        <w:t>工程</w:t>
      </w:r>
      <w:bookmarkEnd w:id="84"/>
    </w:p>
    <w:p w14:paraId="1F0EA006">
      <w:pPr>
        <w:keepNext w:val="0"/>
        <w:keepLines w:val="0"/>
        <w:pageBreakBefore w:val="0"/>
        <w:widowControl w:val="0"/>
        <w:numPr>
          <w:ilvl w:val="0"/>
          <w:numId w:val="0"/>
        </w:numPr>
        <w:kinsoku/>
        <w:wordWrap/>
        <w:overflowPunct/>
        <w:topLinePunct w:val="0"/>
        <w:autoSpaceDE w:val="0"/>
        <w:autoSpaceDN w:val="0"/>
        <w:bidi w:val="0"/>
        <w:adjustRightInd w:val="0"/>
        <w:spacing w:line="560" w:lineRule="exact"/>
        <w:ind w:firstLine="640" w:firstLineChars="200"/>
        <w:textAlignment w:val="auto"/>
        <w:rPr>
          <w:rFonts w:hint="eastAsia" w:ascii="仿宋_GB2312" w:hAnsi="仿宋_GB2312" w:eastAsia="仿宋_GB2312" w:cs="仿宋_GB2312"/>
          <w:b w:val="0"/>
          <w:bCs w:val="0"/>
          <w:color w:val="000000"/>
          <w:sz w:val="32"/>
          <w:szCs w:val="32"/>
          <w:lang w:val="en-US" w:eastAsia="zh-CN" w:bidi="ar-SA"/>
        </w:rPr>
      </w:pPr>
      <w:r>
        <w:rPr>
          <w:rFonts w:hint="default" w:ascii="Times New Roman" w:hAnsi="Times New Roman" w:eastAsia="仿宋_GB2312" w:cs="Times New Roman"/>
          <w:sz w:val="32"/>
          <w:szCs w:val="32"/>
        </w:rPr>
        <w:t>充分发挥朝阳区文创企业集群效应与资源聚合优势，聚焦文学、影视、动漫、游戏、潮玩衍生等领域，培育原创力强、市场潜力大的精品项目与超级IP</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color w:val="000000"/>
          <w:sz w:val="32"/>
          <w:szCs w:val="32"/>
          <w:lang w:val="en-US" w:eastAsia="zh-CN" w:bidi="ar-SA"/>
        </w:rPr>
        <w:t>引导支持企业积极构建以</w:t>
      </w:r>
      <w:r>
        <w:rPr>
          <w:rFonts w:hint="default" w:ascii="Times New Roman" w:hAnsi="Times New Roman" w:eastAsia="仿宋_GB2312" w:cs="Times New Roman"/>
          <w:color w:val="000000"/>
          <w:sz w:val="32"/>
          <w:szCs w:val="32"/>
          <w:lang w:val="en-US" w:eastAsia="zh-CN" w:bidi="ar-SA"/>
        </w:rPr>
        <w:t>IP</w:t>
      </w:r>
      <w:r>
        <w:rPr>
          <w:rFonts w:hint="eastAsia" w:ascii="仿宋_GB2312" w:hAnsi="仿宋_GB2312" w:eastAsia="仿宋_GB2312" w:cs="仿宋_GB2312"/>
          <w:color w:val="000000"/>
          <w:sz w:val="32"/>
          <w:szCs w:val="32"/>
          <w:lang w:val="en-US" w:eastAsia="zh-CN" w:bidi="ar-SA"/>
        </w:rPr>
        <w:t>为核心的版权运营生态，鼓励专业机构搭建版权交易平台，</w:t>
      </w:r>
      <w:r>
        <w:rPr>
          <w:rFonts w:hint="eastAsia" w:ascii="Times New Roman" w:hAnsi="Times New Roman" w:eastAsia="仿宋_GB2312" w:cs="Times New Roman"/>
          <w:sz w:val="32"/>
          <w:szCs w:val="32"/>
          <w:lang w:eastAsia="zh-CN"/>
        </w:rPr>
        <w:t>打造</w:t>
      </w:r>
      <w:r>
        <w:rPr>
          <w:rFonts w:ascii="Times New Roman" w:hAnsi="Times New Roman" w:eastAsia="仿宋_GB2312" w:cs="Times New Roman"/>
          <w:sz w:val="32"/>
          <w:szCs w:val="32"/>
        </w:rPr>
        <w:t>文化IP授权中心，</w:t>
      </w:r>
      <w:r>
        <w:rPr>
          <w:rFonts w:hint="eastAsia" w:ascii="仿宋_GB2312" w:hAnsi="仿宋_GB2312" w:eastAsia="仿宋_GB2312" w:cs="仿宋_GB2312"/>
          <w:color w:val="000000"/>
          <w:sz w:val="32"/>
          <w:szCs w:val="32"/>
          <w:lang w:val="en-US" w:eastAsia="zh-CN" w:bidi="ar-SA"/>
        </w:rPr>
        <w:t>开展版权信息展示、</w:t>
      </w:r>
      <w:r>
        <w:rPr>
          <w:rFonts w:hint="eastAsia" w:ascii="Times New Roman" w:hAnsi="Times New Roman" w:eastAsia="仿宋_GB2312" w:cs="Times New Roman"/>
          <w:b w:val="0"/>
          <w:bCs w:val="0"/>
          <w:color w:val="auto"/>
          <w:kern w:val="2"/>
          <w:sz w:val="32"/>
          <w:szCs w:val="32"/>
          <w:lang w:val="en-US" w:eastAsia="zh-CN" w:bidi="ar-SA"/>
        </w:rPr>
        <w:t>多维授权</w:t>
      </w:r>
      <w:r>
        <w:rPr>
          <w:rFonts w:hint="eastAsia" w:ascii="Times New Roman" w:hAnsi="Times New Roman" w:eastAsia="仿宋_GB2312" w:cs="Times New Roman"/>
          <w:i w:val="0"/>
          <w:iCs w:val="0"/>
          <w:caps w:val="0"/>
          <w:color w:val="auto"/>
          <w:spacing w:val="0"/>
          <w:kern w:val="2"/>
          <w:sz w:val="32"/>
          <w:szCs w:val="32"/>
          <w:shd w:val="clear" w:color="auto" w:fill="auto"/>
          <w:lang w:val="en-US" w:eastAsia="zh-CN" w:bidi="ar-SA"/>
        </w:rPr>
        <w:t>、</w:t>
      </w:r>
      <w:r>
        <w:rPr>
          <w:rFonts w:hint="eastAsia" w:ascii="仿宋_GB2312" w:hAnsi="仿宋_GB2312" w:eastAsia="仿宋_GB2312" w:cs="仿宋_GB2312"/>
          <w:i w:val="0"/>
          <w:iCs w:val="0"/>
          <w:caps w:val="0"/>
          <w:color w:val="000000"/>
          <w:spacing w:val="0"/>
          <w:sz w:val="32"/>
          <w:szCs w:val="32"/>
          <w:shd w:val="clear" w:color="auto" w:fill="auto"/>
          <w:lang w:val="en-US" w:eastAsia="zh-CN" w:bidi="ar-SA"/>
        </w:rPr>
        <w:t>动态评估与衍生品开发等市场化运作，释放精品</w:t>
      </w:r>
      <w:r>
        <w:rPr>
          <w:rFonts w:hint="default" w:ascii="Times New Roman" w:hAnsi="Times New Roman" w:eastAsia="仿宋_GB2312" w:cs="Times New Roman"/>
          <w:i w:val="0"/>
          <w:iCs w:val="0"/>
          <w:caps w:val="0"/>
          <w:color w:val="000000"/>
          <w:spacing w:val="0"/>
          <w:sz w:val="32"/>
          <w:szCs w:val="32"/>
          <w:shd w:val="clear" w:color="auto" w:fill="auto"/>
          <w:lang w:val="en-US" w:eastAsia="zh-CN" w:bidi="ar-SA"/>
        </w:rPr>
        <w:t>IP的</w:t>
      </w:r>
      <w:r>
        <w:rPr>
          <w:rFonts w:hint="eastAsia" w:ascii="仿宋_GB2312" w:hAnsi="仿宋_GB2312" w:eastAsia="仿宋_GB2312" w:cs="仿宋_GB2312"/>
          <w:i w:val="0"/>
          <w:iCs w:val="0"/>
          <w:caps w:val="0"/>
          <w:color w:val="000000"/>
          <w:spacing w:val="0"/>
          <w:sz w:val="32"/>
          <w:szCs w:val="32"/>
          <w:shd w:val="clear" w:color="auto" w:fill="auto"/>
          <w:lang w:val="en-US" w:eastAsia="zh-CN" w:bidi="ar-SA"/>
        </w:rPr>
        <w:t>商业潜能与长尾效应</w:t>
      </w:r>
      <w:r>
        <w:rPr>
          <w:rFonts w:hint="eastAsia" w:ascii="仿宋_GB2312" w:hAnsi="仿宋_GB2312" w:eastAsia="仿宋_GB2312" w:cs="仿宋_GB2312"/>
          <w:b w:val="0"/>
          <w:bCs w:val="0"/>
          <w:color w:val="000000"/>
          <w:sz w:val="32"/>
          <w:szCs w:val="32"/>
          <w:lang w:val="en-US" w:eastAsia="zh-CN" w:bidi="ar-SA"/>
        </w:rPr>
        <w:t>。</w:t>
      </w:r>
      <w:r>
        <w:rPr>
          <w:rFonts w:hint="eastAsia" w:ascii="Times New Roman" w:hAnsi="Times New Roman" w:eastAsia="仿宋_GB2312" w:cs="Times New Roman"/>
          <w:b w:val="0"/>
          <w:bCs w:val="0"/>
          <w:color w:val="000000"/>
          <w:sz w:val="32"/>
          <w:szCs w:val="32"/>
          <w:lang w:val="en-US" w:eastAsia="zh-CN" w:bidi="ar-SA"/>
        </w:rPr>
        <w:t>发挥国家文创实验区</w:t>
      </w:r>
      <w:r>
        <w:rPr>
          <w:rFonts w:hint="default" w:ascii="Times New Roman" w:hAnsi="Times New Roman" w:eastAsia="仿宋_GB2312" w:cs="Times New Roman"/>
          <w:b w:val="0"/>
          <w:bCs w:val="0"/>
          <w:color w:val="000000"/>
          <w:sz w:val="32"/>
          <w:szCs w:val="32"/>
          <w:lang w:val="en-US" w:eastAsia="zh-CN" w:bidi="ar-SA"/>
        </w:rPr>
        <w:t>知识产权工作站</w:t>
      </w:r>
      <w:r>
        <w:rPr>
          <w:rFonts w:hint="eastAsia" w:ascii="Times New Roman" w:hAnsi="Times New Roman" w:eastAsia="仿宋_GB2312" w:cs="Times New Roman"/>
          <w:b w:val="0"/>
          <w:bCs w:val="0"/>
          <w:color w:val="000000"/>
          <w:sz w:val="32"/>
          <w:szCs w:val="32"/>
          <w:lang w:val="en-US" w:eastAsia="zh-CN" w:bidi="ar-SA"/>
        </w:rPr>
        <w:t>、法官工作站、版权保护示范园区（基地）等平台作用，</w:t>
      </w:r>
      <w:r>
        <w:rPr>
          <w:rFonts w:hint="default" w:ascii="Times New Roman" w:hAnsi="Times New Roman" w:eastAsia="仿宋_GB2312" w:cs="Times New Roman"/>
          <w:snapToGrid w:val="0"/>
          <w:color w:val="000000"/>
          <w:kern w:val="0"/>
          <w:sz w:val="32"/>
          <w:szCs w:val="40"/>
          <w:highlight w:val="none"/>
          <w:lang w:val="en-US" w:eastAsia="zh-CN" w:bidi="ar-SA"/>
        </w:rPr>
        <w:t>建立知识产权纠纷行政调解快速响应机制，</w:t>
      </w:r>
      <w:r>
        <w:rPr>
          <w:rFonts w:hint="eastAsia" w:ascii="Times New Roman" w:hAnsi="Times New Roman" w:eastAsia="仿宋_GB2312" w:cs="Times New Roman"/>
          <w:b w:val="0"/>
          <w:bCs w:val="0"/>
          <w:color w:val="000000"/>
          <w:sz w:val="32"/>
          <w:szCs w:val="32"/>
          <w:lang w:val="en-US" w:eastAsia="zh-CN" w:bidi="ar-SA"/>
        </w:rPr>
        <w:t>为企业</w:t>
      </w:r>
      <w:r>
        <w:rPr>
          <w:rFonts w:hint="eastAsia" w:ascii="Times New Roman" w:hAnsi="Times New Roman" w:eastAsia="仿宋_GB2312" w:cs="Times New Roman"/>
          <w:b w:val="0"/>
          <w:bCs w:val="0"/>
          <w:color w:val="auto"/>
          <w:kern w:val="2"/>
          <w:sz w:val="32"/>
          <w:szCs w:val="32"/>
          <w:lang w:val="en-US" w:eastAsia="zh-CN" w:bidi="ar-SA"/>
        </w:rPr>
        <w:t>提</w:t>
      </w:r>
      <w:r>
        <w:rPr>
          <w:rFonts w:hint="default" w:ascii="Times New Roman" w:hAnsi="Times New Roman" w:eastAsia="仿宋_GB2312" w:cs="Times New Roman"/>
          <w:b w:val="0"/>
          <w:bCs w:val="0"/>
          <w:color w:val="auto"/>
          <w:kern w:val="2"/>
          <w:sz w:val="32"/>
          <w:szCs w:val="32"/>
          <w:lang w:val="en-US" w:eastAsia="zh-CN" w:bidi="ar-SA"/>
        </w:rPr>
        <w:t>供</w:t>
      </w:r>
      <w:r>
        <w:rPr>
          <w:rFonts w:hint="eastAsia" w:ascii="Times New Roman" w:hAnsi="Times New Roman" w:eastAsia="仿宋_GB2312" w:cs="Times New Roman"/>
          <w:b w:val="0"/>
          <w:bCs w:val="0"/>
          <w:color w:val="auto"/>
          <w:kern w:val="2"/>
          <w:sz w:val="32"/>
          <w:szCs w:val="32"/>
          <w:lang w:val="en-US" w:eastAsia="zh-CN" w:bidi="ar-SA"/>
        </w:rPr>
        <w:t>登记存证、快速确权、维权和侵权监测服务，</w:t>
      </w:r>
      <w:r>
        <w:rPr>
          <w:rFonts w:hint="eastAsia" w:ascii="Times New Roman" w:hAnsi="Times New Roman" w:eastAsia="仿宋_GB2312" w:cs="Times New Roman"/>
          <w:b w:val="0"/>
          <w:bCs w:val="0"/>
          <w:color w:val="000000"/>
          <w:sz w:val="32"/>
          <w:szCs w:val="32"/>
          <w:lang w:val="en-US" w:eastAsia="zh-CN" w:bidi="ar-SA"/>
        </w:rPr>
        <w:t>健全</w:t>
      </w:r>
      <w:r>
        <w:rPr>
          <w:rFonts w:hint="eastAsia" w:ascii="仿宋_GB2312" w:hAnsi="仿宋_GB2312" w:eastAsia="仿宋_GB2312" w:cs="仿宋_GB2312"/>
          <w:color w:val="000000"/>
          <w:sz w:val="32"/>
          <w:szCs w:val="32"/>
          <w:lang w:val="en-US" w:eastAsia="zh-CN" w:bidi="ar-SA"/>
        </w:rPr>
        <w:t>版权保护体系，</w:t>
      </w:r>
      <w:r>
        <w:rPr>
          <w:rFonts w:hint="default" w:ascii="Times New Roman" w:hAnsi="Times New Roman" w:eastAsia="仿宋_GB2312" w:cs="Times New Roman"/>
          <w:snapToGrid w:val="0"/>
          <w:color w:val="000000"/>
          <w:kern w:val="0"/>
          <w:sz w:val="32"/>
          <w:szCs w:val="40"/>
          <w:highlight w:val="none"/>
          <w:lang w:val="en-US" w:eastAsia="zh-CN" w:bidi="ar-SA"/>
        </w:rPr>
        <w:t>切实降低企业维权成本</w:t>
      </w:r>
      <w:r>
        <w:rPr>
          <w:rFonts w:hint="eastAsia" w:ascii="Times New Roman" w:hAnsi="Times New Roman" w:eastAsia="仿宋_GB2312" w:cs="Times New Roman"/>
          <w:snapToGrid w:val="0"/>
          <w:color w:val="000000"/>
          <w:kern w:val="0"/>
          <w:sz w:val="32"/>
          <w:szCs w:val="40"/>
          <w:highlight w:val="none"/>
          <w:lang w:val="en-US" w:eastAsia="zh-CN" w:bidi="ar-SA"/>
        </w:rPr>
        <w:t>，</w:t>
      </w:r>
      <w:r>
        <w:rPr>
          <w:rFonts w:hint="eastAsia" w:ascii="仿宋_GB2312" w:hAnsi="仿宋_GB2312" w:eastAsia="仿宋_GB2312" w:cs="仿宋_GB2312"/>
          <w:color w:val="000000"/>
          <w:sz w:val="32"/>
          <w:szCs w:val="32"/>
          <w:lang w:val="en-US" w:eastAsia="zh-CN" w:bidi="ar-SA"/>
        </w:rPr>
        <w:t>营造健康创作环境。</w:t>
      </w:r>
    </w:p>
    <w:p w14:paraId="3D328DCC">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85" w:name="_Toc20099"/>
      <w:r>
        <w:rPr>
          <w:rFonts w:hint="eastAsia" w:ascii="楷体_GB2312" w:hAnsi="楷体_GB2312" w:eastAsia="楷体_GB2312" w:cs="楷体_GB2312"/>
          <w:b w:val="0"/>
          <w:bCs/>
          <w:color w:val="000000"/>
          <w:sz w:val="32"/>
          <w:szCs w:val="32"/>
          <w:lang w:val="en-US" w:eastAsia="zh-CN" w:bidi="ar-SA"/>
        </w:rPr>
        <w:t>文化精品培育工程</w:t>
      </w:r>
      <w:bookmarkEnd w:id="85"/>
    </w:p>
    <w:p w14:paraId="18E9F768">
      <w:pPr>
        <w:widowControl w:val="0"/>
        <w:autoSpaceDE w:val="0"/>
        <w:autoSpaceDN w:val="0"/>
        <w:adjustRightInd w:val="0"/>
        <w:spacing w:before="156" w:beforeLines="50" w:after="156" w:afterLines="50" w:line="560" w:lineRule="exact"/>
        <w:ind w:firstLine="640" w:firstLineChars="200"/>
        <w:jc w:val="both"/>
        <w:rPr>
          <w:rFonts w:ascii="仿宋_GB2312" w:hAnsi="仿宋_GB2312" w:eastAsia="仿宋_GB2312" w:cs="仿宋_GB2312"/>
          <w:color w:val="auto"/>
          <w:kern w:val="2"/>
          <w:sz w:val="32"/>
          <w:szCs w:val="40"/>
          <w:lang w:val="en-US" w:eastAsia="zh-CN" w:bidi="ar-SA"/>
        </w:rPr>
      </w:pPr>
      <w:r>
        <w:rPr>
          <w:rFonts w:hint="eastAsia" w:ascii="Times New Roman" w:hAnsi="Times New Roman" w:eastAsia="仿宋_GB2312" w:cs="Times New Roman"/>
          <w:color w:val="auto"/>
          <w:kern w:val="2"/>
          <w:sz w:val="32"/>
          <w:szCs w:val="40"/>
          <w:lang w:val="en-US" w:eastAsia="zh-CN" w:bidi="ar-SA"/>
        </w:rPr>
        <w:t>增强文化精品原创能力，聚焦新时代现实题材和中华优秀传统文化题材，重点支持文学艺术、新闻出版、影视动漫、微短剧、网络游戏等领域精品创作，给予选题策划、版权交易、市场推广全流程支持，推出50部（个）思想精深、艺术精湛、制作精良的精品力作。深</w:t>
      </w:r>
      <w:r>
        <w:rPr>
          <w:rFonts w:hint="eastAsia" w:ascii="Times New Roman" w:hAnsi="Times New Roman" w:eastAsia="仿宋_GB2312" w:cs="Times New Roman"/>
          <w:color w:val="auto"/>
          <w:kern w:val="2"/>
          <w:sz w:val="32"/>
          <w:szCs w:val="32"/>
          <w:lang w:val="en-US" w:eastAsia="zh-CN" w:bidi="ar-SA"/>
        </w:rPr>
        <w:t>入挖掘城市文化基因，依托数字技术</w:t>
      </w:r>
      <w:r>
        <w:rPr>
          <w:rFonts w:hint="eastAsia" w:ascii="仿宋_GB2312" w:hAnsi="仿宋_GB2312" w:eastAsia="仿宋_GB2312" w:cs="仿宋_GB2312"/>
          <w:color w:val="auto"/>
          <w:kern w:val="2"/>
          <w:sz w:val="32"/>
          <w:szCs w:val="40"/>
          <w:lang w:val="en-US" w:eastAsia="zh-CN" w:bidi="ar-SA"/>
        </w:rPr>
        <w:t>赋能与沉浸式场景构建，打造地域特色文化精品项目，多维展现朝阳区古今交融、开放包容的文化特质。加大区域特色文化内涵挖掘与传承，全力打造特色鲜明、具有较高标识度和竞争力的朝阳文化品牌体系。高水平策划开展国家文创实验区发展大会、文化金融思享汇、魅力京津冀等品牌活动，推动国家文创实验区品牌化建设。持续推进产城融合发展，打造有温度、有活力、便民性的城市文化新空间，切实把朝阳人文资源、国际资源、商务资源转化为品牌价值和产业价值，赋能城市经济高质量发展。</w:t>
      </w:r>
    </w:p>
    <w:p w14:paraId="2E1410FB">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86" w:name="_Toc24116"/>
      <w:r>
        <w:rPr>
          <w:rFonts w:hint="eastAsia" w:ascii="楷体_GB2312" w:hAnsi="楷体_GB2312" w:eastAsia="楷体_GB2312" w:cs="楷体_GB2312"/>
          <w:b w:val="0"/>
          <w:bCs/>
          <w:color w:val="000000"/>
          <w:sz w:val="32"/>
          <w:szCs w:val="32"/>
          <w:lang w:val="en-US" w:eastAsia="zh-CN" w:bidi="ar-SA"/>
        </w:rPr>
        <w:t>企业梯次化培育工程</w:t>
      </w:r>
      <w:bookmarkEnd w:id="86"/>
    </w:p>
    <w:p w14:paraId="10E4C09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Chars="200"/>
        <w:jc w:val="both"/>
        <w:textAlignment w:val="baseline"/>
        <w:outlineLvl w:val="2"/>
        <w:rPr>
          <w:rFonts w:ascii="Times New Roman" w:hAnsi="Times New Roman" w:eastAsia="仿宋_GB2312"/>
          <w:sz w:val="32"/>
          <w:szCs w:val="32"/>
        </w:rPr>
      </w:pPr>
      <w:r>
        <w:rPr>
          <w:rFonts w:hint="eastAsia" w:ascii="Times New Roman" w:hAnsi="Times New Roman" w:eastAsia="仿宋_GB2312"/>
          <w:sz w:val="32"/>
          <w:szCs w:val="32"/>
        </w:rPr>
        <w:t>加大</w:t>
      </w:r>
      <w:r>
        <w:rPr>
          <w:rFonts w:hint="eastAsia" w:ascii="仿宋_GB2312" w:hAnsi="仿宋_GB2312" w:eastAsia="仿宋_GB2312" w:cs="仿宋_GB2312"/>
          <w:color w:val="000000"/>
          <w:sz w:val="32"/>
          <w:szCs w:val="32"/>
        </w:rPr>
        <w:t>“链主</w:t>
      </w:r>
      <w:r>
        <w:rPr>
          <w:rFonts w:hint="eastAsia" w:ascii="Times New Roman" w:hAnsi="Times New Roman" w:eastAsia="仿宋_GB2312"/>
          <w:color w:val="000000"/>
          <w:sz w:val="32"/>
          <w:szCs w:val="32"/>
        </w:rPr>
        <w:t>”企业培育，</w:t>
      </w:r>
      <w:r>
        <w:rPr>
          <w:rFonts w:ascii="仿宋_GB2312" w:hAnsi="仿宋_GB2312" w:eastAsia="仿宋_GB2312" w:cs="仿宋_GB2312"/>
          <w:color w:val="000000"/>
          <w:sz w:val="32"/>
          <w:szCs w:val="32"/>
        </w:rPr>
        <w:t>重点</w:t>
      </w:r>
      <w:r>
        <w:rPr>
          <w:rFonts w:hint="eastAsia" w:ascii="仿宋_GB2312" w:hAnsi="仿宋_GB2312" w:eastAsia="仿宋_GB2312" w:cs="仿宋_GB2312"/>
          <w:color w:val="000000"/>
          <w:sz w:val="32"/>
          <w:szCs w:val="32"/>
        </w:rPr>
        <w:t>引育</w:t>
      </w:r>
      <w:r>
        <w:rPr>
          <w:rFonts w:hint="eastAsia" w:ascii="Times New Roman" w:hAnsi="Times New Roman" w:eastAsia="仿宋_GB2312"/>
          <w:sz w:val="32"/>
          <w:szCs w:val="32"/>
          <w:lang w:eastAsia="zh-CN"/>
        </w:rPr>
        <w:t>一批</w:t>
      </w:r>
      <w:r>
        <w:rPr>
          <w:rFonts w:ascii="Times New Roman" w:hAnsi="Times New Roman" w:eastAsia="仿宋_GB2312"/>
          <w:sz w:val="32"/>
          <w:szCs w:val="32"/>
        </w:rPr>
        <w:t>年收入超过50亿元的</w:t>
      </w:r>
      <w:r>
        <w:rPr>
          <w:rFonts w:hint="eastAsia" w:ascii="Times New Roman" w:hAnsi="Times New Roman" w:eastAsia="仿宋_GB2312"/>
          <w:sz w:val="32"/>
          <w:szCs w:val="32"/>
        </w:rPr>
        <w:t>“领航</w:t>
      </w:r>
      <w:r>
        <w:rPr>
          <w:rFonts w:ascii="Times New Roman" w:hAnsi="Times New Roman" w:eastAsia="仿宋_GB2312"/>
          <w:sz w:val="32"/>
          <w:szCs w:val="32"/>
        </w:rPr>
        <w:t>企业</w:t>
      </w:r>
      <w:r>
        <w:rPr>
          <w:rFonts w:hint="eastAsia" w:ascii="Times New Roman" w:hAnsi="Times New Roman" w:eastAsia="仿宋_GB2312"/>
          <w:sz w:val="32"/>
          <w:szCs w:val="32"/>
        </w:rPr>
        <w:t>”、年收入超过10亿元的“领鹰企业”和创新性强、发展潜力好的“蜂鸟企业”，鼓励发展效益突出的企业挂牌上市，挖潜培育一批细分领域的“独角兽”企业和“</w:t>
      </w:r>
      <w:r>
        <w:rPr>
          <w:rFonts w:ascii="Times New Roman" w:hAnsi="Times New Roman" w:eastAsia="仿宋_GB2312"/>
          <w:sz w:val="32"/>
          <w:szCs w:val="32"/>
        </w:rPr>
        <w:t>专精特新</w:t>
      </w:r>
      <w:r>
        <w:rPr>
          <w:rFonts w:hint="eastAsia" w:ascii="Times New Roman" w:hAnsi="Times New Roman" w:eastAsia="仿宋_GB2312"/>
          <w:sz w:val="32"/>
          <w:szCs w:val="32"/>
        </w:rPr>
        <w:t>”</w:t>
      </w:r>
      <w:r>
        <w:rPr>
          <w:rFonts w:ascii="Times New Roman" w:hAnsi="Times New Roman" w:eastAsia="仿宋_GB2312"/>
          <w:sz w:val="32"/>
          <w:szCs w:val="32"/>
        </w:rPr>
        <w:t>企业，形成</w:t>
      </w:r>
      <w:r>
        <w:rPr>
          <w:rFonts w:hint="eastAsia" w:ascii="Times New Roman" w:hAnsi="Times New Roman" w:eastAsia="仿宋_GB2312"/>
          <w:sz w:val="32"/>
          <w:szCs w:val="32"/>
        </w:rPr>
        <w:t>文化</w:t>
      </w:r>
      <w:r>
        <w:rPr>
          <w:rFonts w:ascii="Times New Roman" w:hAnsi="Times New Roman" w:eastAsia="仿宋_GB2312"/>
          <w:sz w:val="32"/>
          <w:szCs w:val="32"/>
        </w:rPr>
        <w:t>企业</w:t>
      </w:r>
      <w:r>
        <w:rPr>
          <w:rFonts w:hint="eastAsia" w:ascii="Times New Roman" w:hAnsi="Times New Roman" w:eastAsia="仿宋_GB2312"/>
          <w:sz w:val="32"/>
          <w:szCs w:val="32"/>
          <w:lang w:eastAsia="zh-CN"/>
        </w:rPr>
        <w:t>“</w:t>
      </w:r>
      <w:r>
        <w:rPr>
          <w:rFonts w:ascii="Times New Roman" w:hAnsi="Times New Roman" w:eastAsia="仿宋_GB2312"/>
          <w:sz w:val="32"/>
          <w:szCs w:val="32"/>
        </w:rPr>
        <w:t>金字塔</w:t>
      </w:r>
      <w:r>
        <w:rPr>
          <w:rFonts w:hint="eastAsia" w:ascii="Times New Roman" w:hAnsi="Times New Roman" w:eastAsia="仿宋_GB2312"/>
          <w:sz w:val="32"/>
          <w:szCs w:val="32"/>
          <w:lang w:eastAsia="zh-CN"/>
        </w:rPr>
        <w:t>”</w:t>
      </w:r>
      <w:r>
        <w:rPr>
          <w:rFonts w:ascii="Times New Roman" w:hAnsi="Times New Roman" w:eastAsia="仿宋_GB2312"/>
          <w:sz w:val="32"/>
          <w:szCs w:val="32"/>
        </w:rPr>
        <w:t>发展格局。</w:t>
      </w:r>
      <w:r>
        <w:rPr>
          <w:rFonts w:hint="default" w:ascii="Times New Roman" w:hAnsi="Times New Roman" w:eastAsia="仿宋_GB2312" w:cs="Times New Roman"/>
          <w:snapToGrid w:val="0"/>
          <w:color w:val="000000"/>
          <w:kern w:val="0"/>
          <w:sz w:val="32"/>
          <w:szCs w:val="40"/>
          <w:highlight w:val="none"/>
          <w:lang w:val="en-US" w:eastAsia="zh-CN" w:bidi="ar-SA"/>
        </w:rPr>
        <w:t>实施创作者生态培育计划，搭建青年成长孵化、创作能力进阶、流量精准扶持、商业高效变现的全链条服务体系，畅通跨界协作与资源对接渠道，着力培育一批具有行业影响力的文化超级个体，壮大富有活力的文化创作者集群。</w:t>
      </w:r>
      <w:r>
        <w:rPr>
          <w:rFonts w:hint="eastAsia" w:ascii="仿宋_GB2312" w:hAnsi="仿宋_GB2312" w:eastAsia="仿宋_GB2312" w:cs="仿宋_GB2312"/>
          <w:color w:val="000000"/>
          <w:sz w:val="32"/>
          <w:szCs w:val="32"/>
        </w:rPr>
        <w:t>健全</w:t>
      </w:r>
      <w:r>
        <w:rPr>
          <w:rFonts w:hint="eastAsia" w:ascii="仿宋_GB2312" w:hAnsi="仿宋_GB2312" w:eastAsia="仿宋_GB2312" w:cs="仿宋_GB2312"/>
          <w:sz w:val="32"/>
          <w:szCs w:val="32"/>
        </w:rPr>
        <w:t>“服务包”“服务管家”</w:t>
      </w:r>
      <w:r>
        <w:rPr>
          <w:rFonts w:ascii="Times New Roman" w:hAnsi="Times New Roman" w:eastAsia="仿宋_GB2312"/>
          <w:sz w:val="32"/>
          <w:szCs w:val="32"/>
        </w:rPr>
        <w:t>制度，</w:t>
      </w:r>
      <w:r>
        <w:rPr>
          <w:rFonts w:hint="eastAsia" w:ascii="Times New Roman" w:hAnsi="Times New Roman" w:eastAsia="仿宋_GB2312"/>
          <w:sz w:val="32"/>
          <w:szCs w:val="32"/>
          <w:lang w:eastAsia="zh-CN"/>
        </w:rPr>
        <w:t>提供政策申报、融资对接、场景开发等全生命周期精准服务，</w:t>
      </w:r>
      <w:r>
        <w:rPr>
          <w:rFonts w:hint="eastAsia" w:ascii="Times New Roman" w:hAnsi="Times New Roman" w:eastAsia="仿宋_GB2312"/>
          <w:sz w:val="32"/>
          <w:szCs w:val="32"/>
        </w:rPr>
        <w:t>通过“培育一批、引进一批、服务一批”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形成“头部引领、中坚支撑、小微活跃”的产业生态。</w:t>
      </w:r>
    </w:p>
    <w:p w14:paraId="3E8450F1">
      <w:pPr>
        <w:widowControl w:val="0"/>
        <w:numPr>
          <w:ilvl w:val="0"/>
          <w:numId w:val="5"/>
        </w:numPr>
        <w:autoSpaceDE w:val="0"/>
        <w:autoSpaceDN w:val="0"/>
        <w:adjustRightInd w:val="0"/>
        <w:spacing w:before="156" w:beforeLines="50" w:after="156" w:afterLines="50" w:line="560" w:lineRule="exact"/>
        <w:jc w:val="center"/>
        <w:outlineLvl w:val="1"/>
        <w:rPr>
          <w:rFonts w:hint="eastAsia" w:ascii="楷体_GB2312" w:hAnsi="楷体_GB2312" w:eastAsia="楷体_GB2312" w:cs="楷体_GB2312"/>
          <w:b w:val="0"/>
          <w:bCs/>
          <w:color w:val="000000"/>
          <w:sz w:val="32"/>
          <w:szCs w:val="32"/>
          <w:lang w:val="en-US" w:eastAsia="zh-CN" w:bidi="ar-SA"/>
        </w:rPr>
      </w:pPr>
      <w:bookmarkStart w:id="87" w:name="_Toc14551"/>
      <w:r>
        <w:rPr>
          <w:rFonts w:hint="eastAsia" w:ascii="楷体_GB2312" w:hAnsi="楷体_GB2312" w:eastAsia="楷体_GB2312" w:cs="楷体_GB2312"/>
          <w:b w:val="0"/>
          <w:bCs/>
          <w:color w:val="000000"/>
          <w:sz w:val="32"/>
          <w:szCs w:val="32"/>
          <w:lang w:val="en-US" w:eastAsia="zh-CN" w:bidi="ar-SA"/>
        </w:rPr>
        <w:t>园区品质提升工程</w:t>
      </w:r>
      <w:bookmarkEnd w:id="87"/>
    </w:p>
    <w:p w14:paraId="59F51627">
      <w:pPr>
        <w:keepNext w:val="0"/>
        <w:keepLines w:val="0"/>
        <w:pageBreakBefore w:val="0"/>
        <w:widowControl w:val="0"/>
        <w:numPr>
          <w:ilvl w:val="0"/>
          <w:numId w:val="0"/>
        </w:numPr>
        <w:kinsoku/>
        <w:wordWrap/>
        <w:overflowPunct/>
        <w:topLinePunct w:val="0"/>
        <w:autoSpaceDE w:val="0"/>
        <w:autoSpaceDN w:val="0"/>
        <w:bidi w:val="0"/>
        <w:adjustRightInd w:val="0"/>
        <w:snapToGrid/>
        <w:spacing w:before="156" w:beforeLines="50" w:after="156" w:afterLines="50" w:line="560" w:lineRule="exact"/>
        <w:ind w:firstLine="640" w:firstLineChars="200"/>
        <w:jc w:val="both"/>
        <w:textAlignment w:val="auto"/>
        <w:outlineLvl w:val="1"/>
        <w:rPr>
          <w:rFonts w:ascii="..ì." w:hAnsi="..ì." w:eastAsia="..ì." w:cs="..ì."/>
          <w:color w:val="000000"/>
          <w:sz w:val="24"/>
          <w:szCs w:val="24"/>
          <w:lang w:val="en-US" w:eastAsia="zh-CN" w:bidi="ar-SA"/>
        </w:rPr>
      </w:pPr>
      <w:bookmarkStart w:id="88" w:name="_Toc29766"/>
      <w:bookmarkStart w:id="89" w:name="_Toc12158"/>
      <w:r>
        <w:rPr>
          <w:rFonts w:hint="eastAsia" w:ascii="..ì." w:hAnsi="..ì." w:eastAsia="仿宋_GB2312" w:cs="..ì."/>
          <w:color w:val="000000"/>
          <w:sz w:val="32"/>
          <w:szCs w:val="32"/>
          <w:lang w:val="en-US" w:eastAsia="zh-CN" w:bidi="ar-SA"/>
        </w:rPr>
        <w:t>深入实施“园区品质提升计划”，优化重点培育与“揭榜挂帅”相衔接机制，全面提质园区软硬件环境、服务体系、创新能力及产业生态，着力打造一批百亿级文化产业示范园区。主动融入朝阳区“科技百园”建设，引导文化园区向文化科技型园区转型。推动产业链群与园区功能深度耦合，鼓励园区依托资源禀赋与竞争优势深耕特色领域，加快培育莱锦文创园、恒通国际创新园、</w:t>
      </w:r>
      <w:r>
        <w:rPr>
          <w:rFonts w:hint="eastAsia" w:ascii="Times New Roman" w:hAnsi="Times New Roman" w:eastAsia="仿宋_GB2312" w:cs="Times New Roman"/>
          <w:color w:val="000000"/>
          <w:kern w:val="2"/>
          <w:sz w:val="32"/>
          <w:szCs w:val="32"/>
          <w:lang w:val="en-US" w:eastAsia="zh-CN" w:bidi="ar-SA"/>
        </w:rPr>
        <w:t>E9区创新工场等一批文化科技园区，</w:t>
      </w:r>
      <w:r>
        <w:rPr>
          <w:rFonts w:hint="eastAsia" w:ascii="..ì." w:hAnsi="..ì." w:eastAsia="仿宋_GB2312" w:cs="..ì."/>
          <w:color w:val="000000"/>
          <w:sz w:val="32"/>
          <w:szCs w:val="32"/>
          <w:lang w:val="en-US" w:eastAsia="zh-CN" w:bidi="ar-SA"/>
        </w:rPr>
        <w:t>升级打造一批东进国际中心网游电竞、</w:t>
      </w:r>
      <w:r>
        <w:rPr>
          <w:rFonts w:hint="eastAsia" w:ascii="Times New Roman" w:hAnsi="Times New Roman" w:eastAsia="仿宋_GB2312" w:cs="Times New Roman"/>
          <w:color w:val="000000"/>
          <w:kern w:val="2"/>
          <w:sz w:val="32"/>
          <w:szCs w:val="32"/>
          <w:lang w:val="en-US" w:eastAsia="zh-CN" w:bidi="ar-SA"/>
        </w:rPr>
        <w:t>郎园Station</w:t>
      </w:r>
      <w:r>
        <w:rPr>
          <w:rFonts w:hint="eastAsia" w:ascii="..ì." w:hAnsi="..ì." w:eastAsia="仿宋_GB2312" w:cs="..ì."/>
          <w:color w:val="000000"/>
          <w:sz w:val="32"/>
          <w:szCs w:val="32"/>
          <w:lang w:val="en-US" w:eastAsia="zh-CN" w:bidi="ar-SA"/>
        </w:rPr>
        <w:t>数字视听、国家广告产业园数字广告等特色园区，形成出“一园区一品牌”。</w:t>
      </w:r>
      <w:r>
        <w:rPr>
          <w:rFonts w:hint="eastAsia" w:ascii="Times New Roman" w:hAnsi="Times New Roman" w:eastAsia="仿宋_GB2312" w:cs="Times New Roman"/>
          <w:color w:val="000000"/>
          <w:kern w:val="2"/>
          <w:sz w:val="32"/>
          <w:szCs w:val="32"/>
          <w:lang w:val="en-US" w:eastAsia="zh-CN" w:bidi="ar-SA"/>
        </w:rPr>
        <w:t>推进798∙751园区改造升级，引入高质量文化科技企业，探索打造无界园区，持续提升园区发展品质和影响力。</w:t>
      </w:r>
      <w:r>
        <w:rPr>
          <w:rFonts w:hint="eastAsia" w:ascii="..ì." w:hAnsi="..ì." w:eastAsia="仿宋_GB2312" w:cs="..ì."/>
          <w:color w:val="000000"/>
          <w:sz w:val="32"/>
          <w:szCs w:val="32"/>
          <w:lang w:val="en-US" w:eastAsia="zh-CN" w:bidi="ar-SA"/>
        </w:rPr>
        <w:t>深挖园区应用场景潜力，推动文化与科技、商务、旅游深度融合，丰富数字展览、沉浸式演出、潮玩消费等新业态新场景，强化与社区、街区、商区的有机联动，将园区打造成为“城市文化公园”。</w:t>
      </w:r>
      <w:r>
        <w:rPr>
          <w:rFonts w:hint="eastAsia" w:ascii="仿宋_GB2312" w:hAnsi="宋体" w:eastAsia="仿宋_GB2312" w:cs="仿宋_GB2312"/>
          <w:color w:val="000000"/>
          <w:kern w:val="0"/>
          <w:sz w:val="32"/>
          <w:szCs w:val="32"/>
          <w:lang w:val="en-US" w:eastAsia="zh-CN" w:bidi="ar"/>
        </w:rPr>
        <w:t>加快智慧园区建设，推进数字化基础设施升级，提升“云园区”服务水平，增强园区智能化管理能力。加强</w:t>
      </w:r>
      <w:r>
        <w:rPr>
          <w:rFonts w:ascii="仿宋_GB2312" w:hAnsi="宋体" w:eastAsia="仿宋_GB2312" w:cs="仿宋_GB2312"/>
          <w:color w:val="000000"/>
          <w:kern w:val="0"/>
          <w:sz w:val="32"/>
          <w:szCs w:val="32"/>
          <w:lang w:val="en-US" w:eastAsia="zh-CN" w:bidi="ar"/>
        </w:rPr>
        <w:t>园区分</w:t>
      </w:r>
      <w:r>
        <w:rPr>
          <w:rFonts w:hint="eastAsia" w:ascii="仿宋_GB2312" w:hAnsi="宋体" w:eastAsia="仿宋_GB2312" w:cs="仿宋_GB2312"/>
          <w:color w:val="000000"/>
          <w:kern w:val="0"/>
          <w:sz w:val="32"/>
          <w:szCs w:val="32"/>
          <w:lang w:val="en-US" w:eastAsia="zh-CN" w:bidi="ar"/>
        </w:rPr>
        <w:t>类管理，</w:t>
      </w:r>
      <w:r>
        <w:rPr>
          <w:rFonts w:hint="eastAsia" w:ascii="..ì." w:hAnsi="..ì." w:eastAsia="仿宋_GB2312" w:cs="..ì."/>
          <w:color w:val="000000"/>
          <w:sz w:val="32"/>
          <w:szCs w:val="32"/>
          <w:lang w:val="en-US" w:eastAsia="zh-CN" w:bidi="ar-SA"/>
        </w:rPr>
        <w:t>推行“双管家”服务</w:t>
      </w:r>
      <w:r>
        <w:rPr>
          <w:rFonts w:hint="eastAsia" w:ascii="仿宋_GB2312" w:hAnsi="宋体" w:eastAsia="仿宋_GB2312" w:cs="仿宋_GB2312"/>
          <w:color w:val="000000"/>
          <w:kern w:val="0"/>
          <w:sz w:val="32"/>
          <w:szCs w:val="32"/>
          <w:lang w:val="en-US" w:eastAsia="zh-CN" w:bidi="ar"/>
        </w:rPr>
        <w:t>机制，</w:t>
      </w:r>
      <w:r>
        <w:rPr>
          <w:rFonts w:hint="eastAsia" w:ascii="..ì." w:hAnsi="..ì." w:eastAsia="仿宋_GB2312" w:cs="..ì."/>
          <w:color w:val="000000"/>
          <w:sz w:val="32"/>
          <w:szCs w:val="32"/>
          <w:lang w:val="en-US" w:eastAsia="zh-CN" w:bidi="ar-SA"/>
        </w:rPr>
        <w:t>提升园区精细化管理水平与综合贡献。</w:t>
      </w:r>
      <w:bookmarkEnd w:id="88"/>
      <w:bookmarkEnd w:id="89"/>
    </w:p>
    <w:p w14:paraId="6978CFD2">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0" w:name="_Toc3271"/>
      <w:r>
        <w:rPr>
          <w:rFonts w:hint="eastAsia" w:ascii="楷体_GB2312" w:hAnsi="楷体_GB2312" w:eastAsia="楷体_GB2312" w:cs="楷体_GB2312"/>
          <w:b w:val="0"/>
          <w:bCs/>
          <w:color w:val="000000"/>
          <w:sz w:val="32"/>
          <w:szCs w:val="32"/>
          <w:lang w:val="en-US" w:eastAsia="zh-CN" w:bidi="ar-SA"/>
        </w:rPr>
        <w:t>文化金融赋能工程</w:t>
      </w:r>
      <w:bookmarkEnd w:id="90"/>
    </w:p>
    <w:p w14:paraId="4305E12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健全完善文化金融服务体系，创新文化金融服务模式，建立多层次、多渠道、多元化的投融资体系。</w:t>
      </w:r>
      <w:r>
        <w:rPr>
          <w:rFonts w:hint="eastAsia" w:ascii="仿宋_GB2312" w:hAnsi="仿宋_GB2312" w:eastAsia="仿宋_GB2312" w:cs="仿宋_GB2312"/>
          <w:sz w:val="32"/>
          <w:szCs w:val="32"/>
          <w:lang w:eastAsia="zh-CN"/>
        </w:rPr>
        <w:t>丰富</w:t>
      </w:r>
      <w:r>
        <w:rPr>
          <w:rFonts w:hint="eastAsia" w:ascii="仿宋_GB2312" w:hAnsi="仿宋_GB2312" w:eastAsia="仿宋_GB2312" w:cs="仿宋_GB2312"/>
          <w:sz w:val="32"/>
          <w:szCs w:val="32"/>
        </w:rPr>
        <w:t>文化金融服务载体，优化文化企业信促会、金融服务中心运作机制，探索创新适配文化企业发展的金融服务产品和模式，形成有场景、有活动、有政策、有项目的综合服务体系，降低中小文化企业融资门槛。优化文化</w:t>
      </w:r>
      <w:r>
        <w:rPr>
          <w:rFonts w:hint="eastAsia" w:ascii="仿宋_GB2312" w:hAnsi="仿宋_GB2312" w:eastAsia="仿宋_GB2312" w:cs="仿宋_GB2312"/>
          <w:color w:val="auto"/>
          <w:sz w:val="32"/>
          <w:szCs w:val="32"/>
          <w:shd w:val="clear" w:color="auto" w:fill="auto"/>
        </w:rPr>
        <w:t>版权质押融资服务</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shd w:val="clear" w:color="auto" w:fill="auto"/>
        </w:rPr>
        <w:t>支持开展版权保险、版权证券化等版权金融产品和服务创新</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shd w:val="clear" w:color="auto" w:fill="auto"/>
        </w:rPr>
        <w:t>完善版权金融支持保障措施</w:t>
      </w:r>
      <w:r>
        <w:rPr>
          <w:rFonts w:hint="eastAsia" w:ascii="仿宋_GB2312" w:hAnsi="仿宋_GB2312" w:eastAsia="仿宋_GB2312" w:cs="仿宋_GB2312"/>
          <w:sz w:val="32"/>
          <w:szCs w:val="32"/>
        </w:rPr>
        <w:t>。发挥文化产业基金联盟作用，鼓励和引导各类私募股权投资基金、创业投资基金等投资优质文化企业项目，构建“政府引导、市场主导、社会参与”的多元投融资格局。加强与北交所、深交所、上交所沟通合作，加强企业上市辅导，助力企业上市规模化发展。精心组织举办项目路演、银企对接等文化金融系列活动，实现文化企业、创意人才和金融机构、资本市场的高效串联快速融资。</w:t>
      </w:r>
    </w:p>
    <w:p w14:paraId="00ECBCF4">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1" w:name="_Toc29281"/>
      <w:r>
        <w:rPr>
          <w:rFonts w:hint="eastAsia" w:ascii="楷体_GB2312" w:hAnsi="楷体_GB2312" w:eastAsia="楷体_GB2312" w:cs="楷体_GB2312"/>
          <w:b w:val="0"/>
          <w:bCs/>
          <w:color w:val="000000"/>
          <w:sz w:val="32"/>
          <w:szCs w:val="32"/>
          <w:lang w:val="en-US" w:eastAsia="zh-CN" w:bidi="ar-SA"/>
        </w:rPr>
        <w:t>菁英人才引育工程</w:t>
      </w:r>
      <w:bookmarkEnd w:id="91"/>
    </w:p>
    <w:p w14:paraId="5A92B9C3">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szCs w:val="32"/>
          <w:lang w:bidi="ar"/>
        </w:rPr>
      </w:pPr>
      <w:r>
        <w:rPr>
          <w:rFonts w:hint="eastAsia" w:ascii="仿宋_GB2312" w:hAnsi="仿宋_GB2312" w:eastAsia="仿宋_GB2312" w:cs="仿宋_GB2312"/>
          <w:sz w:val="32"/>
          <w:szCs w:val="32"/>
        </w:rPr>
        <w:t>落实“凤凰计划”高层次人才政策，实施“文化菁英引育计划”，加大文化领军、科技研发应用、经营管理等创新型、复合型人才的引育和服务保障力度，</w:t>
      </w:r>
      <w:r>
        <w:rPr>
          <w:rFonts w:hint="eastAsia" w:ascii="仿宋_GB2312" w:hAnsi="仿宋_GB2312" w:eastAsia="仿宋_GB2312" w:cs="仿宋_GB2312"/>
          <w:sz w:val="32"/>
          <w:szCs w:val="32"/>
          <w:lang w:eastAsia="zh-CN"/>
        </w:rPr>
        <w:t>打造“人才会客厅”</w:t>
      </w:r>
      <w:r>
        <w:rPr>
          <w:rFonts w:hint="eastAsia" w:ascii="仿宋_GB2312" w:hAnsi="仿宋_GB2312" w:eastAsia="仿宋_GB2312" w:cs="仿宋_GB2312"/>
          <w:sz w:val="32"/>
          <w:szCs w:val="32"/>
        </w:rPr>
        <w:t>。鼓励企业</w:t>
      </w:r>
      <w:r>
        <w:rPr>
          <w:rFonts w:hint="eastAsia" w:ascii="仿宋_GB2312" w:hAnsi="仿宋_GB2312" w:eastAsia="仿宋_GB2312" w:cs="仿宋_GB2312"/>
          <w:bCs/>
          <w:color w:val="000000"/>
          <w:sz w:val="32"/>
          <w:szCs w:val="32"/>
        </w:rPr>
        <w:t>探索“创意入股、版权入股”等</w:t>
      </w:r>
      <w:r>
        <w:rPr>
          <w:rFonts w:hint="eastAsia" w:ascii="仿宋_GB2312" w:hAnsi="仿宋_GB2312" w:eastAsia="仿宋_GB2312" w:cs="仿宋_GB2312"/>
          <w:bCs/>
          <w:color w:val="000000"/>
          <w:sz w:val="32"/>
          <w:szCs w:val="32"/>
          <w:lang w:eastAsia="zh-CN"/>
        </w:rPr>
        <w:t>市场化</w:t>
      </w:r>
      <w:r>
        <w:rPr>
          <w:rFonts w:hint="eastAsia" w:ascii="仿宋_GB2312" w:hAnsi="仿宋_GB2312" w:eastAsia="仿宋_GB2312" w:cs="仿宋_GB2312"/>
          <w:bCs/>
          <w:color w:val="000000"/>
          <w:sz w:val="32"/>
          <w:szCs w:val="32"/>
        </w:rPr>
        <w:t>激励机制，激发创新</w:t>
      </w:r>
      <w:r>
        <w:rPr>
          <w:rFonts w:hint="eastAsia" w:ascii="仿宋_GB2312" w:hAnsi="仿宋_GB2312" w:eastAsia="仿宋_GB2312" w:cs="仿宋_GB2312"/>
          <w:bCs/>
          <w:color w:val="000000"/>
          <w:sz w:val="32"/>
          <w:szCs w:val="32"/>
          <w:lang w:eastAsia="zh-CN"/>
        </w:rPr>
        <w:t>创业</w:t>
      </w:r>
      <w:r>
        <w:rPr>
          <w:rFonts w:hint="eastAsia" w:ascii="仿宋_GB2312" w:hAnsi="仿宋_GB2312" w:eastAsia="仿宋_GB2312" w:cs="仿宋_GB2312"/>
          <w:bCs/>
          <w:color w:val="000000"/>
          <w:sz w:val="32"/>
          <w:szCs w:val="32"/>
        </w:rPr>
        <w:t>活力。</w:t>
      </w:r>
      <w:r>
        <w:rPr>
          <w:rFonts w:hint="default" w:ascii="Times New Roman" w:hAnsi="Times New Roman" w:eastAsia="仿宋_GB2312" w:cs="Times New Roman"/>
          <w:snapToGrid w:val="0"/>
          <w:color w:val="000000"/>
          <w:kern w:val="0"/>
          <w:sz w:val="32"/>
          <w:szCs w:val="40"/>
          <w:highlight w:val="none"/>
          <w:lang w:val="en-US" w:eastAsia="zh-CN" w:bidi="ar-SA"/>
        </w:rPr>
        <w:t>推进产学研协同育人计划，</w:t>
      </w:r>
      <w:r>
        <w:rPr>
          <w:rFonts w:hint="eastAsia" w:ascii="Times New Roman" w:hAnsi="Times New Roman" w:eastAsia="仿宋_GB2312" w:cs="Times New Roman"/>
          <w:snapToGrid w:val="0"/>
          <w:color w:val="000000"/>
          <w:kern w:val="0"/>
          <w:sz w:val="32"/>
          <w:szCs w:val="40"/>
          <w:highlight w:val="none"/>
          <w:lang w:val="en-US" w:eastAsia="zh-CN" w:bidi="ar-SA"/>
        </w:rPr>
        <w:t>鼓励</w:t>
      </w:r>
      <w:r>
        <w:rPr>
          <w:rFonts w:hint="eastAsia" w:ascii="仿宋_GB2312" w:hAnsi="仿宋_GB2312" w:eastAsia="仿宋_GB2312" w:cs="仿宋_GB2312"/>
          <w:sz w:val="32"/>
          <w:szCs w:val="32"/>
        </w:rPr>
        <w:t>重点高校</w:t>
      </w:r>
      <w:r>
        <w:rPr>
          <w:rFonts w:hint="default" w:ascii="Times New Roman" w:hAnsi="Times New Roman" w:eastAsia="仿宋_GB2312" w:cs="Times New Roman"/>
          <w:snapToGrid w:val="0"/>
          <w:color w:val="000000"/>
          <w:kern w:val="0"/>
          <w:sz w:val="32"/>
          <w:szCs w:val="40"/>
          <w:highlight w:val="none"/>
          <w:lang w:val="en-US" w:eastAsia="zh-CN" w:bidi="ar-SA"/>
        </w:rPr>
        <w:t>设立</w:t>
      </w:r>
      <w:r>
        <w:rPr>
          <w:rFonts w:hint="eastAsia" w:ascii="Times New Roman" w:hAnsi="Times New Roman" w:eastAsia="仿宋_GB2312" w:cs="Times New Roman"/>
          <w:snapToGrid w:val="0"/>
          <w:color w:val="000000"/>
          <w:kern w:val="0"/>
          <w:sz w:val="32"/>
          <w:szCs w:val="40"/>
          <w:highlight w:val="none"/>
          <w:lang w:val="en-US" w:eastAsia="zh-CN" w:bidi="ar-SA"/>
        </w:rPr>
        <w:t>“</w:t>
      </w:r>
      <w:r>
        <w:rPr>
          <w:rFonts w:hint="default" w:ascii="Times New Roman" w:hAnsi="Times New Roman" w:eastAsia="仿宋_GB2312" w:cs="Times New Roman"/>
          <w:snapToGrid w:val="0"/>
          <w:color w:val="000000"/>
          <w:kern w:val="0"/>
          <w:sz w:val="32"/>
          <w:szCs w:val="40"/>
          <w:highlight w:val="none"/>
          <w:lang w:val="en-US" w:eastAsia="zh-CN" w:bidi="ar-SA"/>
        </w:rPr>
        <w:t>文化智能</w:t>
      </w:r>
      <w:r>
        <w:rPr>
          <w:rFonts w:hint="eastAsia" w:ascii="Times New Roman" w:hAnsi="Times New Roman" w:eastAsia="仿宋_GB2312" w:cs="Times New Roman"/>
          <w:snapToGrid w:val="0"/>
          <w:color w:val="000000"/>
          <w:kern w:val="0"/>
          <w:sz w:val="32"/>
          <w:szCs w:val="40"/>
          <w:highlight w:val="none"/>
          <w:lang w:val="en-US" w:eastAsia="zh-CN" w:bidi="ar-SA"/>
        </w:rPr>
        <w:t>”</w:t>
      </w:r>
      <w:r>
        <w:rPr>
          <w:rFonts w:hint="default" w:ascii="Times New Roman" w:hAnsi="Times New Roman" w:eastAsia="仿宋_GB2312" w:cs="Times New Roman"/>
          <w:snapToGrid w:val="0"/>
          <w:color w:val="000000"/>
          <w:kern w:val="0"/>
          <w:sz w:val="32"/>
          <w:szCs w:val="40"/>
          <w:highlight w:val="none"/>
          <w:lang w:val="en-US" w:eastAsia="zh-CN" w:bidi="ar-SA"/>
        </w:rPr>
        <w:t>交叉学科，</w:t>
      </w:r>
      <w:r>
        <w:rPr>
          <w:rFonts w:hint="eastAsia" w:ascii="仿宋_GB2312" w:hAnsi="仿宋_GB2312" w:eastAsia="仿宋_GB2312" w:cs="仿宋_GB2312"/>
          <w:bCs/>
          <w:color w:val="000000"/>
          <w:sz w:val="32"/>
          <w:szCs w:val="32"/>
          <w:lang w:eastAsia="zh-CN"/>
        </w:rPr>
        <w:t>联合</w:t>
      </w:r>
      <w:r>
        <w:rPr>
          <w:rFonts w:hint="eastAsia" w:ascii="仿宋_GB2312" w:hAnsi="仿宋_GB2312" w:eastAsia="仿宋_GB2312" w:cs="仿宋_GB2312"/>
          <w:sz w:val="32"/>
          <w:szCs w:val="32"/>
          <w:lang w:eastAsia="zh-CN"/>
        </w:rPr>
        <w:t>共建</w:t>
      </w:r>
      <w:r>
        <w:rPr>
          <w:rFonts w:hint="eastAsia" w:ascii="仿宋_GB2312" w:hAnsi="仿宋_GB2312" w:eastAsia="仿宋_GB2312" w:cs="仿宋_GB2312"/>
          <w:sz w:val="32"/>
          <w:szCs w:val="32"/>
        </w:rPr>
        <w:t>人才实践基地、创业孵化基地，举办</w:t>
      </w:r>
      <w:r>
        <w:rPr>
          <w:rFonts w:hint="eastAsia" w:ascii="仿宋_GB2312" w:hAnsi="仿宋_GB2312" w:eastAsia="仿宋_GB2312" w:cs="仿宋_GB2312"/>
          <w:sz w:val="32"/>
          <w:szCs w:val="32"/>
          <w:lang w:eastAsia="zh-CN"/>
        </w:rPr>
        <w:t>校企实训、专场招聘等</w:t>
      </w:r>
      <w:r>
        <w:rPr>
          <w:rFonts w:hint="eastAsia" w:ascii="仿宋_GB2312" w:hAnsi="仿宋_GB2312" w:eastAsia="仿宋_GB2312" w:cs="仿宋_GB2312"/>
          <w:sz w:val="32"/>
          <w:szCs w:val="32"/>
        </w:rPr>
        <w:t>活动</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napToGrid w:val="0"/>
          <w:color w:val="000000"/>
          <w:kern w:val="0"/>
          <w:sz w:val="32"/>
          <w:szCs w:val="40"/>
          <w:highlight w:val="none"/>
          <w:lang w:val="en-US" w:eastAsia="zh-CN" w:bidi="ar-SA"/>
        </w:rPr>
        <w:t>实现人才培养与产业需求无缝对接。</w:t>
      </w:r>
      <w:r>
        <w:rPr>
          <w:rFonts w:hint="eastAsia" w:ascii="仿宋_GB2312" w:hAnsi="仿宋_GB2312" w:eastAsia="仿宋_GB2312" w:cs="仿宋_GB2312"/>
          <w:sz w:val="32"/>
          <w:szCs w:val="32"/>
        </w:rPr>
        <w:t>搭建文化产业优秀人才交流对接平台，鼓励创新人才参</w:t>
      </w:r>
      <w:r>
        <w:rPr>
          <w:rFonts w:hint="eastAsia" w:ascii="仿宋_GB2312" w:hAnsi="仿宋_GB2312" w:eastAsia="仿宋_GB2312" w:cs="仿宋_GB2312"/>
          <w:sz w:val="32"/>
          <w:szCs w:val="32"/>
          <w:lang w:eastAsia="zh-CN"/>
        </w:rPr>
        <w:t>加</w:t>
      </w:r>
      <w:r>
        <w:rPr>
          <w:rFonts w:ascii="Times New Roman" w:hAnsi="Times New Roman" w:eastAsia="仿宋_GB2312"/>
          <w:sz w:val="32"/>
          <w:szCs w:val="32"/>
        </w:rPr>
        <w:t>ITEC</w:t>
      </w:r>
      <w:r>
        <w:rPr>
          <w:rFonts w:ascii="仿宋_GB2312" w:hAnsi="仿宋_GB2312" w:eastAsia="仿宋_GB2312" w:cs="仿宋_GB2312"/>
          <w:sz w:val="32"/>
          <w:szCs w:val="32"/>
        </w:rPr>
        <w:t>(朝阳国际人才创业大会）</w:t>
      </w:r>
      <w:r>
        <w:rPr>
          <w:rFonts w:ascii="Times New Roman" w:hAnsi="Times New Roman" w:eastAsia="仿宋_GB2312"/>
          <w:sz w:val="32"/>
          <w:szCs w:val="32"/>
        </w:rPr>
        <w:t>，</w:t>
      </w:r>
      <w:r>
        <w:rPr>
          <w:rFonts w:hint="eastAsia" w:ascii="Times New Roman" w:hAnsi="Times New Roman" w:eastAsia="仿宋_GB2312"/>
          <w:sz w:val="32"/>
          <w:szCs w:val="32"/>
          <w:lang w:bidi="ar"/>
        </w:rPr>
        <w:t>给予空间服务、资源对接</w:t>
      </w:r>
      <w:r>
        <w:rPr>
          <w:rFonts w:hint="eastAsia" w:ascii="Times New Roman" w:hAnsi="Times New Roman" w:eastAsia="仿宋_GB2312"/>
          <w:sz w:val="32"/>
          <w:szCs w:val="32"/>
          <w:lang w:eastAsia="zh-CN" w:bidi="ar"/>
        </w:rPr>
        <w:t>、</w:t>
      </w:r>
      <w:r>
        <w:rPr>
          <w:rFonts w:hint="eastAsia" w:ascii="Times New Roman" w:hAnsi="Times New Roman" w:eastAsia="仿宋_GB2312"/>
          <w:sz w:val="32"/>
          <w:szCs w:val="32"/>
          <w:lang w:bidi="ar"/>
        </w:rPr>
        <w:t>政策</w:t>
      </w:r>
      <w:r>
        <w:rPr>
          <w:rFonts w:hint="eastAsia" w:ascii="Times New Roman" w:hAnsi="Times New Roman" w:eastAsia="仿宋_GB2312"/>
          <w:sz w:val="32"/>
          <w:szCs w:val="32"/>
          <w:lang w:eastAsia="zh-CN" w:bidi="ar"/>
        </w:rPr>
        <w:t>支持</w:t>
      </w:r>
      <w:r>
        <w:rPr>
          <w:rFonts w:hint="eastAsia" w:ascii="Times New Roman" w:hAnsi="Times New Roman" w:eastAsia="仿宋_GB2312"/>
          <w:sz w:val="32"/>
          <w:szCs w:val="32"/>
          <w:lang w:bidi="ar"/>
        </w:rPr>
        <w:t>等</w:t>
      </w:r>
      <w:r>
        <w:rPr>
          <w:rFonts w:hint="eastAsia" w:ascii="Times New Roman" w:hAnsi="Times New Roman" w:eastAsia="仿宋_GB2312"/>
          <w:sz w:val="32"/>
          <w:szCs w:val="32"/>
          <w:lang w:eastAsia="zh-CN" w:bidi="ar"/>
        </w:rPr>
        <w:t>服务保障</w:t>
      </w:r>
      <w:r>
        <w:rPr>
          <w:rFonts w:hint="eastAsia" w:ascii="Times New Roman" w:hAnsi="Times New Roman" w:eastAsia="仿宋_GB2312"/>
          <w:sz w:val="32"/>
          <w:szCs w:val="32"/>
          <w:lang w:bidi="ar"/>
        </w:rPr>
        <w:t>，建设引育留用一体化高能级人才高地</w:t>
      </w:r>
      <w:r>
        <w:rPr>
          <w:rFonts w:hint="eastAsia" w:ascii="Times New Roman" w:hAnsi="Times New Roman" w:eastAsia="仿宋_GB2312" w:cs="Times New Roman"/>
          <w:sz w:val="32"/>
          <w:szCs w:val="32"/>
          <w:lang w:eastAsia="zh-CN"/>
        </w:rPr>
        <w:t>。</w:t>
      </w:r>
    </w:p>
    <w:p w14:paraId="1E66F7A0">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2" w:name="_Toc17829"/>
      <w:r>
        <w:rPr>
          <w:rFonts w:hint="eastAsia" w:ascii="楷体_GB2312" w:hAnsi="楷体_GB2312" w:eastAsia="楷体_GB2312" w:cs="楷体_GB2312"/>
          <w:b w:val="0"/>
          <w:bCs/>
          <w:color w:val="000000"/>
          <w:sz w:val="32"/>
          <w:szCs w:val="32"/>
          <w:lang w:val="en-US" w:eastAsia="zh-CN" w:bidi="ar-SA"/>
        </w:rPr>
        <w:t>文旅消费提振工程</w:t>
      </w:r>
      <w:bookmarkEnd w:id="92"/>
    </w:p>
    <w:p w14:paraId="7BBBEAC3">
      <w:pPr>
        <w:widowControl w:val="0"/>
        <w:spacing w:line="560" w:lineRule="exact"/>
        <w:ind w:firstLine="640" w:firstLineChars="200"/>
        <w:jc w:val="both"/>
        <w:rPr>
          <w:rFonts w:ascii="仿宋_GB2312" w:hAnsi="Times New Roman" w:eastAsia="仿宋_GB2312" w:cs="Times New Roman"/>
          <w:kern w:val="0"/>
          <w:sz w:val="32"/>
          <w:szCs w:val="32"/>
          <w:lang w:val="en-US" w:eastAsia="zh-CN" w:bidi="ar-SA"/>
        </w:rPr>
      </w:pPr>
      <w:r>
        <w:rPr>
          <w:rFonts w:ascii="Times New Roman" w:hAnsi="Times New Roman" w:eastAsia="仿宋_GB2312" w:cs="Times New Roman"/>
          <w:kern w:val="0"/>
          <w:sz w:val="32"/>
          <w:szCs w:val="32"/>
          <w:lang w:val="en-US" w:eastAsia="zh-CN" w:bidi="ar-SA"/>
        </w:rPr>
        <w:t>深</w:t>
      </w:r>
      <w:r>
        <w:rPr>
          <w:rFonts w:hint="eastAsia" w:ascii="仿宋_GB2312" w:hAnsi="仿宋_GB2312" w:eastAsia="仿宋_GB2312" w:cs="仿宋_GB2312"/>
          <w:kern w:val="0"/>
          <w:sz w:val="32"/>
          <w:szCs w:val="32"/>
          <w:lang w:val="en-US" w:eastAsia="zh-CN" w:bidi="ar-SA"/>
        </w:rPr>
        <w:t>化“文</w:t>
      </w:r>
      <w:r>
        <w:rPr>
          <w:rFonts w:hint="default" w:ascii="Times New Roman" w:hAnsi="Times New Roman" w:eastAsia="仿宋_GB2312" w:cs="Times New Roman"/>
          <w:kern w:val="0"/>
          <w:sz w:val="32"/>
          <w:szCs w:val="32"/>
          <w:lang w:val="en-US" w:eastAsia="zh-CN" w:bidi="ar-SA"/>
        </w:rPr>
        <w:t>旅+</w:t>
      </w:r>
      <w:r>
        <w:rPr>
          <w:rFonts w:hint="eastAsia" w:ascii="仿宋_GB2312" w:hAnsi="仿宋_GB2312" w:eastAsia="仿宋_GB2312" w:cs="仿宋_GB2312"/>
          <w:kern w:val="0"/>
          <w:sz w:val="32"/>
          <w:szCs w:val="32"/>
          <w:lang w:val="en-US" w:eastAsia="zh-CN" w:bidi="ar-SA"/>
        </w:rPr>
        <w:t>百业”融合机制，</w:t>
      </w:r>
      <w:r>
        <w:rPr>
          <w:rFonts w:hint="eastAsia" w:ascii="仿宋_GB2312" w:hAnsi="Times New Roman" w:eastAsia="仿宋_GB2312" w:cs="Times New Roman"/>
          <w:kern w:val="0"/>
          <w:sz w:val="32"/>
          <w:szCs w:val="32"/>
          <w:lang w:val="en-US" w:eastAsia="zh-CN" w:bidi="ar-SA"/>
        </w:rPr>
        <w:t>深入推进文商旅体展融合发展。发挥区域园区、景区、街区、商圈、场馆优势，</w:t>
      </w:r>
      <w:r>
        <w:rPr>
          <w:rFonts w:ascii="Times New Roman" w:hAnsi="Times New Roman" w:eastAsia="仿宋_GB2312" w:cs="Times New Roman"/>
          <w:i w:val="0"/>
          <w:iCs w:val="0"/>
          <w:caps w:val="0"/>
          <w:color w:val="auto"/>
          <w:spacing w:val="0"/>
          <w:kern w:val="0"/>
          <w:sz w:val="32"/>
          <w:szCs w:val="32"/>
          <w:lang w:val="en-US" w:eastAsia="zh-CN" w:bidi="ar-SA"/>
        </w:rPr>
        <w:t>鼓励商业运营主体积极吸引全球优质品牌设立首店、旗舰店、创新概念店，培育本土时尚定制品牌，</w:t>
      </w:r>
      <w:r>
        <w:rPr>
          <w:rFonts w:hint="eastAsia" w:ascii="仿宋_GB2312" w:hAnsi="仿宋_GB2312" w:eastAsia="仿宋_GB2312" w:cs="仿宋_GB2312"/>
          <w:kern w:val="0"/>
          <w:sz w:val="32"/>
          <w:szCs w:val="32"/>
          <w:lang w:val="en-US" w:eastAsia="zh-CN" w:bidi="ar-SA"/>
        </w:rPr>
        <w:t>推出一批“潮牌”“潮品”</w:t>
      </w:r>
      <w:r>
        <w:rPr>
          <w:rFonts w:hint="default" w:ascii="Times New Roman" w:hAnsi="Times New Roman" w:eastAsia="仿宋_GB2312" w:cs="Times New Roman"/>
          <w:kern w:val="0"/>
          <w:sz w:val="32"/>
          <w:szCs w:val="32"/>
          <w:lang w:val="en-US" w:eastAsia="zh-CN" w:bidi="ar-SA"/>
        </w:rPr>
        <w:t>和文旅IP</w:t>
      </w:r>
      <w:r>
        <w:rPr>
          <w:rFonts w:hint="eastAsia" w:ascii="Times New Roman" w:hAnsi="Times New Roman" w:eastAsia="仿宋_GB2312" w:cs="Times New Roman"/>
          <w:kern w:val="0"/>
          <w:sz w:val="32"/>
          <w:szCs w:val="32"/>
          <w:lang w:val="en-US" w:eastAsia="zh-CN" w:bidi="ar-SA"/>
        </w:rPr>
        <w:t>，打造时尚消费品首发中心和</w:t>
      </w:r>
      <w:r>
        <w:rPr>
          <w:rFonts w:ascii="Times New Roman" w:hAnsi="Times New Roman" w:eastAsia="仿宋_GB2312" w:cs="Times New Roman"/>
          <w:kern w:val="0"/>
          <w:sz w:val="32"/>
          <w:szCs w:val="32"/>
          <w:lang w:val="en-US" w:eastAsia="zh-CN" w:bidi="ar-SA"/>
        </w:rPr>
        <w:t>时尚消费地标，构建集合国际消费品牌和国内创意潮牌的全域消费场景。</w:t>
      </w:r>
      <w:r>
        <w:rPr>
          <w:rFonts w:hint="eastAsia" w:ascii="仿宋_GB2312" w:hAnsi="Times New Roman" w:eastAsia="仿宋_GB2312" w:cs="Times New Roman"/>
          <w:kern w:val="0"/>
          <w:sz w:val="32"/>
          <w:szCs w:val="32"/>
          <w:lang w:val="en-US" w:eastAsia="zh-CN" w:bidi="ar-SA"/>
        </w:rPr>
        <w:t>擦亮“跟着演出、影视、赛事去旅行”等特色品牌，</w:t>
      </w:r>
      <w:r>
        <w:rPr>
          <w:rFonts w:ascii="Times New Roman" w:hAnsi="Times New Roman" w:eastAsia="仿宋_GB2312" w:cs="Times New Roman"/>
          <w:kern w:val="0"/>
          <w:sz w:val="32"/>
          <w:szCs w:val="32"/>
          <w:lang w:val="en-US" w:eastAsia="zh-CN" w:bidi="ar-SA"/>
        </w:rPr>
        <w:t>引进国际顶级演出、电竞赛事等项目，</w:t>
      </w:r>
      <w:r>
        <w:rPr>
          <w:rFonts w:hint="eastAsia" w:ascii="仿宋_GB2312" w:hAnsi="Times New Roman" w:eastAsia="仿宋_GB2312" w:cs="Times New Roman"/>
          <w:kern w:val="0"/>
          <w:sz w:val="32"/>
          <w:szCs w:val="32"/>
          <w:lang w:val="en-US" w:eastAsia="zh-CN" w:bidi="ar-SA"/>
        </w:rPr>
        <w:t>以“票根经济”为抓手，释放“演唱会经济”“赛事经济”等综合效能。拓展夜游、夜展、夜秀、夜娱、夜购等夜经济活动，大力发展夜间经济。加强新消费品牌孵化基地建设，支持郎</w:t>
      </w:r>
      <w:r>
        <w:rPr>
          <w:rFonts w:hint="default" w:ascii="Times New Roman" w:hAnsi="Times New Roman" w:eastAsia="仿宋_GB2312" w:cs="Times New Roman"/>
          <w:kern w:val="0"/>
          <w:sz w:val="32"/>
          <w:szCs w:val="32"/>
          <w:lang w:val="en-US" w:eastAsia="zh-CN" w:bidi="ar-SA"/>
        </w:rPr>
        <w:t>园Station</w:t>
      </w:r>
      <w:r>
        <w:rPr>
          <w:rFonts w:hint="eastAsia" w:ascii="Times New Roman" w:hAnsi="Times New Roman" w:eastAsia="仿宋_GB2312" w:cs="Times New Roman"/>
          <w:kern w:val="0"/>
          <w:sz w:val="32"/>
          <w:szCs w:val="32"/>
          <w:lang w:val="en-US" w:eastAsia="zh-CN" w:bidi="ar-SA"/>
        </w:rPr>
        <w:t>、798</w:t>
      </w:r>
      <w:r>
        <w:rPr>
          <w:rFonts w:hint="default" w:ascii="Times New Roman" w:hAnsi="Times New Roman" w:eastAsia="仿宋_GB2312"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751</w:t>
      </w:r>
      <w:r>
        <w:rPr>
          <w:rFonts w:hint="eastAsia" w:ascii="仿宋_GB2312" w:hAnsi="Times New Roman" w:eastAsia="仿宋_GB2312" w:cs="Times New Roman"/>
          <w:kern w:val="0"/>
          <w:sz w:val="32"/>
          <w:szCs w:val="32"/>
          <w:lang w:val="en-US" w:eastAsia="zh-CN" w:bidi="ar-SA"/>
        </w:rPr>
        <w:t>等园区举办图书市集、戏剧节、文化消费季等特色品牌活动，打造集文化展示、场景体验、潮流消费互动于一体的“前店后厂”新模式。</w:t>
      </w:r>
      <w:r>
        <w:rPr>
          <w:rFonts w:hint="default" w:ascii="Times New Roman" w:hAnsi="Times New Roman" w:eastAsia="仿宋_GB2312" w:cs="Times New Roman"/>
          <w:b w:val="0"/>
          <w:bCs w:val="0"/>
          <w:kern w:val="0"/>
          <w:sz w:val="32"/>
          <w:szCs w:val="32"/>
          <w:lang w:val="en-US" w:eastAsia="zh-CN" w:bidi="ar-SA"/>
        </w:rPr>
        <w:t>加快建设</w:t>
      </w:r>
      <w:r>
        <w:rPr>
          <w:rFonts w:hint="eastAsia" w:ascii="Times New Roman" w:hAnsi="Times New Roman" w:eastAsia="仿宋_GB2312" w:cs="Times New Roman"/>
          <w:b w:val="0"/>
          <w:bCs w:val="0"/>
          <w:kern w:val="0"/>
          <w:sz w:val="32"/>
          <w:szCs w:val="32"/>
          <w:lang w:val="en-US" w:eastAsia="zh-CN" w:bidi="ar-SA"/>
        </w:rPr>
        <w:t>“两河一带”</w:t>
      </w:r>
      <w:r>
        <w:rPr>
          <w:rFonts w:hint="default" w:ascii="Times New Roman" w:hAnsi="Times New Roman" w:eastAsia="仿宋_GB2312" w:cs="Times New Roman"/>
          <w:b w:val="0"/>
          <w:bCs w:val="0"/>
          <w:kern w:val="0"/>
          <w:sz w:val="32"/>
          <w:szCs w:val="32"/>
          <w:lang w:val="en-US" w:eastAsia="zh-CN" w:bidi="ar-SA"/>
        </w:rPr>
        <w:t>世界级滨水经济区，</w:t>
      </w:r>
      <w:r>
        <w:rPr>
          <w:rFonts w:hint="eastAsia" w:ascii="Times New Roman" w:hAnsi="Times New Roman" w:eastAsia="仿宋_GB2312" w:cs="Times New Roman"/>
          <w:kern w:val="0"/>
          <w:sz w:val="32"/>
          <w:szCs w:val="32"/>
          <w:lang w:val="en-US" w:eastAsia="zh-CN" w:bidi="ar-SA"/>
        </w:rPr>
        <w:t>大力发展“水岸经济”</w:t>
      </w:r>
      <w:r>
        <w:rPr>
          <w:rFonts w:hint="eastAsia" w:ascii="仿宋_GB2312" w:hAnsi="Times New Roman" w:eastAsia="仿宋_GB2312" w:cs="Times New Roman"/>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培育影视旅游、时尚旅游、冰雪旅游等新型旅游模式，</w:t>
      </w:r>
      <w:r>
        <w:rPr>
          <w:rFonts w:hint="eastAsia" w:ascii="仿宋_GB2312" w:hAnsi="Times New Roman" w:eastAsia="仿宋_GB2312" w:cs="Times New Roman"/>
          <w:kern w:val="0"/>
          <w:sz w:val="32"/>
          <w:szCs w:val="32"/>
          <w:lang w:val="en-US" w:eastAsia="zh-CN" w:bidi="ar-SA"/>
        </w:rPr>
        <w:t>擦亮“中国游·朝阳购”品牌，扩大入境消费，全力打造全球知名文化旅游目的地。</w:t>
      </w:r>
    </w:p>
    <w:p w14:paraId="5FC4BD79">
      <w:pPr>
        <w:widowControl w:val="0"/>
        <w:numPr>
          <w:ilvl w:val="0"/>
          <w:numId w:val="5"/>
        </w:numPr>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3" w:name="_Toc2639"/>
      <w:r>
        <w:rPr>
          <w:rFonts w:hint="eastAsia" w:ascii="楷体_GB2312" w:hAnsi="楷体_GB2312" w:eastAsia="楷体_GB2312" w:cs="楷体_GB2312"/>
          <w:b w:val="0"/>
          <w:bCs/>
          <w:color w:val="000000"/>
          <w:sz w:val="32"/>
          <w:szCs w:val="32"/>
          <w:lang w:val="en-US" w:eastAsia="zh-CN" w:bidi="ar-SA"/>
        </w:rPr>
        <w:t>文化企业出海工程</w:t>
      </w:r>
      <w:bookmarkEnd w:id="93"/>
    </w:p>
    <w:p w14:paraId="4A953528">
      <w:pPr>
        <w:widowControl w:val="0"/>
        <w:spacing w:line="560" w:lineRule="exact"/>
        <w:ind w:firstLine="640" w:firstLineChars="200"/>
        <w:jc w:val="both"/>
        <w:rPr>
          <w:rFonts w:hint="eastAsia" w:ascii="仿宋_GB2312" w:hAnsi="Times New Roman" w:eastAsia="仿宋_GB2312" w:cs="Times New Roman"/>
          <w:kern w:val="0"/>
          <w:sz w:val="32"/>
          <w:szCs w:val="32"/>
          <w:lang w:val="en-US" w:eastAsia="zh-CN" w:bidi="ar-SA"/>
        </w:rPr>
      </w:pPr>
      <w:r>
        <w:rPr>
          <w:rFonts w:ascii="仿宋_GB2312" w:hAnsi="Times New Roman" w:eastAsia="仿宋_GB2312" w:cs="Times New Roman"/>
          <w:kern w:val="0"/>
          <w:sz w:val="32"/>
          <w:szCs w:val="32"/>
          <w:lang w:val="en-US" w:eastAsia="zh-CN" w:bidi="ar-SA"/>
        </w:rPr>
        <w:t>深化国家文化出口基地建设，</w:t>
      </w:r>
      <w:r>
        <w:rPr>
          <w:rFonts w:hint="eastAsia" w:ascii="仿宋_GB2312" w:hAnsi="Times New Roman" w:eastAsia="仿宋_GB2312" w:cs="Times New Roman"/>
          <w:kern w:val="0"/>
          <w:sz w:val="32"/>
          <w:szCs w:val="32"/>
          <w:lang w:val="en-US" w:eastAsia="zh-CN" w:bidi="ar-SA"/>
        </w:rPr>
        <w:t>积极搭建专业化服务平台，</w:t>
      </w:r>
      <w:r>
        <w:rPr>
          <w:rFonts w:hint="eastAsia" w:ascii="仿宋_GB2312" w:hAnsi="仿宋_GB2312" w:eastAsia="仿宋_GB2312" w:cs="仿宋_GB2312"/>
          <w:kern w:val="0"/>
          <w:sz w:val="32"/>
          <w:szCs w:val="32"/>
          <w:lang w:val="en-US" w:eastAsia="zh-CN" w:bidi="ar-SA"/>
        </w:rPr>
        <w:t>推动</w:t>
      </w:r>
      <w:r>
        <w:rPr>
          <w:rFonts w:ascii="仿宋_GB2312" w:hAnsi="仿宋_GB2312" w:eastAsia="仿宋_GB2312" w:cs="仿宋_GB2312"/>
          <w:kern w:val="0"/>
          <w:sz w:val="32"/>
          <w:szCs w:val="32"/>
          <w:lang w:val="en-US" w:eastAsia="zh-CN" w:bidi="ar-SA"/>
        </w:rPr>
        <w:t>网络游戏、网络文学、影视</w:t>
      </w:r>
      <w:r>
        <w:rPr>
          <w:rFonts w:hint="eastAsia" w:ascii="仿宋_GB2312" w:hAnsi="仿宋_GB2312" w:eastAsia="仿宋_GB2312" w:cs="仿宋_GB2312"/>
          <w:kern w:val="0"/>
          <w:sz w:val="32"/>
          <w:szCs w:val="32"/>
          <w:lang w:val="en-US" w:eastAsia="zh-CN" w:bidi="ar-SA"/>
        </w:rPr>
        <w:t>、微短剧、潮玩文创等优秀</w:t>
      </w:r>
      <w:r>
        <w:rPr>
          <w:rFonts w:ascii="仿宋_GB2312" w:hAnsi="Times New Roman" w:eastAsia="仿宋_GB2312" w:cs="Times New Roman"/>
          <w:kern w:val="0"/>
          <w:sz w:val="32"/>
          <w:szCs w:val="32"/>
          <w:lang w:val="en-US" w:eastAsia="zh-CN" w:bidi="ar-SA"/>
        </w:rPr>
        <w:t>作品走出国门</w:t>
      </w:r>
      <w:r>
        <w:rPr>
          <w:rFonts w:hint="eastAsia" w:ascii="仿宋_GB2312" w:hAnsi="Times New Roman" w:eastAsia="仿宋_GB2312" w:cs="Times New Roman"/>
          <w:kern w:val="0"/>
          <w:sz w:val="32"/>
          <w:szCs w:val="32"/>
          <w:lang w:val="en-US" w:eastAsia="zh-CN" w:bidi="ar-SA"/>
        </w:rPr>
        <w:t>，</w:t>
      </w:r>
      <w:r>
        <w:rPr>
          <w:rFonts w:ascii="仿宋_GB2312" w:hAnsi="仿宋_GB2312" w:eastAsia="仿宋_GB2312" w:cs="仿宋_GB2312"/>
          <w:kern w:val="0"/>
          <w:sz w:val="32"/>
          <w:szCs w:val="32"/>
          <w:lang w:val="en-US" w:eastAsia="zh-CN" w:bidi="ar-SA"/>
        </w:rPr>
        <w:t>培育一批</w:t>
      </w:r>
      <w:r>
        <w:rPr>
          <w:rFonts w:hint="eastAsia" w:ascii="仿宋_GB2312" w:hAnsi="仿宋_GB2312" w:eastAsia="仿宋_GB2312" w:cs="仿宋_GB2312"/>
          <w:kern w:val="0"/>
          <w:sz w:val="32"/>
          <w:szCs w:val="32"/>
          <w:lang w:val="en-US" w:eastAsia="zh-CN" w:bidi="ar-SA"/>
        </w:rPr>
        <w:t>国家级重点</w:t>
      </w:r>
      <w:r>
        <w:rPr>
          <w:rFonts w:ascii="仿宋_GB2312" w:hAnsi="仿宋_GB2312" w:eastAsia="仿宋_GB2312" w:cs="仿宋_GB2312"/>
          <w:kern w:val="0"/>
          <w:sz w:val="32"/>
          <w:szCs w:val="32"/>
          <w:lang w:val="en-US" w:eastAsia="zh-CN" w:bidi="ar-SA"/>
        </w:rPr>
        <w:t>文化出口企业</w:t>
      </w:r>
      <w:r>
        <w:rPr>
          <w:rFonts w:hint="eastAsia" w:ascii="仿宋_GB2312" w:hAnsi="仿宋_GB2312" w:eastAsia="仿宋_GB2312" w:cs="仿宋_GB2312"/>
          <w:kern w:val="0"/>
          <w:sz w:val="32"/>
          <w:szCs w:val="32"/>
          <w:lang w:val="en-US" w:eastAsia="zh-CN" w:bidi="ar-SA"/>
        </w:rPr>
        <w:t>和项目，</w:t>
      </w:r>
      <w:r>
        <w:rPr>
          <w:rFonts w:hint="eastAsia" w:ascii="仿宋_GB2312" w:hAnsi="Times New Roman" w:eastAsia="仿宋_GB2312" w:cs="Times New Roman"/>
          <w:kern w:val="0"/>
          <w:sz w:val="32"/>
          <w:szCs w:val="32"/>
          <w:lang w:val="en-US" w:eastAsia="zh-CN" w:bidi="ar-SA"/>
        </w:rPr>
        <w:t>不断巩固壮大文化贸易规模</w:t>
      </w:r>
      <w:r>
        <w:rPr>
          <w:rFonts w:ascii="仿宋_GB2312" w:hAnsi="Times New Roman" w:eastAsia="仿宋_GB2312" w:cs="Times New Roman"/>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紧抓“两区”建设机遇，</w:t>
      </w:r>
      <w:r>
        <w:rPr>
          <w:rFonts w:ascii="仿宋_GB2312" w:hAnsi="Times New Roman" w:eastAsia="仿宋_GB2312" w:cs="Times New Roman"/>
          <w:kern w:val="0"/>
          <w:sz w:val="32"/>
          <w:szCs w:val="32"/>
          <w:lang w:val="en-US" w:eastAsia="zh-CN" w:bidi="ar-SA"/>
        </w:rPr>
        <w:t>有序扩大文化领域</w:t>
      </w:r>
      <w:r>
        <w:rPr>
          <w:rFonts w:hint="eastAsia" w:ascii="仿宋_GB2312" w:hAnsi="Times New Roman" w:eastAsia="仿宋_GB2312" w:cs="Times New Roman"/>
          <w:kern w:val="0"/>
          <w:sz w:val="32"/>
          <w:szCs w:val="32"/>
          <w:lang w:val="en-US" w:eastAsia="zh-CN" w:bidi="ar-SA"/>
        </w:rPr>
        <w:t>开放</w:t>
      </w:r>
      <w:r>
        <w:rPr>
          <w:rFonts w:ascii="仿宋_GB2312" w:hAnsi="Times New Roman" w:eastAsia="仿宋_GB2312" w:cs="Times New Roman"/>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推动相关政策先行落地</w:t>
      </w:r>
      <w:r>
        <w:rPr>
          <w:rFonts w:hint="eastAsia" w:ascii="仿宋_GB2312" w:hAnsi="Times New Roman" w:eastAsia="仿宋_GB2312" w:cs="Times New Roman"/>
          <w:color w:val="000000"/>
          <w:kern w:val="0"/>
          <w:sz w:val="32"/>
          <w:szCs w:val="32"/>
          <w:lang w:val="en-US" w:eastAsia="zh-CN" w:bidi="ar-SA"/>
        </w:rPr>
        <w:t>。提升外资文化企业引进和服务能力，</w:t>
      </w:r>
      <w:r>
        <w:rPr>
          <w:rFonts w:hint="eastAsia" w:ascii="仿宋_GB2312" w:hAnsi="仿宋_GB2312" w:eastAsia="仿宋_GB2312" w:cs="仿宋_GB2312"/>
          <w:kern w:val="0"/>
          <w:sz w:val="32"/>
          <w:szCs w:val="32"/>
          <w:lang w:val="en-US" w:eastAsia="zh-CN" w:bidi="ar-SA"/>
        </w:rPr>
        <w:t>依托北京国际法商融合示范区建设，为国内外文化经营主体提供高质量、全链条、国际化法商服务保障。</w:t>
      </w:r>
      <w:r>
        <w:rPr>
          <w:rFonts w:ascii="Times New Roman" w:hAnsi="Times New Roman" w:eastAsia="仿宋_GB2312" w:cs="Times New Roman"/>
          <w:kern w:val="0"/>
          <w:sz w:val="32"/>
          <w:szCs w:val="32"/>
          <w:lang w:val="en-US" w:eastAsia="zh-CN" w:bidi="ar-SA"/>
        </w:rPr>
        <w:t>探索设立</w:t>
      </w:r>
      <w:r>
        <w:rPr>
          <w:rFonts w:hint="eastAsia" w:ascii="Times New Roman" w:hAnsi="Times New Roman" w:eastAsia="仿宋_GB2312" w:cs="Times New Roman"/>
          <w:kern w:val="0"/>
          <w:sz w:val="32"/>
          <w:szCs w:val="32"/>
          <w:lang w:val="en-US" w:eastAsia="zh-CN" w:bidi="ar-SA"/>
        </w:rPr>
        <w:t>以消费为特色的</w:t>
      </w:r>
      <w:r>
        <w:rPr>
          <w:rFonts w:ascii="Times New Roman" w:hAnsi="Times New Roman" w:eastAsia="仿宋_GB2312" w:cs="Times New Roman"/>
          <w:kern w:val="0"/>
          <w:sz w:val="32"/>
          <w:szCs w:val="32"/>
          <w:lang w:val="en-US" w:eastAsia="zh-CN" w:bidi="ar-SA"/>
        </w:rPr>
        <w:t>保税物流中心，</w:t>
      </w:r>
      <w:r>
        <w:rPr>
          <w:rFonts w:hint="eastAsia" w:ascii="Times New Roman" w:hAnsi="Times New Roman" w:eastAsia="仿宋_GB2312" w:cs="Times New Roman"/>
          <w:kern w:val="0"/>
          <w:sz w:val="32"/>
          <w:szCs w:val="32"/>
          <w:lang w:val="en-US" w:eastAsia="zh-CN" w:bidi="ar-SA"/>
        </w:rPr>
        <w:t>为文化艺术品提供更多展览展示平台</w:t>
      </w:r>
      <w:r>
        <w:rPr>
          <w:rFonts w:hint="eastAsia" w:ascii="仿宋_GB2312" w:hAnsi="仿宋_GB2312" w:eastAsia="仿宋_GB2312" w:cs="仿宋_GB2312"/>
          <w:kern w:val="0"/>
          <w:sz w:val="32"/>
          <w:szCs w:val="32"/>
          <w:lang w:val="en-US" w:eastAsia="zh-CN" w:bidi="ar-SA"/>
        </w:rPr>
        <w:t>。</w:t>
      </w:r>
      <w:r>
        <w:rPr>
          <w:rFonts w:ascii="仿宋_GB2312" w:hAnsi="Times New Roman" w:eastAsia="仿宋_GB2312" w:cs="Times New Roman"/>
          <w:kern w:val="0"/>
          <w:sz w:val="32"/>
          <w:szCs w:val="32"/>
          <w:lang w:val="en-US" w:eastAsia="zh-CN" w:bidi="ar-SA"/>
        </w:rPr>
        <w:t>依托中国国际服务贸易交易会、中国国际视听大会、北京国际设计周、北京国际电影节等展会活动，加强与国外</w:t>
      </w:r>
      <w:r>
        <w:rPr>
          <w:rFonts w:hint="eastAsia" w:ascii="仿宋_GB2312" w:hAnsi="Times New Roman" w:eastAsia="仿宋_GB2312" w:cs="Times New Roman"/>
          <w:kern w:val="0"/>
          <w:sz w:val="32"/>
          <w:szCs w:val="32"/>
          <w:lang w:val="en-US" w:eastAsia="zh-CN" w:bidi="ar-SA"/>
        </w:rPr>
        <w:t>文化</w:t>
      </w:r>
      <w:r>
        <w:rPr>
          <w:rFonts w:ascii="仿宋_GB2312" w:hAnsi="Times New Roman" w:eastAsia="仿宋_GB2312" w:cs="Times New Roman"/>
          <w:kern w:val="0"/>
          <w:sz w:val="32"/>
          <w:szCs w:val="32"/>
          <w:lang w:val="en-US" w:eastAsia="zh-CN" w:bidi="ar-SA"/>
        </w:rPr>
        <w:t>行业组织、重点企业的交流与合作，</w:t>
      </w:r>
      <w:r>
        <w:rPr>
          <w:rFonts w:hint="eastAsia" w:ascii="仿宋_GB2312" w:hAnsi="Times New Roman" w:eastAsia="仿宋_GB2312" w:cs="Times New Roman"/>
          <w:kern w:val="0"/>
          <w:sz w:val="32"/>
          <w:szCs w:val="32"/>
          <w:lang w:val="en-US" w:eastAsia="zh-CN" w:bidi="ar-SA"/>
        </w:rPr>
        <w:t>加速</w:t>
      </w:r>
      <w:r>
        <w:rPr>
          <w:rFonts w:ascii="仿宋_GB2312" w:hAnsi="Times New Roman" w:eastAsia="仿宋_GB2312" w:cs="Times New Roman"/>
          <w:kern w:val="0"/>
          <w:sz w:val="32"/>
          <w:szCs w:val="32"/>
          <w:lang w:val="en-US" w:eastAsia="zh-CN" w:bidi="ar-SA"/>
        </w:rPr>
        <w:t>文化走出去</w:t>
      </w:r>
      <w:r>
        <w:rPr>
          <w:rFonts w:hint="eastAsia" w:ascii="仿宋_GB2312" w:hAnsi="Times New Roman" w:eastAsia="仿宋_GB2312" w:cs="Times New Roman"/>
          <w:kern w:val="0"/>
          <w:sz w:val="32"/>
          <w:szCs w:val="32"/>
          <w:lang w:val="en-US" w:eastAsia="zh-CN" w:bidi="ar-SA"/>
        </w:rPr>
        <w:t>步伐</w:t>
      </w:r>
      <w:r>
        <w:rPr>
          <w:rFonts w:ascii="仿宋_GB2312" w:hAnsi="Times New Roman" w:eastAsia="仿宋_GB2312" w:cs="Times New Roman"/>
          <w:kern w:val="0"/>
          <w:sz w:val="32"/>
          <w:szCs w:val="32"/>
          <w:lang w:val="en-US" w:eastAsia="zh-CN" w:bidi="ar-SA"/>
        </w:rPr>
        <w:t>。</w:t>
      </w:r>
      <w:r>
        <w:rPr>
          <w:rFonts w:hint="eastAsia" w:ascii="仿宋_GB2312" w:hAnsi="Times New Roman" w:eastAsia="仿宋_GB2312" w:cs="Times New Roman"/>
          <w:kern w:val="0"/>
          <w:sz w:val="32"/>
          <w:szCs w:val="32"/>
          <w:lang w:val="en-US" w:eastAsia="zh-CN" w:bidi="ar-SA"/>
        </w:rPr>
        <w:t>依托</w:t>
      </w:r>
      <w:r>
        <w:rPr>
          <w:rFonts w:hint="default" w:ascii="Times New Roman" w:hAnsi="Times New Roman" w:eastAsia="仿宋_GB2312" w:cs="Times New Roman"/>
          <w:kern w:val="0"/>
          <w:sz w:val="32"/>
          <w:szCs w:val="32"/>
          <w:lang w:val="en-US" w:eastAsia="zh-CN" w:bidi="ar-SA"/>
        </w:rPr>
        <w:t>798</w:t>
      </w:r>
      <w:r>
        <w:rPr>
          <w:rFonts w:hint="eastAsia" w:ascii="Times New Roman" w:hAnsi="Times New Roman" w:eastAsia="仿宋_GB2312" w:cs="Times New Roman"/>
          <w:kern w:val="0"/>
          <w:sz w:val="32"/>
          <w:szCs w:val="32"/>
          <w:lang w:val="en-US" w:eastAsia="zh-CN" w:bidi="ar-SA"/>
        </w:rPr>
        <w:t>艺术区等</w:t>
      </w:r>
      <w:r>
        <w:rPr>
          <w:rFonts w:hint="eastAsia" w:ascii="仿宋_GB2312" w:hAnsi="Times New Roman" w:eastAsia="仿宋_GB2312" w:cs="Times New Roman"/>
          <w:kern w:val="0"/>
          <w:sz w:val="32"/>
          <w:szCs w:val="32"/>
          <w:lang w:val="en-US" w:eastAsia="zh-CN" w:bidi="ar-SA"/>
        </w:rPr>
        <w:t>国际文化场景资源优势，</w:t>
      </w:r>
      <w:r>
        <w:rPr>
          <w:rFonts w:hint="eastAsia" w:ascii="仿宋_GB2312" w:hAnsi="仿宋_GB2312" w:eastAsia="仿宋_GB2312" w:cs="仿宋_GB2312"/>
          <w:color w:val="000000"/>
          <w:kern w:val="0"/>
          <w:sz w:val="32"/>
          <w:szCs w:val="32"/>
          <w:lang w:val="en-US" w:eastAsia="zh-CN" w:bidi="ar"/>
        </w:rPr>
        <w:t>打造多业态、多层次的国际文化会客厅，深化与国际友好城市、共建“一带一路”国家文化对话，构建政府、企业、社会组织多层次交流网络。</w:t>
      </w:r>
      <w:r>
        <w:rPr>
          <w:rFonts w:ascii="仿宋_GB2312" w:hAnsi="Times New Roman" w:eastAsia="仿宋_GB2312" w:cs="Times New Roman"/>
          <w:kern w:val="0"/>
          <w:sz w:val="32"/>
          <w:szCs w:val="32"/>
          <w:lang w:val="en-US" w:eastAsia="zh-CN" w:bidi="ar-SA"/>
        </w:rPr>
        <w:t>拓</w:t>
      </w:r>
      <w:r>
        <w:rPr>
          <w:rFonts w:hint="eastAsia" w:ascii="仿宋_GB2312" w:hAnsi="Times New Roman" w:eastAsia="仿宋_GB2312" w:cs="Times New Roman"/>
          <w:kern w:val="0"/>
          <w:sz w:val="32"/>
          <w:szCs w:val="32"/>
          <w:lang w:val="en-US" w:eastAsia="zh-CN" w:bidi="ar-SA"/>
        </w:rPr>
        <w:t>展多元国际传播渠道，探索构建中国话语和中国叙事体系，对外讲好中国故事、北京故事、朝阳故事。</w:t>
      </w:r>
    </w:p>
    <w:p w14:paraId="0CC5E6F8">
      <w:pPr>
        <w:spacing w:line="560" w:lineRule="exact"/>
        <w:ind w:firstLine="640"/>
        <w:rPr>
          <w:rFonts w:hint="eastAsia"/>
        </w:rPr>
        <w:sectPr>
          <w:pgSz w:w="11906" w:h="16838"/>
          <w:pgMar w:top="1417" w:right="1474" w:bottom="1417" w:left="1587" w:header="851" w:footer="992" w:gutter="0"/>
          <w:pgNumType w:fmt="decimal"/>
          <w:cols w:space="0" w:num="1"/>
          <w:rtlGutter w:val="0"/>
          <w:docGrid w:type="lines" w:linePitch="315" w:charSpace="0"/>
        </w:sectPr>
      </w:pPr>
    </w:p>
    <w:p w14:paraId="2FC775D3">
      <w:pPr>
        <w:widowControl w:val="0"/>
        <w:autoSpaceDE w:val="0"/>
        <w:autoSpaceDN w:val="0"/>
        <w:adjustRightInd w:val="0"/>
        <w:spacing w:before="312" w:beforeLines="100" w:after="312" w:afterLines="100" w:line="560" w:lineRule="exact"/>
        <w:jc w:val="center"/>
        <w:outlineLvl w:val="0"/>
        <w:rPr>
          <w:rFonts w:ascii="仿宋_GB2312" w:hAnsi="仿宋_GB2312" w:eastAsia="仿宋_GB2312" w:cs="仿宋_GB2312"/>
          <w:bCs/>
          <w:color w:val="000000"/>
          <w:sz w:val="36"/>
          <w:szCs w:val="36"/>
          <w:lang w:val="en-US" w:eastAsia="zh-CN" w:bidi="ar-SA"/>
        </w:rPr>
      </w:pPr>
      <w:bookmarkStart w:id="94" w:name="_Toc24795"/>
      <w:r>
        <w:rPr>
          <w:rFonts w:hint="eastAsia" w:ascii="方正小标宋简体" w:hAnsi="方正小标宋简体" w:eastAsia="方正小标宋简体" w:cs="方正小标宋简体"/>
          <w:bCs/>
          <w:color w:val="000000"/>
          <w:sz w:val="36"/>
          <w:szCs w:val="36"/>
          <w:lang w:val="en-US" w:eastAsia="zh-CN" w:bidi="ar-SA"/>
        </w:rPr>
        <w:t>第七章 保障措施</w:t>
      </w:r>
      <w:bookmarkEnd w:id="94"/>
    </w:p>
    <w:p w14:paraId="2645C377">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5" w:name="_Toc4041"/>
      <w:bookmarkStart w:id="96" w:name="_Toc747388398"/>
      <w:r>
        <w:rPr>
          <w:rFonts w:hint="eastAsia" w:ascii="楷体_GB2312" w:hAnsi="楷体_GB2312" w:eastAsia="楷体_GB2312" w:cs="楷体_GB2312"/>
          <w:b w:val="0"/>
          <w:bCs/>
          <w:color w:val="000000"/>
          <w:sz w:val="32"/>
          <w:szCs w:val="32"/>
          <w:lang w:val="en-US" w:eastAsia="zh-CN" w:bidi="ar-SA"/>
        </w:rPr>
        <w:t>第一节 强化党建引领</w:t>
      </w:r>
      <w:bookmarkEnd w:id="95"/>
      <w:bookmarkEnd w:id="96"/>
    </w:p>
    <w:p w14:paraId="60E2383A">
      <w:pPr>
        <w:spacing w:line="560" w:lineRule="exact"/>
        <w:ind w:firstLine="64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充分发挥党总揽全局、协调各方的领导核心作用，以社会主义核心价值观为引领凝聚思想共识，严格落实意识形态工作责任制，筑牢意识形态和文化安全防线。强化文创行业党委</w:t>
      </w:r>
      <w:r>
        <w:rPr>
          <w:rFonts w:hint="eastAsia" w:ascii="Times New Roman" w:hAnsi="Times New Roman" w:eastAsia="仿宋_GB2312"/>
          <w:color w:val="000000"/>
          <w:kern w:val="0"/>
          <w:sz w:val="32"/>
          <w:szCs w:val="32"/>
          <w:lang w:eastAsia="zh-CN"/>
        </w:rPr>
        <w:t>引领</w:t>
      </w:r>
      <w:r>
        <w:rPr>
          <w:rFonts w:hint="eastAsia" w:ascii="Times New Roman" w:hAnsi="Times New Roman" w:eastAsia="仿宋_GB2312"/>
          <w:color w:val="000000"/>
          <w:kern w:val="0"/>
          <w:sz w:val="32"/>
          <w:szCs w:val="32"/>
        </w:rPr>
        <w:t>，深入推进文化园区及企业非公党建建设。重点培育</w:t>
      </w:r>
      <w:r>
        <w:rPr>
          <w:rFonts w:hint="eastAsia" w:ascii="Times New Roman" w:hAnsi="Times New Roman" w:eastAsia="仿宋_GB2312"/>
          <w:color w:val="000000"/>
          <w:kern w:val="0"/>
          <w:sz w:val="32"/>
          <w:szCs w:val="32"/>
          <w:lang w:eastAsia="zh-CN"/>
        </w:rPr>
        <w:t>人工智能生成内容</w:t>
      </w:r>
      <w:r>
        <w:rPr>
          <w:rFonts w:hint="eastAsia" w:ascii="Times New Roman" w:hAnsi="Times New Roman" w:eastAsia="仿宋_GB2312"/>
          <w:color w:val="000000"/>
          <w:kern w:val="0"/>
          <w:sz w:val="32"/>
          <w:szCs w:val="32"/>
        </w:rPr>
        <w:t>视听产业链</w:t>
      </w:r>
      <w:r>
        <w:rPr>
          <w:rFonts w:hint="eastAsia" w:ascii="Times New Roman" w:hAnsi="Times New Roman" w:eastAsia="仿宋_GB2312"/>
          <w:color w:val="000000"/>
          <w:kern w:val="0"/>
          <w:sz w:val="32"/>
          <w:szCs w:val="32"/>
          <w:lang w:eastAsia="zh-CN"/>
        </w:rPr>
        <w:t>党委</w:t>
      </w:r>
      <w:r>
        <w:rPr>
          <w:rFonts w:hint="eastAsia" w:ascii="Times New Roman" w:hAnsi="Times New Roman" w:eastAsia="仿宋_GB2312"/>
          <w:color w:val="000000"/>
          <w:kern w:val="0"/>
          <w:sz w:val="32"/>
          <w:szCs w:val="32"/>
        </w:rPr>
        <w:t>等特色党建品牌，优化党建服务包内容，通过党建链有效串联产业链与服务链，提升党建引领力。</w:t>
      </w:r>
    </w:p>
    <w:p w14:paraId="4BB2F5DC">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7" w:name="_Toc19133"/>
      <w:bookmarkStart w:id="98" w:name="_Toc724953883"/>
      <w:r>
        <w:rPr>
          <w:rFonts w:hint="eastAsia" w:ascii="楷体_GB2312" w:hAnsi="楷体_GB2312" w:eastAsia="楷体_GB2312" w:cs="楷体_GB2312"/>
          <w:b w:val="0"/>
          <w:bCs/>
          <w:color w:val="000000"/>
          <w:sz w:val="32"/>
          <w:szCs w:val="32"/>
          <w:lang w:val="en-US" w:eastAsia="zh-CN" w:bidi="ar-SA"/>
        </w:rPr>
        <w:t>第二节 突出项目带动</w:t>
      </w:r>
      <w:bookmarkEnd w:id="97"/>
      <w:bookmarkEnd w:id="98"/>
    </w:p>
    <w:p w14:paraId="5B6FFB34">
      <w:pPr>
        <w:widowControl w:val="0"/>
        <w:autoSpaceDE w:val="0"/>
        <w:autoSpaceDN w:val="0"/>
        <w:adjustRightInd w:val="0"/>
        <w:spacing w:line="560" w:lineRule="exact"/>
        <w:ind w:firstLine="640" w:firstLineChars="200"/>
        <w:jc w:val="both"/>
        <w:rPr>
          <w:rFonts w:ascii="Times New Roman" w:hAnsi="Times New Roman" w:eastAsia="仿宋_GB2312" w:cs="Times New Roman"/>
          <w:color w:val="000000"/>
          <w:sz w:val="32"/>
          <w:szCs w:val="32"/>
          <w:lang w:val="en-US" w:eastAsia="zh-CN" w:bidi="ar-SA"/>
        </w:rPr>
      </w:pPr>
      <w:r>
        <w:rPr>
          <w:rFonts w:hint="eastAsia" w:ascii="Times New Roman" w:hAnsi="Times New Roman" w:eastAsia="仿宋_GB2312" w:cs="Times New Roman"/>
          <w:color w:val="000000"/>
          <w:sz w:val="32"/>
          <w:szCs w:val="32"/>
          <w:lang w:val="en-US" w:eastAsia="zh-CN" w:bidi="ar-SA"/>
        </w:rPr>
        <w:t>充分发挥重大项目示范带动作用，以标杆项目激活产业发展动能。聚焦文化科技创新，推动人工智能、虚拟现实等新技术文化应用项目落地，积极打造研发、展示、转化功能平台及数字文化资产交易平台，夯实技术底座。以深化国家文化产业创新实验区建设为抓手，主动对接国家及市级规划，争取重点项目落地朝阳，以项目集聚推动文化产业高质量发展。</w:t>
      </w:r>
    </w:p>
    <w:p w14:paraId="08FF7418">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99" w:name="_Toc25691"/>
      <w:bookmarkStart w:id="100" w:name="_Toc1625182150"/>
      <w:r>
        <w:rPr>
          <w:rFonts w:hint="eastAsia" w:ascii="楷体_GB2312" w:hAnsi="楷体_GB2312" w:eastAsia="楷体_GB2312" w:cs="楷体_GB2312"/>
          <w:b w:val="0"/>
          <w:bCs/>
          <w:color w:val="000000"/>
          <w:sz w:val="32"/>
          <w:szCs w:val="32"/>
          <w:lang w:val="en-US" w:eastAsia="zh-CN" w:bidi="ar-SA"/>
        </w:rPr>
        <w:t>第三节 优化营商环境</w:t>
      </w:r>
      <w:bookmarkEnd w:id="99"/>
      <w:bookmarkEnd w:id="100"/>
    </w:p>
    <w:p w14:paraId="415CBF37">
      <w:pPr>
        <w:spacing w:line="560" w:lineRule="exact"/>
        <w:ind w:firstLine="640"/>
        <w:rPr>
          <w:rFonts w:ascii="楷体_GB2312" w:hAnsi="楷体_GB2312" w:eastAsia="楷体_GB2312" w:cs="楷体_GB2312"/>
          <w:b/>
          <w:sz w:val="32"/>
          <w:szCs w:val="32"/>
        </w:rPr>
      </w:pPr>
      <w:r>
        <w:rPr>
          <w:rFonts w:hint="eastAsia" w:ascii="Times New Roman" w:hAnsi="Times New Roman" w:eastAsia="仿宋_GB2312"/>
          <w:sz w:val="32"/>
          <w:szCs w:val="32"/>
        </w:rPr>
        <w:t>健全完善企业精准服务体系，</w:t>
      </w:r>
      <w:r>
        <w:rPr>
          <w:rFonts w:hint="eastAsia" w:ascii="仿宋_GB2312" w:hAnsi="仿宋_GB2312" w:eastAsia="仿宋_GB2312" w:cs="仿宋_GB2312"/>
          <w:sz w:val="32"/>
          <w:szCs w:val="32"/>
        </w:rPr>
        <w:t>聚焦立项审批、人才服务、知识产权保护等企业需求，提供便利、快捷、优质的“一站式”专业服务，打造“朝阳服务”品牌。积极搭建公共服务平台，</w:t>
      </w:r>
      <w:r>
        <w:rPr>
          <w:rFonts w:hint="eastAsia" w:ascii="仿宋_GB2312" w:hAnsi="仿宋_GB2312" w:eastAsia="仿宋_GB2312" w:cs="仿宋_GB2312"/>
          <w:sz w:val="32"/>
          <w:szCs w:val="32"/>
          <w:lang w:val="en"/>
        </w:rPr>
        <w:t>加强行业交流、资源共享、产业监测。</w:t>
      </w:r>
      <w:r>
        <w:rPr>
          <w:rFonts w:ascii="Times New Roman" w:hAnsi="Times New Roman" w:eastAsia="仿宋_GB2312"/>
          <w:sz w:val="32"/>
          <w:szCs w:val="32"/>
        </w:rPr>
        <w:t>加强文化市场信用体系建设，提升文化市场服务质量，营造一流营商环境。</w:t>
      </w:r>
    </w:p>
    <w:p w14:paraId="6DD3D7FF">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101" w:name="_Toc591888857"/>
      <w:bookmarkStart w:id="102" w:name="_Toc4867"/>
      <w:r>
        <w:rPr>
          <w:rFonts w:hint="eastAsia" w:ascii="楷体_GB2312" w:hAnsi="楷体_GB2312" w:eastAsia="楷体_GB2312" w:cs="楷体_GB2312"/>
          <w:b w:val="0"/>
          <w:bCs/>
          <w:color w:val="000000"/>
          <w:sz w:val="32"/>
          <w:szCs w:val="32"/>
          <w:lang w:val="en-US" w:eastAsia="zh-CN" w:bidi="ar-SA"/>
        </w:rPr>
        <w:t>第四节 加强督导落实</w:t>
      </w:r>
      <w:bookmarkEnd w:id="101"/>
      <w:bookmarkEnd w:id="102"/>
    </w:p>
    <w:p w14:paraId="5E846505">
      <w:pPr>
        <w:widowControl w:val="0"/>
        <w:autoSpaceDE w:val="0"/>
        <w:autoSpaceDN w:val="0"/>
        <w:adjustRightInd w:val="0"/>
        <w:spacing w:line="560" w:lineRule="exact"/>
        <w:ind w:firstLine="640" w:firstLineChars="200"/>
        <w:jc w:val="both"/>
        <w:rPr>
          <w:rFonts w:ascii="仿宋_GB2312" w:hAnsi="..ì." w:eastAsia="仿宋_GB2312" w:cs="仿宋_GB2312"/>
          <w:color w:val="000000"/>
          <w:sz w:val="32"/>
          <w:szCs w:val="32"/>
          <w:lang w:val="en-US" w:eastAsia="zh-CN" w:bidi="ar-SA"/>
        </w:rPr>
      </w:pPr>
      <w:r>
        <w:rPr>
          <w:rFonts w:hint="eastAsia" w:ascii="仿宋_GB2312" w:hAnsi="..ì." w:eastAsia="仿宋_GB2312" w:cs="仿宋_GB2312"/>
          <w:color w:val="000000"/>
          <w:sz w:val="32"/>
          <w:szCs w:val="32"/>
          <w:lang w:val="en-US" w:eastAsia="zh-CN" w:bidi="ar-SA"/>
        </w:rPr>
        <w:t>加强规划落实的组织协调，统筹相关部门形成推进合力。遵循分步实施原则，结合总目标拆解阶段性任务，明确时间表和路线图，细化责任分工，推动重点任务有序实施。建立动态监测评估机制，常态化跟踪重点任务进度及成果，确保规划落地见效。</w:t>
      </w:r>
    </w:p>
    <w:p w14:paraId="3AE5D2B0">
      <w:pPr>
        <w:widowControl w:val="0"/>
        <w:autoSpaceDE w:val="0"/>
        <w:autoSpaceDN w:val="0"/>
        <w:adjustRightInd w:val="0"/>
        <w:spacing w:before="156" w:beforeLines="50" w:after="156" w:afterLines="50" w:line="560" w:lineRule="exact"/>
        <w:jc w:val="center"/>
        <w:outlineLvl w:val="1"/>
        <w:rPr>
          <w:rFonts w:ascii="楷体_GB2312" w:hAnsi="楷体_GB2312" w:eastAsia="楷体_GB2312" w:cs="楷体_GB2312"/>
          <w:b w:val="0"/>
          <w:bCs/>
          <w:color w:val="000000"/>
          <w:sz w:val="32"/>
          <w:szCs w:val="32"/>
          <w:lang w:val="en-US" w:eastAsia="zh-CN" w:bidi="ar-SA"/>
        </w:rPr>
      </w:pPr>
      <w:bookmarkStart w:id="103" w:name="_Toc731766695"/>
      <w:bookmarkStart w:id="104" w:name="_Toc17333"/>
      <w:r>
        <w:rPr>
          <w:rFonts w:hint="eastAsia" w:ascii="楷体_GB2312" w:hAnsi="楷体_GB2312" w:eastAsia="楷体_GB2312" w:cs="楷体_GB2312"/>
          <w:b w:val="0"/>
          <w:bCs/>
          <w:color w:val="000000"/>
          <w:sz w:val="32"/>
          <w:szCs w:val="32"/>
          <w:lang w:val="en-US" w:eastAsia="zh-CN" w:bidi="ar-SA"/>
        </w:rPr>
        <w:t>第五节 扩大宣传推广</w:t>
      </w:r>
      <w:bookmarkEnd w:id="103"/>
      <w:bookmarkEnd w:id="104"/>
    </w:p>
    <w:p w14:paraId="7E8C58CB">
      <w:pPr>
        <w:widowControl w:val="0"/>
        <w:autoSpaceDE w:val="0"/>
        <w:autoSpaceDN w:val="0"/>
        <w:adjustRightInd w:val="0"/>
        <w:spacing w:line="560" w:lineRule="exact"/>
        <w:ind w:firstLine="640" w:firstLineChars="200"/>
        <w:jc w:val="both"/>
        <w:rPr>
          <w:rFonts w:hint="eastAsia" w:ascii="仿宋_GB2312" w:hAnsi="..ì." w:eastAsia="仿宋_GB2312" w:cs="仿宋_GB2312"/>
          <w:color w:val="000000"/>
          <w:sz w:val="32"/>
          <w:szCs w:val="32"/>
          <w:lang w:val="en-US" w:eastAsia="zh-CN" w:bidi="ar-SA"/>
        </w:rPr>
      </w:pPr>
      <w:r>
        <w:rPr>
          <w:rFonts w:hint="eastAsia" w:ascii="仿宋_GB2312" w:hAnsi="..ì." w:eastAsia="仿宋_GB2312" w:cs="仿宋_GB2312"/>
          <w:color w:val="000000"/>
          <w:sz w:val="32"/>
          <w:szCs w:val="32"/>
          <w:lang w:val="en-US" w:eastAsia="zh-CN" w:bidi="ar-SA"/>
        </w:rPr>
        <w:t>用好各级媒体资源，系统总结创新成果、典型经验，加大对关键领域、重点企业、示范项目的宣传推介，不断提升对外宣传效果。精心组织企业参加国家级重点平台活动，加强对话交流，以活动为载体扩大文化品牌影响力，营造良好宣传舆论环境。</w:t>
      </w:r>
    </w:p>
    <w:p w14:paraId="104B8FA2">
      <w:pPr>
        <w:widowControl w:val="0"/>
        <w:autoSpaceDE w:val="0"/>
        <w:autoSpaceDN w:val="0"/>
        <w:adjustRightInd w:val="0"/>
        <w:spacing w:line="560" w:lineRule="exact"/>
        <w:jc w:val="both"/>
        <w:rPr>
          <w:rFonts w:hint="eastAsia" w:ascii="仿宋_GB2312" w:hAnsi="..ì." w:eastAsia="仿宋_GB2312" w:cs="仿宋_GB2312"/>
          <w:color w:val="000000"/>
          <w:sz w:val="32"/>
          <w:szCs w:val="32"/>
          <w:lang w:val="en-US" w:eastAsia="zh-CN" w:bidi="ar-SA"/>
        </w:rPr>
      </w:pPr>
    </w:p>
    <w:p w14:paraId="51FE7BCC">
      <w:pPr>
        <w:widowControl w:val="0"/>
        <w:autoSpaceDE w:val="0"/>
        <w:autoSpaceDN w:val="0"/>
        <w:adjustRightInd w:val="0"/>
        <w:spacing w:line="560" w:lineRule="exact"/>
        <w:jc w:val="both"/>
        <w:rPr>
          <w:rFonts w:hint="eastAsia" w:ascii="仿宋_GB2312" w:hAnsi="..ì." w:eastAsia="仿宋_GB2312" w:cs="仿宋_GB2312"/>
          <w:color w:val="000000"/>
          <w:sz w:val="32"/>
          <w:szCs w:val="32"/>
          <w:lang w:val="en-US" w:eastAsia="zh-CN" w:bidi="ar-SA"/>
        </w:rPr>
      </w:pPr>
    </w:p>
    <w:p w14:paraId="37828C19">
      <w:pPr>
        <w:pStyle w:val="14"/>
        <w:rPr>
          <w:rFonts w:hint="eastAsia"/>
          <w:lang w:val="en-US" w:eastAsia="zh-CN"/>
        </w:rPr>
      </w:pPr>
    </w:p>
    <w:sectPr>
      <w:headerReference r:id="rId9" w:type="default"/>
      <w:footerReference r:id="rId10" w:type="default"/>
      <w:pgSz w:w="11906" w:h="16838"/>
      <w:pgMar w:top="1417" w:right="1474" w:bottom="1417"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ì.">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Noto Sans SC">
    <w:altName w:val="宋体"/>
    <w:panose1 w:val="020B0200000000000000"/>
    <w:charset w:val="86"/>
    <w:family w:val="swiss"/>
    <w:pitch w:val="default"/>
    <w:sig w:usb0="00000000" w:usb1="00000000" w:usb2="00000016" w:usb3="00000000" w:csb0="0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C161">
    <w:pPr>
      <w:widowControl w:val="0"/>
      <w:tabs>
        <w:tab w:val="center" w:pos="4153"/>
        <w:tab w:val="right" w:pos="8306"/>
      </w:tabs>
      <w:snapToGrid w:val="0"/>
      <w:spacing w:line="600" w:lineRule="exact"/>
      <w:ind w:firstLine="360" w:firstLineChars="200"/>
      <w:jc w:val="righ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2F803D">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7F2F803D">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BD1A6">
    <w:pPr>
      <w:widowControl w:val="0"/>
      <w:tabs>
        <w:tab w:val="center" w:pos="4153"/>
        <w:tab w:val="right" w:pos="8306"/>
      </w:tabs>
      <w:snapToGrid w:val="0"/>
      <w:spacing w:line="600" w:lineRule="exact"/>
      <w:ind w:firstLine="360" w:firstLineChars="200"/>
      <w:jc w:val="righ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6C536D">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jp6Uz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zjp6UzAgAAZQQAAA4AAAAAAAAAAQAgAAAAHwEAAGRycy9lMm9Eb2MueG1sUEsF&#10;BgAAAAAGAAYAWQEAAMQFAAAAAA==&#10;">
              <v:fill on="f" focussize="0,0"/>
              <v:stroke on="f" weight="0.5pt"/>
              <v:imagedata o:title=""/>
              <o:lock v:ext="edit" aspectratio="f"/>
              <v:textbox inset="0mm,0mm,0mm,0mm" style="mso-fit-shape-to-text:t;">
                <w:txbxContent>
                  <w:p w14:paraId="326C536D">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227C8">
    <w:pPr>
      <w:widowControl w:val="0"/>
      <w:tabs>
        <w:tab w:val="center" w:pos="4153"/>
        <w:tab w:val="right" w:pos="8306"/>
      </w:tabs>
      <w:snapToGrid w:val="0"/>
      <w:spacing w:line="600" w:lineRule="exact"/>
      <w:ind w:firstLine="360" w:firstLineChars="200"/>
      <w:jc w:val="righ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8D2DD2">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v:fill on="f" focussize="0,0"/>
              <v:stroke on="f" weight="0.5pt"/>
              <v:imagedata o:title=""/>
              <o:lock v:ext="edit" aspectratio="f"/>
              <v:textbox inset="0mm,0mm,0mm,0mm" style="mso-fit-shape-to-text:t;">
                <w:txbxContent>
                  <w:p w14:paraId="1E8D2DD2">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1C20">
    <w:pPr>
      <w:widowControl w:val="0"/>
      <w:tabs>
        <w:tab w:val="center" w:pos="4153"/>
        <w:tab w:val="right" w:pos="8306"/>
      </w:tabs>
      <w:snapToGrid w:val="0"/>
      <w:spacing w:line="600" w:lineRule="exact"/>
      <w:ind w:firstLine="360" w:firstLineChars="200"/>
      <w:jc w:val="righ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2D9B79">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5A2D9B79">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8F04">
    <w:pPr>
      <w:widowControl w:val="0"/>
      <w:tabs>
        <w:tab w:val="center" w:pos="4153"/>
        <w:tab w:val="right" w:pos="8306"/>
      </w:tabs>
      <w:snapToGrid w:val="0"/>
      <w:spacing w:line="600" w:lineRule="exact"/>
      <w:ind w:firstLine="360" w:firstLineChars="200"/>
      <w:jc w:val="right"/>
      <w:rPr>
        <w:rFonts w:ascii="Times New Roman" w:hAnsi="Times New Roman" w:eastAsia="仿宋_GB2312" w:cs="Times New Roman"/>
        <w:kern w:val="2"/>
        <w:sz w:val="18"/>
        <w:szCs w:val="18"/>
        <w:lang w:val="en-US" w:eastAsia="zh-CN" w:bidi="ar-S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235D1">
                          <w:pPr>
                            <w:pStyle w:val="5"/>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5C235D1">
                    <w:pPr>
                      <w:pStyle w:val="5"/>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37C48C">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3137C48C">
                    <w:pPr>
                      <w:widowControl w:val="0"/>
                      <w:tabs>
                        <w:tab w:val="center" w:pos="4153"/>
                        <w:tab w:val="right" w:pos="8306"/>
                      </w:tabs>
                      <w:snapToGrid w:val="0"/>
                      <w:spacing w:line="600" w:lineRule="exact"/>
                      <w:ind w:firstLine="360" w:firstLineChars="200"/>
                      <w:jc w:val="both"/>
                      <w:rPr>
                        <w:rFonts w:ascii="Times New Roman" w:hAnsi="Times New Roman" w:eastAsia="仿宋_GB2312" w:cs="Times New Roman"/>
                        <w:kern w:val="2"/>
                        <w:sz w:val="18"/>
                        <w:szCs w:val="18"/>
                        <w:lang w:val="en-US" w:eastAsia="zh-CN" w:bidi="ar-SA"/>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C14BA">
    <w:pPr>
      <w:pStyle w:val="5"/>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DF186">
                          <w:pPr>
                            <w:pStyle w:val="5"/>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08DF186">
                    <w:pPr>
                      <w:pStyle w:val="5"/>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376AC">
    <w:pPr>
      <w:ind w:firstLine="640"/>
      <w:rPr>
        <w:rFonts w:ascii="Times New Roman" w:hAnsi="Times New Roman"/>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43D7B">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DDC33"/>
    <w:multiLevelType w:val="singleLevel"/>
    <w:tmpl w:val="8C9DDC33"/>
    <w:lvl w:ilvl="0" w:tentative="0">
      <w:start w:val="3"/>
      <w:numFmt w:val="chineseCounting"/>
      <w:suff w:val="space"/>
      <w:lvlText w:val="第%1节"/>
      <w:lvlJc w:val="left"/>
      <w:rPr>
        <w:rFonts w:hint="eastAsia"/>
      </w:rPr>
    </w:lvl>
  </w:abstractNum>
  <w:abstractNum w:abstractNumId="1">
    <w:nsid w:val="B1CFA5FE"/>
    <w:multiLevelType w:val="singleLevel"/>
    <w:tmpl w:val="B1CFA5FE"/>
    <w:lvl w:ilvl="0" w:tentative="0">
      <w:start w:val="1"/>
      <w:numFmt w:val="chineseCounting"/>
      <w:suff w:val="space"/>
      <w:lvlText w:val="第%1章"/>
      <w:lvlJc w:val="left"/>
      <w:rPr>
        <w:rFonts w:hint="eastAsia"/>
        <w:sz w:val="36"/>
        <w:szCs w:val="36"/>
      </w:rPr>
    </w:lvl>
  </w:abstractNum>
  <w:abstractNum w:abstractNumId="2">
    <w:nsid w:val="F8678471"/>
    <w:multiLevelType w:val="singleLevel"/>
    <w:tmpl w:val="F8678471"/>
    <w:lvl w:ilvl="0" w:tentative="0">
      <w:start w:val="2"/>
      <w:numFmt w:val="chineseCounting"/>
      <w:suff w:val="space"/>
      <w:lvlText w:val="第%1节"/>
      <w:lvlJc w:val="left"/>
      <w:rPr>
        <w:rFonts w:hint="eastAsia"/>
      </w:rPr>
    </w:lvl>
  </w:abstractNum>
  <w:abstractNum w:abstractNumId="3">
    <w:nsid w:val="3FD6888E"/>
    <w:multiLevelType w:val="singleLevel"/>
    <w:tmpl w:val="3FD6888E"/>
    <w:lvl w:ilvl="0" w:tentative="0">
      <w:start w:val="1"/>
      <w:numFmt w:val="chineseCounting"/>
      <w:suff w:val="space"/>
      <w:lvlText w:val="第%1节"/>
      <w:lvlJc w:val="left"/>
      <w:rPr>
        <w:rFonts w:hint="eastAsia"/>
      </w:rPr>
    </w:lvl>
  </w:abstractNum>
  <w:abstractNum w:abstractNumId="4">
    <w:nsid w:val="41D2C958"/>
    <w:multiLevelType w:val="singleLevel"/>
    <w:tmpl w:val="41D2C958"/>
    <w:lvl w:ilvl="0" w:tentative="0">
      <w:start w:val="2"/>
      <w:numFmt w:val="chineseCounting"/>
      <w:suff w:val="space"/>
      <w:lvlText w:val="第%1节"/>
      <w:lvlJc w:val="left"/>
      <w:rPr>
        <w:rFonts w:hint="eastAsia"/>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8185A"/>
    <w:rsid w:val="00F061FE"/>
    <w:rsid w:val="013959FB"/>
    <w:rsid w:val="01EC20E2"/>
    <w:rsid w:val="024B6E08"/>
    <w:rsid w:val="0434489F"/>
    <w:rsid w:val="049F343C"/>
    <w:rsid w:val="04FA4B16"/>
    <w:rsid w:val="0622562B"/>
    <w:rsid w:val="08BF5E5A"/>
    <w:rsid w:val="09724FA7"/>
    <w:rsid w:val="0A477FFC"/>
    <w:rsid w:val="0C31588B"/>
    <w:rsid w:val="0CB724A5"/>
    <w:rsid w:val="0E7C47EE"/>
    <w:rsid w:val="10AF3F7D"/>
    <w:rsid w:val="10F60887"/>
    <w:rsid w:val="11270A41"/>
    <w:rsid w:val="14180B15"/>
    <w:rsid w:val="16DA1689"/>
    <w:rsid w:val="17E72CD8"/>
    <w:rsid w:val="19724248"/>
    <w:rsid w:val="1AB33345"/>
    <w:rsid w:val="1B54283C"/>
    <w:rsid w:val="1C910401"/>
    <w:rsid w:val="1CC0714B"/>
    <w:rsid w:val="1D1B3E1A"/>
    <w:rsid w:val="1DC35F95"/>
    <w:rsid w:val="1EC61CE4"/>
    <w:rsid w:val="1F712338"/>
    <w:rsid w:val="1FF233D2"/>
    <w:rsid w:val="20286583"/>
    <w:rsid w:val="20F87D04"/>
    <w:rsid w:val="2104200B"/>
    <w:rsid w:val="212A7AA0"/>
    <w:rsid w:val="236F7E9E"/>
    <w:rsid w:val="241128D9"/>
    <w:rsid w:val="242D23BA"/>
    <w:rsid w:val="258B5D47"/>
    <w:rsid w:val="26192BF6"/>
    <w:rsid w:val="27C22E19"/>
    <w:rsid w:val="28956780"/>
    <w:rsid w:val="28C30FF9"/>
    <w:rsid w:val="2B275DB5"/>
    <w:rsid w:val="2CB226D2"/>
    <w:rsid w:val="2CD639E6"/>
    <w:rsid w:val="2D19172E"/>
    <w:rsid w:val="2D346567"/>
    <w:rsid w:val="2E093550"/>
    <w:rsid w:val="2E903C71"/>
    <w:rsid w:val="30983075"/>
    <w:rsid w:val="3233692D"/>
    <w:rsid w:val="325D0EFF"/>
    <w:rsid w:val="340018AD"/>
    <w:rsid w:val="347B4A7C"/>
    <w:rsid w:val="359648D0"/>
    <w:rsid w:val="35C661CB"/>
    <w:rsid w:val="37FF59C4"/>
    <w:rsid w:val="385775AE"/>
    <w:rsid w:val="38714C81"/>
    <w:rsid w:val="38883068"/>
    <w:rsid w:val="395B30CE"/>
    <w:rsid w:val="3A26548A"/>
    <w:rsid w:val="3B2B51B8"/>
    <w:rsid w:val="3B9D79CE"/>
    <w:rsid w:val="3CAA5988"/>
    <w:rsid w:val="3E210442"/>
    <w:rsid w:val="3F4168C2"/>
    <w:rsid w:val="40806B5C"/>
    <w:rsid w:val="41970A1B"/>
    <w:rsid w:val="427A45C5"/>
    <w:rsid w:val="42F73E67"/>
    <w:rsid w:val="478101A3"/>
    <w:rsid w:val="47AB5220"/>
    <w:rsid w:val="481E1E96"/>
    <w:rsid w:val="4A0A7C5A"/>
    <w:rsid w:val="4C343A36"/>
    <w:rsid w:val="4D46439C"/>
    <w:rsid w:val="4D961293"/>
    <w:rsid w:val="4E6B74B7"/>
    <w:rsid w:val="4FB54E8E"/>
    <w:rsid w:val="52592449"/>
    <w:rsid w:val="539A6875"/>
    <w:rsid w:val="53EA0E7E"/>
    <w:rsid w:val="54C53381"/>
    <w:rsid w:val="54CD29B6"/>
    <w:rsid w:val="554F368F"/>
    <w:rsid w:val="55AC288F"/>
    <w:rsid w:val="55B17EA6"/>
    <w:rsid w:val="58ED7447"/>
    <w:rsid w:val="58FE1654"/>
    <w:rsid w:val="59701E26"/>
    <w:rsid w:val="5AB04BD0"/>
    <w:rsid w:val="5CB42338"/>
    <w:rsid w:val="5D032BCD"/>
    <w:rsid w:val="5E317C3A"/>
    <w:rsid w:val="5F13572D"/>
    <w:rsid w:val="5F4C0C3F"/>
    <w:rsid w:val="5FCE4BE3"/>
    <w:rsid w:val="5FCF5AF8"/>
    <w:rsid w:val="60A24FBB"/>
    <w:rsid w:val="60CB2763"/>
    <w:rsid w:val="62E21FE6"/>
    <w:rsid w:val="635A7DCF"/>
    <w:rsid w:val="636649C5"/>
    <w:rsid w:val="66D95112"/>
    <w:rsid w:val="67A21D44"/>
    <w:rsid w:val="67BA708E"/>
    <w:rsid w:val="68CB5E2D"/>
    <w:rsid w:val="68CF0917"/>
    <w:rsid w:val="69586B5E"/>
    <w:rsid w:val="6BDB0F5D"/>
    <w:rsid w:val="6E576B13"/>
    <w:rsid w:val="6EF70B7B"/>
    <w:rsid w:val="707F2C23"/>
    <w:rsid w:val="712D491D"/>
    <w:rsid w:val="72AB41A3"/>
    <w:rsid w:val="72F84F0E"/>
    <w:rsid w:val="74A72748"/>
    <w:rsid w:val="74D1126D"/>
    <w:rsid w:val="757C7A14"/>
    <w:rsid w:val="77ED700C"/>
    <w:rsid w:val="793361C0"/>
    <w:rsid w:val="796C5D0E"/>
    <w:rsid w:val="7A6244EF"/>
    <w:rsid w:val="7B42733C"/>
    <w:rsid w:val="7D513B99"/>
    <w:rsid w:val="7D676F18"/>
    <w:rsid w:val="7DE72FE1"/>
    <w:rsid w:val="7E0A1153"/>
    <w:rsid w:val="7E1150D6"/>
    <w:rsid w:val="7E77318C"/>
    <w:rsid w:val="7F425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ind w:firstLine="880"/>
    </w:pPr>
    <w:rPr>
      <w:rFonts w:ascii="黑体" w:hAnsi="黑体" w:eastAsia="黑体"/>
      <w:b/>
      <w:sz w:val="36"/>
    </w:rPr>
  </w:style>
  <w:style w:type="paragraph" w:styleId="3">
    <w:name w:val="Body Text Indent"/>
    <w:basedOn w:val="1"/>
    <w:next w:val="1"/>
    <w:unhideWhenUsed/>
    <w:qFormat/>
    <w:uiPriority w:val="0"/>
    <w:pPr>
      <w:spacing w:line="560" w:lineRule="exact"/>
      <w:ind w:firstLine="640" w:firstLineChars="200"/>
    </w:pPr>
    <w:rPr>
      <w:rFonts w:eastAsia="仿宋_GB2312"/>
      <w:sz w:val="32"/>
    </w:rPr>
  </w:style>
  <w:style w:type="paragraph" w:styleId="4">
    <w:name w:val="Plain Text"/>
    <w:basedOn w:val="1"/>
    <w:qFormat/>
    <w:uiPriority w:val="99"/>
    <w:rPr>
      <w:rFonts w:ascii="宋体" w:hAnsi="宋体" w:eastAsia="宋体"/>
      <w:color w:val="000000"/>
      <w:kern w:val="0"/>
      <w:sz w:val="20"/>
      <w:szCs w:val="21"/>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Body Text First Indent 2"/>
    <w:basedOn w:val="3"/>
    <w:next w:val="1"/>
    <w:unhideWhenUsed/>
    <w:qFormat/>
    <w:uiPriority w:val="0"/>
    <w:pPr>
      <w:tabs>
        <w:tab w:val="left" w:pos="0"/>
        <w:tab w:val="left" w:pos="284"/>
        <w:tab w:val="left" w:pos="720"/>
      </w:tabs>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qFormat/>
    <w:uiPriority w:val="0"/>
    <w:pPr>
      <w:widowControl w:val="0"/>
      <w:autoSpaceDE w:val="0"/>
      <w:autoSpaceDN w:val="0"/>
      <w:adjustRightInd w:val="0"/>
    </w:pPr>
    <w:rPr>
      <w:rFonts w:ascii="..ì." w:hAnsi="..ì." w:eastAsia="..ì." w:cs="..ì."/>
      <w:color w:val="000000"/>
      <w:sz w:val="24"/>
      <w:szCs w:val="24"/>
      <w:lang w:val="en-US" w:eastAsia="zh-CN" w:bidi="ar-SA"/>
    </w:rPr>
  </w:style>
  <w:style w:type="paragraph" w:customStyle="1" w:styleId="15">
    <w:name w:val="样式 样式 四号 行距: 固定值 25 磅 + 首行缩进:  2 字符"/>
    <w:basedOn w:val="1"/>
    <w:qFormat/>
    <w:uiPriority w:val="99"/>
    <w:pPr>
      <w:spacing w:line="500" w:lineRule="atLeast"/>
      <w:ind w:firstLine="560" w:firstLineChars="200"/>
    </w:pPr>
    <w:rPr>
      <w:rFonts w:ascii="Times New Roman" w:eastAsia="宋体"/>
      <w:sz w:val="28"/>
      <w:szCs w:val="28"/>
    </w:rPr>
  </w:style>
  <w:style w:type="paragraph" w:customStyle="1" w:styleId="16">
    <w:name w:val="C-正文"/>
    <w:basedOn w:val="1"/>
    <w:qFormat/>
    <w:uiPriority w:val="0"/>
    <w:pPr>
      <w:spacing w:line="600" w:lineRule="exact"/>
      <w:ind w:firstLine="200" w:firstLineChars="200"/>
    </w:pPr>
    <w:rPr>
      <w:rFonts w:ascii="仿宋_GB2312" w:eastAsia="仿宋_GB2312"/>
      <w:kern w:val="0"/>
      <w:sz w:val="32"/>
      <w:szCs w:val="32"/>
    </w:rPr>
  </w:style>
  <w:style w:type="paragraph" w:customStyle="1" w:styleId="17">
    <w:name w:val="无间隔1"/>
    <w:qFormat/>
    <w:uiPriority w:val="99"/>
    <w:pPr>
      <w:spacing w:after="160" w:line="360" w:lineRule="auto"/>
    </w:pPr>
    <w:rPr>
      <w:rFonts w:ascii="Calibri" w:hAnsi="Calibri" w:eastAsia="宋体" w:cs="Times New Roman"/>
      <w:sz w:val="18"/>
      <w:szCs w:val="22"/>
      <w:lang w:val="en-US" w:eastAsia="zh-CN" w:bidi="ar-SA"/>
    </w:rPr>
  </w:style>
  <w:style w:type="character" w:customStyle="1" w:styleId="18">
    <w:name w:val="font31"/>
    <w:basedOn w:val="13"/>
    <w:qFormat/>
    <w:uiPriority w:val="0"/>
    <w:rPr>
      <w:rFonts w:hint="default" w:ascii="仿宋_GB2312" w:eastAsia="仿宋_GB2312" w:cs="仿宋_GB2312"/>
      <w:color w:val="000000"/>
      <w:sz w:val="24"/>
      <w:szCs w:val="24"/>
      <w:u w:val="none"/>
    </w:rPr>
  </w:style>
  <w:style w:type="character" w:customStyle="1" w:styleId="19">
    <w:name w:val="font41"/>
    <w:basedOn w:val="13"/>
    <w:qFormat/>
    <w:uiPriority w:val="0"/>
    <w:rPr>
      <w:rFonts w:hint="default" w:ascii="仿宋_GB2312" w:eastAsia="仿宋_GB2312" w:cs="仿宋_GB2312"/>
      <w:color w:val="000000"/>
      <w:sz w:val="24"/>
      <w:szCs w:val="24"/>
      <w:u w:val="none"/>
    </w:rPr>
  </w:style>
  <w:style w:type="character" w:customStyle="1" w:styleId="20">
    <w:name w:val="font51"/>
    <w:basedOn w:val="13"/>
    <w:qFormat/>
    <w:uiPriority w:val="0"/>
    <w:rPr>
      <w:rFonts w:hint="default" w:ascii="Times New Roman" w:hAnsi="Times New Roman" w:cs="Times New Roman"/>
      <w:color w:val="000000"/>
      <w:sz w:val="24"/>
      <w:szCs w:val="24"/>
      <w:u w:val="none"/>
    </w:rPr>
  </w:style>
  <w:style w:type="character" w:customStyle="1" w:styleId="21">
    <w:name w:val="font61"/>
    <w:basedOn w:val="13"/>
    <w:qFormat/>
    <w:uiPriority w:val="0"/>
    <w:rPr>
      <w:rFonts w:hint="default" w:ascii="Times New Roman" w:hAnsi="Times New Roman" w:cs="Times New Roman"/>
      <w:color w:val="000000"/>
      <w:sz w:val="24"/>
      <w:szCs w:val="24"/>
      <w:u w:val="none"/>
    </w:rPr>
  </w:style>
  <w:style w:type="character" w:customStyle="1" w:styleId="22">
    <w:name w:val="font91"/>
    <w:basedOn w:val="1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12130</Words>
  <Characters>12476</Characters>
  <Lines>0</Lines>
  <Paragraphs>0</Paragraphs>
  <TotalTime>16</TotalTime>
  <ScaleCrop>false</ScaleCrop>
  <LinksUpToDate>false</LinksUpToDate>
  <CharactersWithSpaces>12659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简，洁</cp:lastModifiedBy>
  <dcterms:modified xsi:type="dcterms:W3CDTF">2026-07-16T02:04:59Z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eyJoZGlkIjoiNmRiODYzYzJkOThiOWViMmMyZTg0NzE4YzgwYmZkN2YiLCJ1c2VySWQiOiI3ODc3ODkwNzgifQ==</vt:lpwstr>
  </property>
  <property fmtid="{D5CDD505-2E9C-101B-9397-08002B2CF9AE}" pid="4" name="ICV">
    <vt:lpwstr>D81628E266CC45CABED9F384078AB705_13</vt:lpwstr>
  </property>
</Properties>
</file>