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736"/>
        <w:gridCol w:w="1496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北京市朝阳区黑庄户乡政府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杨冬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85381695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889.2958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889.2958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801.2880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889.2958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保障本年度在总金额范围内发放社工工资、职工保险、住房公积金的缴纳等工作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能够</w:t>
            </w:r>
            <w:r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  <w:t>保障本年度在总金额范围内发放社工工资、职工保险、住房公积金的缴纳等工作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12月工资及年终绩效需次年1月发放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发放人数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64人社区工作者工资发放到位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12月工资及年终绩效需次年1月发放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发放时间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时间上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及时，数额上准确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12月工资及年终绩效需次年1月发放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发放时间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12月底前全额发放工资保险公积金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12月工资及年终绩效需次年1月发放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总预算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889.2958万元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12月工资及年终绩效需次年1月发放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带动就业率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保证社区工作者的待遇稳步提升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社区工作者满意度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12月工资及年终绩效需次年1月发放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王雪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85381695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2021.02.01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9ED1794-37A1-4A64-9670-D0B44B188EC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B39BB7E-3193-4C22-8892-F63A65D81EC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46E319B-37CF-4206-BECB-0C0B8D4B485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3FB0D8A"/>
    <w:rsid w:val="27476F64"/>
    <w:rsid w:val="28A82627"/>
    <w:rsid w:val="32DE5719"/>
    <w:rsid w:val="33AE7687"/>
    <w:rsid w:val="357B59EF"/>
    <w:rsid w:val="382B6775"/>
    <w:rsid w:val="3BC06A36"/>
    <w:rsid w:val="3CE509A9"/>
    <w:rsid w:val="3F1F6AC5"/>
    <w:rsid w:val="3FFD7DBB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王爽</cp:lastModifiedBy>
  <cp:lastPrinted>2022-01-05T07:56:00Z</cp:lastPrinted>
  <dcterms:modified xsi:type="dcterms:W3CDTF">2022-02-10T08:55:58Z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471A07541E6343C1B8F167AA1D5F6650</vt:lpwstr>
  </property>
</Properties>
</file>