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widowControl/>
        <w:spacing w:beforeAutospacing="0" w:afterAutospacing="0" w:line="560" w:lineRule="exact"/>
        <w:jc w:val="center"/>
        <w:rPr>
          <w:rFonts w:ascii="Times New Roman" w:eastAsia="微软雅黑" w:cs="Times New Roman" w:hAnsi="Times New Roman"/>
          <w:b w:val="0"/>
          <w:bCs/>
          <w:color w:val="000000"/>
          <w:sz w:val="44"/>
          <w:szCs w:val="44"/>
          <w:highlight w:val="auto"/>
        </w:rPr>
      </w:pPr>
      <w:bookmarkStart w:id="0" w:name="_GoBack"/>
      <w:bookmarkEnd w:id="0"/>
      <w:r>
        <w:rPr>
          <w:rFonts w:ascii="Times New Roman" w:eastAsia="方正小标宋简体" w:cs="Times New Roman" w:hAnsi="Times New Roman" w:hint="eastAsia"/>
          <w:b w:val="0"/>
          <w:bCs/>
          <w:color w:val="000000"/>
          <w:sz w:val="44"/>
          <w:szCs w:val="44"/>
          <w:lang w:val="en-US" w:eastAsia="zh-CN"/>
          <w:highlight w:val="auto"/>
        </w:rPr>
        <w:t>2026年</w:t>
      </w:r>
      <w:r>
        <w:rPr>
          <w:rFonts w:ascii="Times New Roman" w:eastAsia="方正小标宋简体" w:cs="Times New Roman" w:hAnsi="Times New Roman"/>
          <w:b w:val="0"/>
          <w:bCs/>
          <w:color w:val="000000"/>
          <w:sz w:val="44"/>
          <w:szCs w:val="44"/>
          <w:highlight w:val="auto"/>
        </w:rPr>
        <w:t>金融产业发展引导资金申报指南</w:t>
      </w:r>
    </w:p>
    <w:p>
      <w:pPr>
        <w:spacing w:line="560" w:lineRule="exact"/>
        <w:rPr>
          <w:rFonts w:ascii="Times New Roman" w:cs="Times New Roman" w:hAnsi="Times New Roman"/>
          <w:highlight w:val="auto"/>
        </w:rPr>
      </w:pPr>
    </w:p>
    <w:p>
      <w:pPr>
        <w:pStyle w:val="21"/>
        <w:widowControl/>
        <w:spacing w:beforeAutospacing="0" w:afterAutospacing="0" w:line="560" w:lineRule="exact"/>
        <w:ind w:firstLine="645"/>
        <w:jc w:val="both"/>
        <w:textAlignment w:val="baseline"/>
        <w:rPr>
          <w:rFonts w:ascii="Times New Roman" w:eastAsia="微软雅黑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highlight w:val="auto"/>
        </w:rPr>
        <w:t>一、申报主体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（一）同时满足以下条件的金融机构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1.在朝阳区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  <w:highlight w:val="auto"/>
        </w:rPr>
        <w:t>规范经营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；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微软雅黑" w:cs="Times New Roman" w:hAnsi="Times New Roman"/>
          <w:color w:val="000000"/>
          <w:sz w:val="32"/>
          <w:szCs w:val="32"/>
          <w:highlight w:val="auto"/>
        </w:rPr>
        <w:t>2.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  <w:t>经国家金融监管部门批复设立或备案成立；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微软雅黑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微软雅黑" w:cs="Times New Roman" w:hAnsi="Times New Roman"/>
          <w:color w:val="000000"/>
          <w:sz w:val="32"/>
          <w:szCs w:val="32"/>
          <w:lang w:val="en-US" w:eastAsia="zh-CN"/>
          <w:highlight w:val="auto"/>
        </w:rPr>
        <w:t>3</w:t>
      </w:r>
      <w:r>
        <w:rPr>
          <w:rFonts w:ascii="Times New Roman" w:eastAsia="微软雅黑" w:cs="Times New Roman" w:hAnsi="Times New Roman"/>
          <w:color w:val="000000"/>
          <w:sz w:val="32"/>
          <w:szCs w:val="32"/>
          <w:highlight w:val="auto"/>
        </w:rPr>
        <w:t>.</w:t>
      </w:r>
      <w:r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  <w:t>《朝阳区支持金融业发展的若干措施》对应政策条款中提出的其他要求。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微软雅黑" w:cs="Times New Roman" w:hAnsi="Times New Roman"/>
          <w:sz w:val="32"/>
          <w:szCs w:val="32"/>
          <w:highlight w:val="auto"/>
        </w:rPr>
      </w:pPr>
      <w:r>
        <w:rPr>
          <w:rFonts w:ascii="Times New Roman" w:eastAsia="楷体_GB2312" w:cs="Times New Roman" w:hAnsi="Times New Roman"/>
          <w:sz w:val="32"/>
          <w:szCs w:val="32"/>
          <w:highlight w:val="auto"/>
        </w:rPr>
        <w:t>（二）同时满足以下条件的</w:t>
      </w:r>
      <w:r>
        <w:rPr>
          <w:rFonts w:ascii="Times New Roman" w:eastAsia="楷体_GB2312" w:cs="Times New Roman" w:hAnsi="Times New Roman" w:hint="eastAsia"/>
          <w:sz w:val="32"/>
          <w:szCs w:val="32"/>
          <w:lang w:eastAsia="zh-CN"/>
          <w:highlight w:val="auto"/>
        </w:rPr>
        <w:t>机构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仿宋_GB2312" w:cs="Times New Roman" w:hAnsi="Times New Roman"/>
          <w:sz w:val="32"/>
          <w:szCs w:val="32"/>
          <w:highlight w:val="auto"/>
        </w:rPr>
      </w:pP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1.在朝阳区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  <w:highlight w:val="auto"/>
        </w:rPr>
        <w:t>规范经营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的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  <w:highlight w:val="auto"/>
        </w:rPr>
        <w:t>投资机构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、基金机构；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rPr>
          <w:rFonts w:ascii="Times New Roman" w:eastAsia="仿宋_GB2312" w:cs="Times New Roman" w:hAnsi="Times New Roman"/>
          <w:sz w:val="32"/>
          <w:szCs w:val="32"/>
          <w:highlight w:val="auto"/>
        </w:rPr>
      </w:pPr>
      <w:r>
        <w:rPr>
          <w:rFonts w:ascii="Times New Roman" w:eastAsia="微软雅黑" w:cs="Times New Roman" w:hAnsi="Times New Roman"/>
          <w:sz w:val="32"/>
          <w:szCs w:val="32"/>
          <w:highlight w:val="auto"/>
        </w:rPr>
        <w:t>2.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《朝阳区支持金融业发展的若干措施》对应政策条款中提出的其他要求；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textAlignment w:val="baseline"/>
        <w:rPr>
          <w:rFonts w:ascii="Times New Roman" w:eastAsia="仿宋_GB2312" w:cs="Times New Roman" w:hAnsi="Times New Roman"/>
          <w:sz w:val="32"/>
          <w:szCs w:val="32"/>
          <w:highlight w:val="auto"/>
        </w:rPr>
      </w:pPr>
      <w:r>
        <w:rPr>
          <w:rFonts w:ascii="Times New Roman" w:eastAsia="微软雅黑" w:cs="Times New Roman" w:hAnsi="Times New Roman"/>
          <w:sz w:val="32"/>
          <w:szCs w:val="32"/>
          <w:highlight w:val="auto"/>
        </w:rPr>
        <w:t>3.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企业主营业务符合朝阳区重点产业发展方向。</w:t>
      </w:r>
    </w:p>
    <w:p>
      <w:pPr>
        <w:pStyle w:val="21"/>
        <w:widowControl/>
        <w:spacing w:beforeAutospacing="0" w:afterAutospacing="0" w:line="560" w:lineRule="exact"/>
        <w:ind w:firstLine="645"/>
        <w:jc w:val="both"/>
        <w:textAlignment w:val="baseline"/>
        <w:rPr>
          <w:rFonts w:ascii="Times New Roman" w:eastAsia="微软雅黑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highlight w:val="auto"/>
        </w:rPr>
        <w:t>二、支持方向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right="0" w:firstLineChars="200" w:firstLine="640"/>
        <w:textAlignment w:val="baseline"/>
        <w:outlineLvl w:val="9"/>
        <w:rPr>
          <w:rFonts w:ascii="Times New Roman" w:eastAsia="仿宋_GB2312" w:cs="Times New Roman" w:hAnsi="Times New Roman"/>
          <w:bCs/>
          <w:sz w:val="32"/>
          <w:szCs w:val="32"/>
        </w:rPr>
      </w:pPr>
      <w:bookmarkStart w:id="1" w:name="_Toc29672_WPSOffice_Level1"/>
      <w:r>
        <w:rPr>
          <w:rFonts w:ascii="Times New Roman" w:eastAsia="仿宋_GB2312" w:cs="Times New Roman" w:hAnsi="Times New Roman"/>
          <w:b/>
          <w:sz w:val="32"/>
          <w:szCs w:val="32"/>
        </w:rPr>
        <w:t xml:space="preserve">第一条 </w:t>
      </w:r>
      <w:bookmarkEnd w:id="1"/>
      <w:r>
        <w:rPr>
          <w:rFonts w:ascii="Times New Roman" w:eastAsia="仿宋_GB2312" w:cs="Times New Roman" w:hAnsi="Times New Roman"/>
          <w:bCs/>
          <w:sz w:val="32"/>
          <w:szCs w:val="32"/>
        </w:rPr>
        <w:t>树立朝阳区金融产业高质量发展的鲜明导向。全面建设首都金融产业高质量发展示范区，着力打造国际一流的金融发展营商环境，重点吸引和支持银行类证券类保险类持牌金融机构、金融控股集团、国际金融组织、金融基础设施、重点要素市场、优质私募基金等各类机构和组织，持续构建国际化、功能化、融合化、多元化的金融产业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right="0" w:firstLineChars="200" w:firstLine="640"/>
        <w:textAlignment w:val="baseline"/>
        <w:outlineLvl w:val="9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b/>
          <w:sz w:val="32"/>
          <w:szCs w:val="32"/>
        </w:rPr>
        <w:t xml:space="preserve">第二条 </w:t>
      </w:r>
      <w:r>
        <w:rPr>
          <w:rFonts w:ascii="Times New Roman" w:eastAsia="仿宋_GB2312" w:cs="Times New Roman" w:hAnsi="Times New Roman"/>
          <w:bCs/>
          <w:kern w:val="0"/>
          <w:sz w:val="32"/>
          <w:szCs w:val="32"/>
        </w:rPr>
        <w:t>鼓励金融机构</w:t>
      </w:r>
      <w:r>
        <w:rPr>
          <w:rFonts w:ascii="Times New Roman" w:eastAsia="仿宋_GB2312" w:cs="Times New Roman" w:hAnsi="Times New Roman" w:hint="eastAsia"/>
          <w:bCs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bCs/>
          <w:kern w:val="0"/>
          <w:sz w:val="32"/>
          <w:szCs w:val="32"/>
        </w:rPr>
        <w:t>，给予一次性</w:t>
      </w:r>
      <w:r>
        <w:rPr>
          <w:rFonts w:ascii="Times New Roman" w:eastAsia="仿宋_GB2312" w:cs="Times New Roman" w:hAnsi="Times New Roman" w:hint="eastAsia"/>
          <w:bCs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bCs/>
          <w:kern w:val="0"/>
          <w:sz w:val="32"/>
          <w:szCs w:val="32"/>
        </w:rPr>
        <w:t>奖励。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对在朝阳区新设的法人金融机构，根据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实收资本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最高给予2500万元。具体为：实收资本在1亿元以上、5亿元（不含）以下的，给予250万元一次性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奖励；实收资本在5亿元以上、10亿元（不含）以下的，给予500万元一次性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奖励；实收资本在10亿元以上、30亿元（不含）以下的，给予1000万元一次性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奖励；实收资本在30亿元以上的，给予2500万元一次性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奖励。对于具有标志性意义的中外合资以及外商独资金融机构，实收资本不足1亿元的，可按照1亿元标准执行。对在朝阳区新设的金融机构一级分支机构及银行二级分行，给予200万元一次性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新设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right="0" w:firstLineChars="200" w:firstLine="640"/>
        <w:textAlignment w:val="baseline"/>
        <w:outlineLvl w:val="9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b/>
          <w:sz w:val="32"/>
          <w:szCs w:val="32"/>
        </w:rPr>
        <w:t xml:space="preserve">第三条 </w:t>
      </w:r>
      <w:r>
        <w:rPr>
          <w:rFonts w:ascii="Times New Roman" w:eastAsia="仿宋_GB2312" w:cs="Times New Roman" w:hAnsi="Times New Roman"/>
          <w:sz w:val="32"/>
          <w:szCs w:val="32"/>
        </w:rPr>
        <w:t>鼓励金融机构发展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，对金融机构给予增资奖励。对区内金融机构实收资本一次性增资10亿元以上、100亿元（不含）以下的，给予一次性奖励500万元；实收资本增资100亿元以上的，给予一次性奖励1000万元。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right="0" w:firstLineChars="200" w:firstLine="640"/>
        <w:textAlignment w:val="baseline"/>
        <w:outlineLvl w:val="9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b/>
          <w:sz w:val="32"/>
          <w:szCs w:val="32"/>
        </w:rPr>
        <w:t xml:space="preserve">第四条 </w:t>
      </w:r>
      <w:r>
        <w:rPr>
          <w:rFonts w:ascii="Times New Roman" w:eastAsia="仿宋_GB2312" w:cs="Times New Roman" w:hAnsi="Times New Roman"/>
          <w:sz w:val="32"/>
          <w:szCs w:val="32"/>
        </w:rPr>
        <w:t>鼓励金融机构在朝阳区持续稳定发展，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对在朝阳区规范经营的金融机构持续稳定发展1年以上的，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根据其发展规模、人才发展情况和社会贡献情况等进行综合打分，并根据得分情况给予稳定发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展奖励，每家机构可申请6次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每次补贴金额上限不超过500万元；扩大生产经营规模的，可参照上述标准执行。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right="0" w:firstLineChars="200" w:firstLine="640"/>
        <w:textAlignment w:val="baseline"/>
        <w:outlineLvl w:val="9"/>
        <w:rPr>
          <w:highlight w:val="auto"/>
        </w:rPr>
      </w:pPr>
      <w:r>
        <w:rPr>
          <w:rFonts w:ascii="Times New Roman" w:eastAsia="仿宋_GB2312" w:cs="Times New Roman" w:hAnsi="Times New Roman"/>
          <w:b/>
          <w:bCs w:val="0"/>
          <w:sz w:val="32"/>
          <w:szCs w:val="32"/>
        </w:rPr>
        <w:t xml:space="preserve">第五条 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鼓励金融机构扩大业务规模，对金融机构（含证券投资基金）给予业务提升奖励。</w:t>
      </w:r>
      <w:r>
        <w:rPr>
          <w:rFonts w:ascii="Times New Roman" w:eastAsia="仿宋_GB2312" w:cs="Times New Roman" w:hAnsi="Times New Roman"/>
          <w:bCs/>
          <w:sz w:val="32"/>
          <w:szCs w:val="32"/>
        </w:rPr>
        <w:t>对于有力支撑区域经济高质量发展的金融机构，根据业务扩大规模给予奖励，最高不超过</w:t>
      </w:r>
      <w:r>
        <w:rPr>
          <w:rFonts w:ascii="Times New Roman" w:eastAsia="仿宋_GB2312" w:cs="Times New Roman" w:hAnsi="Times New Roman" w:hint="eastAsia"/>
          <w:bCs/>
          <w:sz w:val="32"/>
          <w:szCs w:val="32"/>
          <w:lang w:val="en-US" w:eastAsia="zh-CN"/>
        </w:rPr>
        <w:t>6</w:t>
      </w:r>
      <w:r>
        <w:rPr>
          <w:rFonts w:ascii="Times New Roman" w:eastAsia="仿宋_GB2312" w:cs="Times New Roman" w:hAnsi="Times New Roman"/>
          <w:bCs/>
          <w:sz w:val="32"/>
          <w:szCs w:val="32"/>
        </w:rPr>
        <w:t>00万元。</w:t>
      </w:r>
    </w:p>
    <w:p>
      <w:pPr>
        <w:pStyle w:val="21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仿宋_GB2312" w:cs="Times New Roman" w:hAnsi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/>
          <w:bCs/>
          <w:sz w:val="32"/>
          <w:szCs w:val="32"/>
          <w:lang w:eastAsia="zh-CN"/>
        </w:rPr>
        <w:t>第</w:t>
      </w:r>
      <w:r>
        <w:rPr>
          <w:rFonts w:ascii="Times New Roman" w:eastAsia="仿宋_GB2312" w:cs="Times New Roman" w:hAnsi="Times New Roman"/>
          <w:b/>
          <w:sz w:val="32"/>
          <w:szCs w:val="32"/>
        </w:rPr>
        <w:t>六</w:t>
      </w:r>
      <w:r>
        <w:rPr>
          <w:rFonts w:ascii="Times New Roman" w:eastAsia="仿宋_GB2312" w:cs="Times New Roman" w:hAnsi="Times New Roman"/>
          <w:b/>
          <w:bCs/>
          <w:sz w:val="32"/>
          <w:szCs w:val="32"/>
          <w:lang w:eastAsia="zh-CN"/>
        </w:rPr>
        <w:t>条</w:t>
      </w:r>
      <w:r>
        <w:rPr>
          <w:rFonts w:ascii="Times New Roman" w:eastAsia="仿宋_GB2312" w:cs="Times New Roman" w:hAnsi="Times New Roman"/>
          <w:lang w:val="en-US" w:eastAsia="zh-CN"/>
        </w:rPr>
        <w:t xml:space="preserve"> 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加大项目投资引导力度，对投资机构给予支持。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Chars="200" w:firstLine="640"/>
        <w:jc w:val="left"/>
        <w:textAlignment w:val="auto"/>
        <w:outlineLvl w:val="9"/>
        <w:rPr>
          <w:rFonts w:ascii="Times New Roman" w:eastAsia="仿宋_GB2312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Times New Roman" w:hAnsi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项目投资奖励。</w:t>
      </w:r>
      <w:r>
        <w:rPr>
          <w:rFonts w:ascii="Times New Roman" w:eastAsia="仿宋_GB2312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引导天使投资、创业投资和股权投资参与构建</w:t>
      </w:r>
      <w:r>
        <w:rPr>
          <w:rFonts w:ascii="Times New Roman" w:eastAsia="仿宋_GB2312" w:cs="Times New Roman" w:hAnsi="Times New Roman" w:hint="eastAsia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ascii="Times New Roman" w:eastAsia="仿宋_GB2312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高精尖</w:t>
      </w:r>
      <w:r>
        <w:rPr>
          <w:rFonts w:ascii="Times New Roman" w:eastAsia="仿宋_GB2312" w:cs="Times New Roman" w:hAnsi="Times New Roman" w:hint="eastAsia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ascii="Times New Roman" w:eastAsia="仿宋_GB2312" w:cs="Times New Roman" w:hAnsi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经济结构。对基金管理人和所管理基金在朝阳区新设备案的天使投资、创业投资、股权投资机构，在支持朝阳区科技、金融、文化创意等服务业以及集成电路、新能源等高技术产业和新兴产业过程中，根据其实际投资规模对基金管理人给予奖励，实际投资累计规模在30亿元以上、50亿元（不含）以下的，给予一次性资金支持500万元；50 亿元以上的，给予一次性资金支持750万元。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Chars="200" w:firstLine="640"/>
        <w:jc w:val="both"/>
        <w:textAlignment w:val="baseline"/>
        <w:outlineLvl w:val="9"/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Times New Roman" w:eastAsia="仿宋_GB2312" w:cs="Times New Roman" w:hAnsi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-SA"/>
          <w:highlight w:val="auto"/>
        </w:rPr>
        <w:t>项目退出奖励。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对于在朝阳区设立的私募基金管理人和所管理股权投资基金（含QFLP试点基金）实现项目退出时，根据机构募集资金规模、</w:t>
      </w: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vertAlign w:val="baseline"/>
          <w:lang w:val="en-US" w:eastAsia="zh-CN" w:bidi="ar-SA"/>
        </w:rPr>
        <w:t>投资方向、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投资朝阳</w:t>
      </w: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vertAlign w:val="baseline"/>
          <w:lang w:val="en-US" w:eastAsia="zh-CN" w:bidi="ar-SA"/>
        </w:rPr>
        <w:t>区企业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规模等</w:t>
      </w: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vertAlign w:val="baseline"/>
          <w:lang w:val="en-US" w:eastAsia="zh-CN" w:bidi="ar-SA"/>
        </w:rPr>
        <w:t>进行综合打分，根据得分情况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分别给予100万元、500万元、1000万元、1500万元、2000万元奖励</w:t>
      </w:r>
      <w:r>
        <w:rPr>
          <w:rFonts w:ascii="Times New Roman" w:eastAsia="仿宋_GB2312" w:cs="Times New Roman" w:hAnsi="Times New Roman"/>
          <w:b w:val="0"/>
          <w:bCs w:val="0"/>
          <w:kern w:val="0"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以公司制形式设立的股权投资类企业，给予企业奖励；以合伙制形式设立的股权投资类企业，给予合伙企业的管理企业奖励</w:t>
      </w:r>
      <w:r>
        <w:rPr>
          <w:rFonts w:ascii="Times New Roman" w:eastAsia="仿宋_GB2312" w:cs="Times New Roman" w:hAnsi="Times New Roman" w:hint="eastAsia"/>
          <w:color w:val="auto"/>
          <w:kern w:val="0"/>
          <w:sz w:val="32"/>
          <w:szCs w:val="32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 w:val="0"/>
        <w:spacing w:line="600" w:lineRule="exact"/>
        <w:ind w:left="0" w:right="0" w:firstLine="646"/>
        <w:outlineLvl w:val="9"/>
        <w:rPr>
          <w:lang w:val="en-US" w:eastAsia="zh-CN"/>
        </w:rPr>
      </w:pPr>
      <w:r>
        <w:rPr>
          <w:rFonts w:ascii="Times New Roman" w:eastAsia="仿宋_GB2312" w:cs="Times New Roman" w:hAnsi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-SA"/>
        </w:rPr>
        <w:t>推进国际化资本对接。</w:t>
      </w:r>
      <w:r>
        <w:rPr>
          <w:rFonts w:ascii="Times New Roman" w:eastAsia="仿宋_GB2312" w:cs="Times New Roman" w:hAnsi="Times New Roman"/>
          <w:b w:val="0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对获批北京市合格境外有限合伙人（QFLP）境内投资试点资格或北京市合格境内有限合伙人（QDLP）境外投资试点资格的私募投资基金管理企业，且其管理的试点基金依法完成中国证券投资基金业协会备案的，一次性奖励100万元。同时，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鼓励上述试点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</w:rPr>
        <w:t>基金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  <w:lang w:eastAsia="zh-CN"/>
        </w:rPr>
        <w:t>在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我区展业发展，</w:t>
      </w:r>
      <w:r>
        <w:rPr>
          <w:rFonts w:ascii="Times New Roman" w:eastAsia="仿宋_GB2312" w:cs="Times New Roman" w:hAnsi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根据其支持朝阳区重点产业发展的实际投资规模，</w:t>
      </w:r>
      <w:r>
        <w:rPr>
          <w:rFonts w:ascii="Times New Roman" w:eastAsia="仿宋_GB2312" w:cs="Times New Roman" w:hAnsi="Times New Roman"/>
          <w:b w:val="0"/>
          <w:bCs/>
          <w:color w:val="auto"/>
          <w:kern w:val="2"/>
          <w:sz w:val="32"/>
          <w:szCs w:val="32"/>
          <w:lang w:val="en-US" w:eastAsia="zh-CN" w:bidi="ar-SA"/>
          <w:highlight w:val="auto"/>
        </w:rPr>
        <w:t>对基金管理人给予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  <w:vertAlign w:val="baseline"/>
          <w:lang w:val="en-US" w:eastAsia="zh-CN" w:bidi="ar-SA"/>
          <w:highlight w:val="auto"/>
        </w:rPr>
        <w:t>相应项目投资奖励，</w:t>
      </w:r>
      <w:r>
        <w:rPr>
          <w:rFonts w:ascii="Times New Roman" w:eastAsia="仿宋_GB2312" w:cs="Times New Roman" w:hAnsi="Times New Roman"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  <w:highlight w:val="auto"/>
        </w:rPr>
        <w:t>对投资朝阳区重点产业年新增实际投资金额达5亿元的，给予200万元资金支持</w:t>
      </w:r>
      <w:r>
        <w:rPr>
          <w:rFonts w:ascii="Times New Roman" w:eastAsia="仿宋_GB2312" w:cs="Times New Roman" w:hAnsi="Times New Roman"/>
          <w:b w:val="0"/>
          <w:bCs/>
          <w:color w:val="auto"/>
          <w:kern w:val="2"/>
          <w:sz w:val="32"/>
          <w:szCs w:val="32"/>
          <w:u w:val="none"/>
          <w:lang w:val="en-US" w:eastAsia="zh-CN" w:bidi="ar-SA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600" w:lineRule="exact"/>
        <w:ind w:left="0" w:right="0" w:firstLineChars="200" w:firstLine="640"/>
        <w:jc w:val="both"/>
        <w:textAlignment w:val="baseline"/>
        <w:outlineLvl w:val="9"/>
        <w:rPr>
          <w:rFonts w:ascii="Times New Roman" w:eastAsia="仿宋_GB2312" w:cs="Times New Roman" w:hAnsi="Times New Roman"/>
        </w:rPr>
      </w:pPr>
      <w:r>
        <w:rPr>
          <w:rFonts w:ascii="Times New Roman" w:eastAsia="仿宋_GB2312" w:cs="Times New Roman" w:hAnsi="Times New Roman"/>
          <w:b/>
          <w:sz w:val="32"/>
          <w:szCs w:val="32"/>
        </w:rPr>
        <w:t>第</w:t>
      </w:r>
      <w:r>
        <w:rPr>
          <w:rFonts w:ascii="Times New Roman" w:eastAsia="仿宋_GB2312" w:cs="Times New Roman" w:hAnsi="Times New Roman"/>
          <w:b/>
          <w:bCs/>
          <w:sz w:val="32"/>
          <w:szCs w:val="32"/>
          <w:lang w:eastAsia="zh-CN"/>
        </w:rPr>
        <w:t>七</w:t>
      </w:r>
      <w:r>
        <w:rPr>
          <w:rFonts w:ascii="Times New Roman" w:eastAsia="仿宋_GB2312" w:cs="Times New Roman" w:hAnsi="Times New Roman"/>
          <w:b/>
          <w:sz w:val="32"/>
          <w:szCs w:val="32"/>
        </w:rPr>
        <w:t xml:space="preserve">条 </w:t>
      </w:r>
      <w:r>
        <w:rPr>
          <w:rFonts w:ascii="Times New Roman" w:eastAsia="仿宋_GB2312" w:cs="Times New Roman" w:hAnsi="Times New Roman"/>
          <w:b w:val="0"/>
          <w:bCs/>
          <w:sz w:val="32"/>
          <w:szCs w:val="32"/>
        </w:rPr>
        <w:t>强化资源统筹，支持金融机构参与区域重大项目建设。</w:t>
      </w:r>
      <w:r>
        <w:rPr>
          <w:rFonts w:ascii="Times New Roman" w:eastAsia="仿宋_GB2312" w:cs="Times New Roman" w:hAnsi="Times New Roman"/>
          <w:sz w:val="32"/>
          <w:szCs w:val="32"/>
        </w:rPr>
        <w:t>支持银行、证券、保险等各类金融机构拓展业务合作领域，推动金融资本与试点园区精准匹配、金融机构与区内重大投资项目精准对接。对于区域经济高质量发展提供有力支撑的金融机构，提供生活便利及优质服务保障，在公租房、医疗资源等方面予以支持。</w:t>
      </w:r>
    </w:p>
    <w:p>
      <w:pPr>
        <w:pStyle w:val="21"/>
        <w:widowControl/>
        <w:spacing w:beforeAutospacing="0" w:afterAutospacing="0" w:line="560" w:lineRule="exact"/>
        <w:ind w:firstLine="660"/>
        <w:jc w:val="both"/>
        <w:textAlignment w:val="baseline"/>
        <w:rPr>
          <w:rFonts w:ascii="Times New Roman" w:eastAsia="黑体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highlight w:val="auto"/>
        </w:rPr>
        <w:t>三、其他事项</w:t>
      </w:r>
    </w:p>
    <w:p>
      <w:pPr>
        <w:pStyle w:val="21"/>
        <w:widowControl/>
        <w:spacing w:beforeAutospacing="0" w:afterAutospacing="0" w:line="560" w:lineRule="exact"/>
        <w:ind w:firstLine="660"/>
        <w:jc w:val="both"/>
        <w:textAlignment w:val="baseline"/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eastAsia="zh-CN"/>
          <w:highlight w:val="auto"/>
        </w:rPr>
        <w:t>（</w:t>
      </w: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val="en-US" w:eastAsia="zh-CN"/>
          <w:highlight w:val="auto"/>
        </w:rPr>
        <w:t>一</w:t>
      </w: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eastAsia="zh-CN"/>
          <w:highlight w:val="auto"/>
        </w:rPr>
        <w:t>）</w:t>
      </w: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朝阳区发展和改革委员会负责受理</w:t>
      </w:r>
      <w:r>
        <w:rPr>
          <w:rFonts w:ascii="Times New Roman" w:eastAsia="楷体_GB2312" w:cs="Times New Roman" w:hAnsi="Times New Roman"/>
          <w:sz w:val="32"/>
          <w:szCs w:val="32"/>
          <w:highlight w:val="auto"/>
        </w:rPr>
        <w:t>申报单位</w:t>
      </w: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提</w:t>
      </w: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eastAsia="zh-CN"/>
          <w:highlight w:val="auto"/>
        </w:rPr>
        <w:t>交</w:t>
      </w: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的申请并进行初审，经区级相关会议审批后兑现。</w:t>
      </w:r>
    </w:p>
    <w:p>
      <w:pPr>
        <w:pStyle w:val="21"/>
        <w:widowControl/>
        <w:spacing w:beforeAutospacing="0" w:afterAutospacing="0" w:line="560" w:lineRule="exact"/>
        <w:ind w:firstLine="630"/>
        <w:jc w:val="both"/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（二）</w:t>
      </w: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eastAsia="zh-CN"/>
          <w:highlight w:val="auto"/>
        </w:rPr>
        <w:t>企业在申请相关奖励资金时，应如实准确提供申请材料，涉及提供虚假材料、套取政策补贴的，将依法追究企业和相关人员法律责任并追回奖励资金。本措施由</w:t>
      </w:r>
      <w:r>
        <w:rPr>
          <w:rFonts w:ascii="Times New Roman" w:eastAsia="楷体_GB2312" w:cs="Times New Roman" w:hAnsi="Times New Roman"/>
          <w:color w:val="000000"/>
          <w:sz w:val="32"/>
          <w:szCs w:val="32"/>
          <w:highlight w:val="auto"/>
        </w:rPr>
        <w:t>朝阳区发展和改革委员会</w:t>
      </w:r>
      <w:r>
        <w:rPr>
          <w:rFonts w:ascii="Times New Roman" w:eastAsia="楷体_GB2312" w:cs="Times New Roman" w:hAnsi="Times New Roman" w:hint="eastAsia"/>
          <w:color w:val="000000"/>
          <w:sz w:val="32"/>
          <w:szCs w:val="32"/>
          <w:lang w:eastAsia="zh-CN"/>
          <w:highlight w:val="auto"/>
        </w:rPr>
        <w:t>负责解释。</w:t>
      </w:r>
    </w:p>
    <w:p>
      <w:pPr>
        <w:spacing w:line="600" w:lineRule="exact"/>
        <w:ind w:firstLineChars="200" w:firstLine="640"/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</w:pPr>
    </w:p>
    <w:p>
      <w:pPr>
        <w:pStyle w:val="15"/>
      </w:pPr>
    </w:p>
    <w:p>
      <w:pPr>
        <w:spacing w:line="600" w:lineRule="exact"/>
        <w:ind w:firstLineChars="300" w:firstLine="960"/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</w:pPr>
      <w:r>
        <w:rPr>
          <w:rFonts w:ascii="Times New Roman" w:eastAsia="仿宋_GB2312" w:cs="Times New Roman" w:hAnsi="Times New Roman"/>
          <w:color w:val="000000"/>
          <w:sz w:val="32"/>
          <w:szCs w:val="32"/>
          <w:highlight w:val="auto"/>
        </w:rPr>
        <w:t>咨询电话：</w:t>
      </w:r>
    </w:p>
    <w:p>
      <w:pPr>
        <w:spacing w:line="600" w:lineRule="exact"/>
        <w:ind w:firstLineChars="600" w:firstLine="1920"/>
        <w:rPr>
          <w:rFonts w:ascii="Times New Roman" w:eastAsia="仿宋_GB2312" w:cs="Times New Roman" w:hAnsi="Times New Roman"/>
          <w:sz w:val="32"/>
          <w:szCs w:val="32"/>
          <w:lang w:val="en-US"/>
          <w:highlight w:val="auto"/>
        </w:rPr>
      </w:pP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  <w:highlight w:val="auto"/>
        </w:rPr>
        <w:t xml:space="preserve"> 010-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6597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  <w:highlight w:val="auto"/>
        </w:rPr>
        <w:t>8909</w:t>
      </w:r>
      <w:r>
        <w:rPr>
          <w:rFonts w:ascii="Times New Roman" w:eastAsia="仿宋_GB2312" w:cs="Times New Roman" w:hAnsi="Times New Roman"/>
          <w:sz w:val="32"/>
          <w:szCs w:val="32"/>
          <w:highlight w:val="auto"/>
        </w:rPr>
        <w:t>-8</w:t>
      </w:r>
      <w:r>
        <w:rPr>
          <w:rFonts w:ascii="Times New Roman" w:eastAsia="仿宋_GB2312" w:cs="Times New Roman" w:hAnsi="Times New Roman" w:hint="eastAsia"/>
          <w:sz w:val="32"/>
          <w:szCs w:val="32"/>
          <w:highlight w:val="auto"/>
        </w:rPr>
        <w:t>32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  <w:highlight w:val="auto"/>
        </w:rPr>
        <w:t>/851/870</w:t>
      </w:r>
    </w:p>
    <w:p>
      <w:pPr>
        <w:spacing w:line="600" w:lineRule="exact"/>
        <w:ind w:firstLineChars="200" w:firstLine="640"/>
        <w:rPr>
          <w:rFonts w:ascii="Times New Roman" w:eastAsia="仿宋_GB2312" w:cs="Times New Roman" w:hAnsi="Times New Roman"/>
          <w:sz w:val="32"/>
          <w:szCs w:val="32"/>
          <w:lang w:val="en-US" w:eastAsia="zh-CN"/>
          <w:highlight w:val="auto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小标宋简体">
    <w:altName w:val="汉仪中黑 197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0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50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5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.56301pt;height:10.98899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0"/>
    <w:pPr>
      <w:spacing w:before="190"/>
    </w:pPr>
    <w:rPr>
      <w:sz w:val="32"/>
      <w:szCs w:val="32"/>
    </w:rPr>
  </w:style>
  <w:style w:type="paragraph" w:styleId="16">
    <w:name w:val="endnote text"/>
    <w:qFormat/>
    <w:basedOn w:val="0"/>
    <w:pPr>
      <w:widowControl w:val="0"/>
      <w:snapToGrid w:val="0"/>
      <w:jc w:val="left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index 9"/>
    <w:qFormat/>
    <w:basedOn w:val="0"/>
    <w:next w:val="0"/>
    <w:pPr>
      <w:ind w:leftChars="1600" w:left="1600"/>
    </w:pPr>
  </w:style>
  <w:style w:type="paragraph" w:styleId="20">
    <w:name w:val="toc 2"/>
    <w:qFormat/>
    <w:basedOn w:val="0"/>
    <w:next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Chars="200" w:left="200" w:firstLine="0"/>
      <w:jc w:val="both"/>
    </w:pPr>
    <w:rPr>
      <w:rFonts w:ascii="Calibri" w:eastAsia="宋体" w:cs="Calibri" w:hAnsi="Calibri"/>
      <w:kern w:val="2"/>
      <w:sz w:val="21"/>
      <w:szCs w:val="24"/>
      <w:lang w:val="en-US" w:eastAsia="zh-CN"/>
    </w:rPr>
  </w:style>
  <w:style w:type="paragraph" w:styleId="21">
    <w:name w:val="Normal (Web)"/>
    <w:qFormat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22">
    <w:name w:val="Strong"/>
    <w:qFormat/>
    <w:basedOn w:val="10"/>
    <w:rPr>
      <w:b/>
    </w:rPr>
  </w:style>
  <w:style w:type="paragraph" w:customStyle="1" w:styleId="23">
    <w:name w:val="正文 New New New New New New New New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Yozo_Office27021597764231180</Application>
  <Pages>4</Pages>
  <Words>0</Words>
  <Characters>1461</Characters>
  <Lines>0</Lines>
  <Paragraphs>30</Paragraphs>
  <CharactersWithSpaces>1948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123</cp:lastModifiedBy>
  <cp:revision>3</cp:revision>
  <cp:lastPrinted>2022-04-18T01:45:00Z</cp:lastPrinted>
  <dcterms:created xsi:type="dcterms:W3CDTF">2014-10-29T12:08:00Z</dcterms:created>
  <dcterms:modified xsi:type="dcterms:W3CDTF">2026-04-09T01:51:58Z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2052-12.1.0.22215</vt:lpwstr>
  </property>
  <property fmtid="{D5CDD505-2E9C-101B-9397-08002B2CF9AE}" pid="3" name="ICV">
    <vt:lpwstr>38C23DE85C02431D9028E1B822F5C3AD</vt:lpwstr>
  </property>
  <property fmtid="{D5CDD505-2E9C-101B-9397-08002B2CF9AE}" pid="4" name="KSOTemplateDocerSaveRecord">
    <vt:lpwstr>eyJoZGlkIjoiYWRkNGFmYTkwMjIxMjMzMzkyYjRhZTVjYWNlYTY5MGIiLCJ1c2VySWQiOiIyMzgyNDQ0MzMifQ==</vt:lpwstr>
  </property>
</Properties>
</file>