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FFA80B">
      <w:pPr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北京市朝阳区政务服务管理局</w:t>
      </w:r>
    </w:p>
    <w:p w14:paraId="16D05690">
      <w:pPr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部门整体支出绩效评价报告</w:t>
      </w:r>
    </w:p>
    <w:p w14:paraId="46FC34E6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t>一、本部门职能</w:t>
      </w:r>
    </w:p>
    <w:p w14:paraId="7810BADF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>（一）部门机构设置情况</w:t>
      </w:r>
    </w:p>
    <w:p w14:paraId="45A1C989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北京市朝阳区政务服务管理局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设六个科室和一个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事业单位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：分别为综合科、管理协调科、公共资源管理科、信息化科、政府信息公开和政务公开科、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政务服务体系管理科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及朝阳区公共资源交易服务中心。人员配置及构成情况：行政编制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25人，实有24人；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事业编制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人，实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有31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2CA60F17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（二）部门职能情况</w:t>
      </w:r>
    </w:p>
    <w:p w14:paraId="6BED917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北京市朝阳区政务服务管理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是区政府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工作部门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，主要职责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如下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：</w:t>
      </w:r>
    </w:p>
    <w:p w14:paraId="00807F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负责统筹推进本区简政放权、放管结合、优化服务改革和行政审批制度改革工作。研究拟订改革规划、计划和相关政策措施并组织实施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协调解决改革中遇到的重点难点问题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协调、指导、督促各街乡、各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落实改革重大任务。</w:t>
      </w:r>
    </w:p>
    <w:p w14:paraId="3A5634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负责协调推进本区政务服务体系建设。指导、协调、监督各级各类政务服务平台的建设、管理工作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负责组织推动政务服务方式创新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负责政务服务事项规范管理，推进政务服务标准化、集成化。</w:t>
      </w:r>
    </w:p>
    <w:p w14:paraId="1CFB12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负责本区“互联网+政务服务”工作，统筹规划政务服务“全网通”建设。协调推进本区与北京市政务服务平台之间的信息共享与业务协同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负责一体化在线政务服务平台的建设、管理工作。</w:t>
      </w:r>
    </w:p>
    <w:p w14:paraId="299448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负责推进、指导、协调、监督本区政府信息公开和政务公开工作。依法协调受理公民、法人或其他组织获取区政府信息的申请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组织推进政务公开制度化、信息化、标准化建设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统筹协调本区政府系统政务公开渠道建设工作。</w:t>
      </w:r>
    </w:p>
    <w:p w14:paraId="1ACC86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负责本区公共资源交易场所服务管理工作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研究制定本区公共资源交易场所服务管理标准、细则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负责公共资源交易分平台场所的建设、运行和服务管理工作。</w:t>
      </w:r>
    </w:p>
    <w:p w14:paraId="3AF938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6、负责提供公共资源交易活动的规范场所，并做好进场交易的见证、服务和现场管理工作，搭建公共资源交易电子化平台、公共资源信息查询、交易和监管平台、对交易事项见证资料进行存档管理，受理、处理市场主体对现场见证服务行为的投诉。负责区级政务服务中心及分中心的运行与维护，中心内外环境秩序、安全保障、投诉案件办理等工作。负责窗口人员的日常管理、教育培训、监督检查和考核评价、负责事项的受理、流转、发证等“一窗”业务运行，进行问题反馈、数据整理并提出调整优化建议。</w:t>
      </w:r>
    </w:p>
    <w:p w14:paraId="0520A6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负责受理区级政务服务中心各类举报和投诉，协助相关职能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做好调查处理工作。</w:t>
      </w:r>
    </w:p>
    <w:p w14:paraId="3641029A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承办区委、区政府交办的其他事项。</w:t>
      </w:r>
    </w:p>
    <w:p w14:paraId="08924E55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当</w:t>
      </w: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年度预算执行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情况</w:t>
      </w:r>
    </w:p>
    <w:p w14:paraId="745D4ACF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32930"/>
          <w:spacing w:val="0"/>
          <w:sz w:val="32"/>
          <w:szCs w:val="32"/>
          <w:shd w:val="clear" w:fill="FFFFFF"/>
        </w:rPr>
        <w:t>朝阳政务服务管理局部门全年预算数5428.00万元，其中基本支出预算数1896.89万元，项目支出预算数3531.11万元，其他支出预算数0.00万元。资金总体支出5428.00万元，其中，基本支出1896.89万元，项目支出3531.11万元，其他支出0.00万元。全年预算执行率100%。</w:t>
      </w:r>
    </w:p>
    <w:p w14:paraId="5A477D2A"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t>部门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整体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t>绩效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目标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  <w:t>实现</w:t>
      </w: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情况</w:t>
      </w:r>
    </w:p>
    <w:p w14:paraId="7C8F6DD2"/>
    <w:p w14:paraId="32503792">
      <w:pPr>
        <w:numPr>
          <w:ilvl w:val="0"/>
          <w:numId w:val="0"/>
        </w:numPr>
        <w:ind w:firstLine="643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（一）、产出完成情况分析：</w:t>
      </w:r>
    </w:p>
    <w:p w14:paraId="6B1EA9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1、产出数量：大部分项目都能按年初设定的绩效目标完成，有的已经超额完成设定目标，但有2个项目没能按要求完成，预算完成率93.55%。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主要是个别项目数量指标年初目标设定偏高，以及单个成本提高，导致未按年初设定的目标完成。</w:t>
      </w:r>
    </w:p>
    <w:p w14:paraId="4615964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2、产出质量：所有项目都按年初设定的绩效目标完成，得分均为100分，预算完成率100%。</w:t>
      </w:r>
    </w:p>
    <w:p w14:paraId="44963C5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3、产出时效：大部分项目都能按年初设定的绩效目标完成，只有1个项目，年初设定支付进度为大于等于90%，实际完成值89.2%，主要是为了节约资金，减少了不必要的开支，得分为9.9分。预算完成率96.77%。</w:t>
      </w:r>
    </w:p>
    <w:p w14:paraId="3374C6C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4、经济成本：所有项目都按年初设定的绩效目标完成，得分均为100分，预算完成率100%。</w:t>
      </w:r>
    </w:p>
    <w:p w14:paraId="18C8CAB8">
      <w:pPr>
        <w:numPr>
          <w:ilvl w:val="0"/>
          <w:numId w:val="2"/>
        </w:numPr>
        <w:ind w:left="0" w:leftChars="0" w:firstLine="643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、效果实现情况分析：</w:t>
      </w:r>
    </w:p>
    <w:p w14:paraId="74189882">
      <w:pPr>
        <w:pStyle w:val="8"/>
        <w:numPr>
          <w:ilvl w:val="0"/>
          <w:numId w:val="3"/>
        </w:numPr>
        <w:spacing w:before="0" w:beforeAutospacing="0" w:after="0" w:afterAutospacing="0"/>
        <w:ind w:firstLine="630" w:firstLineChars="196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社会效益：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因政务服务要求，我单位所有项目效益指标均为社会效益指标，预算完成率100%。2023年，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</w:rPr>
        <w:t>局坚持以经济发展赋能为目标，切实做好“放管服”改革,持续优化营商环境,着力破解企业办事中的堵点、难点与卡点，不断简化审批程序,精简申报材料,压缩企业各类手续的办理时间,让企业和群众少跑路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同时我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局以推进法治政府建设为重点，针对政府信息公开、公共资源交易等重点领域，力求服务更有温度、公开更有广度、交易更有深度、监管更有力度，为经济发展增动力，为群众办事添便利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我区政务服务整体水平得到提升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1C54010F">
      <w:pPr>
        <w:spacing w:line="600" w:lineRule="exact"/>
        <w:ind w:firstLine="641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服务对象满意度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：通过政务服务信息化平台好差评系统分析，办事群众满意度达到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99.82%。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为持续解决企业和群众异地办事难的问题，区政务服务局积极深化政务服务“跨省通办”工作，与天津市滨海新区签订合作协议，新增45个通办事项，推动京津冀协同发展。目前共与16个城市达成协议，总事项数量更新至653个，护航朝阳区企业异地办事，为外地企业提供暖心服务。继续巩固政务服务规范化建设成果，统筹开展“1+3”政务服务规范化示范样板建设工作，加快建设“一刻钟政务服务圈”，截至目前，已按市局要求完成示范街乡政务服务中心14个，示范社区（村）服务站129个，建成示范站点数量居全市第一。实现广电影视审批事项进园区，为全市首创，多维度优化就近办服务，切实提升企业群众获得感。为有效助力企业发展，提升一站式服务水平，与东湖街道合作新建企业服务站，实现120个事项一站式办理、200余个事项自助查询，截至目前已设立7个企业服务站。</w:t>
      </w:r>
    </w:p>
    <w:p w14:paraId="52BB1CC5">
      <w:pPr>
        <w:pStyle w:val="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预算管理情况分析：</w:t>
      </w:r>
    </w:p>
    <w:p w14:paraId="3AD29A45">
      <w:pPr>
        <w:numPr>
          <w:ilvl w:val="0"/>
          <w:numId w:val="0"/>
        </w:numPr>
        <w:spacing w:line="120" w:lineRule="atLeast"/>
        <w:ind w:firstLine="640" w:firstLineChars="200"/>
        <w:contextualSpacing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为了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提高预算管理工作的质量和水平。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我局了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成立内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领导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小组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及内控工作小组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内控领导小组由局长亲自挂帅，内控工作小组由主管财务的副局长牵头组织，对预算管理制度、财务管理制度、资产管理制度、政府采购管理制度、合同管理制度、项目管理制度等都进行了相应的完善。</w:t>
      </w:r>
    </w:p>
    <w:p w14:paraId="3036C53B">
      <w:pPr>
        <w:numPr>
          <w:ilvl w:val="0"/>
          <w:numId w:val="0"/>
        </w:numPr>
        <w:spacing w:line="120" w:lineRule="atLeast"/>
        <w:ind w:firstLine="643" w:firstLineChars="200"/>
        <w:contextualSpacing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（一）财务管理：</w:t>
      </w:r>
    </w:p>
    <w:p w14:paraId="0E68FD0A">
      <w:pPr>
        <w:numPr>
          <w:ilvl w:val="0"/>
          <w:numId w:val="5"/>
        </w:numPr>
        <w:spacing w:line="120" w:lineRule="atLeast"/>
        <w:ind w:firstLine="640" w:firstLineChars="200"/>
        <w:contextualSpacing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完善财务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管理制度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合理设置岗位，明确相关岗位的职责权限，确保支出申请和内部审批、付款审批和付款执行、业务经办和会计核算等不相容岗位相互分离。加强支出审批控制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明确支出的内部审批权限、程序、责任和相关控制措施。全面审核各类单据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重点审核单据来源是否合法，内容是否真实、完整，使用是否准确，是否符合预算，审批手续是否齐全。</w:t>
      </w:r>
    </w:p>
    <w:p w14:paraId="73A11191">
      <w:pPr>
        <w:numPr>
          <w:ilvl w:val="0"/>
          <w:numId w:val="5"/>
        </w:numPr>
        <w:spacing w:line="120" w:lineRule="atLeast"/>
        <w:ind w:firstLine="640" w:firstLineChars="200"/>
        <w:contextualSpacing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强支付控制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明确报销业务流程，按照规定办理资金支付手续。签发的支付凭证应当进行登记。使用公务卡结算的，应当按照公务卡使用和管理有关规定办理业务。加强支出的核算和归档控制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由财会部门根据支出凭证及时准确登记账簿；</w:t>
      </w:r>
    </w:p>
    <w:p w14:paraId="37548AF5">
      <w:pPr>
        <w:numPr>
          <w:ilvl w:val="0"/>
          <w:numId w:val="5"/>
        </w:numPr>
        <w:spacing w:line="120" w:lineRule="atLeast"/>
        <w:ind w:firstLine="640" w:firstLineChars="200"/>
        <w:contextualSpacing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加强决算管理，确保决算真实、完整、准确、及时，强化决算分析结果运用，建立健全本单位预算与决算相互反映、相互促进的机制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573D17B9">
      <w:pPr>
        <w:numPr>
          <w:ilvl w:val="0"/>
          <w:numId w:val="5"/>
        </w:numPr>
        <w:spacing w:line="120" w:lineRule="atLeast"/>
        <w:ind w:left="0" w:leftChars="0" w:firstLine="640" w:firstLineChars="200"/>
        <w:contextualSpacing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提高财政资金的使用效率，合理使用结转资金，确保财政资金用到实处，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2023年没有结转结余资金。</w:t>
      </w:r>
    </w:p>
    <w:p w14:paraId="6FB7D4C6">
      <w:pPr>
        <w:numPr>
          <w:ilvl w:val="0"/>
          <w:numId w:val="0"/>
        </w:numPr>
        <w:spacing w:line="120" w:lineRule="atLeast"/>
        <w:ind w:leftChars="200"/>
        <w:contextualSpacing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（二）资产管理：</w:t>
      </w:r>
    </w:p>
    <w:p w14:paraId="677D808D">
      <w:pPr>
        <w:spacing w:line="120" w:lineRule="atLeast"/>
        <w:ind w:firstLine="640" w:firstLineChars="200"/>
        <w:contextualSpacing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对资产实行分类管理，建立健全资产内部管理制度。合理设置岗位，明确相关岗位的职责权限，确保资产安全和有效使用。加强货币资金的核查控制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会计人员定期和不定期抽查盘点库存现金，核对银行存款余额，抽查银行对账单、银行日记账及银行存款余额调节表，核对是否账实相符、账账相符。对调节不符、可能存在重大问题的未达账项及时查明原因，并按照相关规定处理。</w:t>
      </w:r>
    </w:p>
    <w:p w14:paraId="505444CF">
      <w:pPr>
        <w:spacing w:line="120" w:lineRule="atLeast"/>
        <w:ind w:firstLine="640" w:firstLineChars="200"/>
        <w:contextualSpacing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加强对实物资产和无形资产的管理，建立资产信息管理系统，明确资产使用和保管责任人，落实资产使用人在资产管理中的责任。</w:t>
      </w:r>
    </w:p>
    <w:p w14:paraId="20110666">
      <w:pPr>
        <w:spacing w:line="120" w:lineRule="atLeast"/>
        <w:ind w:firstLine="640" w:firstLineChars="200"/>
        <w:contextualSpacing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按照国有资产管理相关规定，明确资产的调剂、租借、对外投资、处置的程序、审批权限和责任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建立资产台账，加强资产的实物管理。定期清查盘点资产，确保账实相符。</w:t>
      </w:r>
    </w:p>
    <w:p w14:paraId="11DDDB01">
      <w:pPr>
        <w:numPr>
          <w:ilvl w:val="0"/>
          <w:numId w:val="0"/>
        </w:numPr>
        <w:spacing w:line="120" w:lineRule="atLeast"/>
        <w:ind w:firstLine="643" w:firstLineChars="200"/>
        <w:contextualSpacing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（三）预算绩效管理：</w:t>
      </w:r>
    </w:p>
    <w:p w14:paraId="0C1B4F38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t>1.实行项目预算执行清单制管理</w:t>
      </w:r>
    </w:p>
    <w:p w14:paraId="3A1513A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eastAsia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eastAsia="仿宋_GB2312"/>
          <w:b w:val="0"/>
          <w:bCs w:val="0"/>
          <w:color w:val="000000"/>
          <w:sz w:val="32"/>
          <w:szCs w:val="32"/>
          <w:highlight w:val="none"/>
        </w:rPr>
        <w:t>一是根据全年预算安排，综合科进一步细化预算项目任务，分条计算支出进度，责任到科室，一一查摆影响支出进度的主要症结，及时上报领导。二是提前指导并要求各科室、各环节进一步规范业务流程、提高办事效率，紧盯落实。</w:t>
      </w:r>
    </w:p>
    <w:p w14:paraId="4EF94A2F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t>2.加大</w:t>
      </w:r>
      <w:r>
        <w:rPr>
          <w:rFonts w:hint="eastAsia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instrText xml:space="preserve">HYPERLINK "http://toutiao.manqian.cn/tag_5b85fa89f4fe1b07b5e764c7.html" \t "_blank"</w:instrText>
      </w:r>
      <w:r>
        <w:rPr>
          <w:rFonts w:hint="eastAsia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t>督查</w:t>
      </w:r>
      <w:r>
        <w:rPr>
          <w:rFonts w:hint="eastAsia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t>督办工作力度</w:t>
      </w:r>
    </w:p>
    <w:p w14:paraId="793EF215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eastAsia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eastAsia="仿宋_GB2312"/>
          <w:b w:val="0"/>
          <w:bCs w:val="0"/>
          <w:color w:val="000000"/>
          <w:sz w:val="32"/>
          <w:szCs w:val="32"/>
          <w:highlight w:val="none"/>
        </w:rPr>
        <w:t>一是通过支出进度考核和定期通报进展等措施，督促各科室增强预算支出的主体责任意识，对于尚未支出的项目提前谋划、尽早推动。二是高位推动，召开专题会议对大项支出逐一进行分析研判，有针对性地制定工作措施。</w:t>
      </w:r>
    </w:p>
    <w:p w14:paraId="7662825D">
      <w:pPr>
        <w:numPr>
          <w:ilvl w:val="0"/>
          <w:numId w:val="6"/>
        </w:numPr>
        <w:ind w:firstLine="640" w:firstLineChars="200"/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合理安排年终结转资金，提高财政资金的使用效率</w:t>
      </w:r>
    </w:p>
    <w:p w14:paraId="61DC30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一是对于延续性的项目，年底有预留尾款的一律收回剩余资金，尾款改在第二年预算资金支付，每年预算资金包含上年度尾款及当年的首付款，使财政预算资金形成良性循环。二是在合同的管理上合理安排支付比例，既考虑支付进度，又能满足合同的要求。</w:t>
      </w:r>
    </w:p>
    <w:p w14:paraId="2B6A8681">
      <w:pPr>
        <w:pStyle w:val="3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在预算资金管理中，我单位严格按照财务制度及政府采购预算的流程执行，政府采购做到应采必采；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在资金支付过程中严格资金审批程序，单位支出超过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5万元的，由局长办公会集体决议，超过10万元的项目局长办公会通过后，再由党组会集体决议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 w14:paraId="7C7CED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(四)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、结转结余率：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年终无结转资金，结转结余率为0.00%.</w:t>
      </w:r>
    </w:p>
    <w:p w14:paraId="33BCAEA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(五)、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部门预决算差异率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：部门年初预算4980.61万元，年终决算5428.00万元，差异率8.98%，主要原因是新招聘人员增加，从而造成基本支出增加额度较大。</w:t>
      </w:r>
    </w:p>
    <w:p w14:paraId="13A1F133">
      <w:pPr>
        <w:pStyle w:val="2"/>
        <w:numPr>
          <w:ilvl w:val="0"/>
          <w:numId w:val="0"/>
        </w:numPr>
        <w:ind w:leftChars="200"/>
        <w:rPr>
          <w:rFonts w:hint="eastAsia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五、总体评价结论：</w:t>
      </w:r>
    </w:p>
    <w:p w14:paraId="5FE5DDC8">
      <w:pPr>
        <w:ind w:firstLine="640" w:firstLineChars="200"/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2023年我局部门共有31个项目填制绩效目标表，其中3个项目为追加项目。最终参与绩效评价的项目31个，经过各科室绩效自评得分情况为：100分的项目28个，各项指标均已完成；90-95分的项目为3个，总体绩效评价为优。未按指标完成的项目主要是产出指标中的数量指标预计设定偏高，以及追加预算实际批复数小于设定目标值，导致未按年初设定的绩效目标完成。</w:t>
      </w:r>
    </w:p>
    <w:p w14:paraId="097B6C00">
      <w:pPr>
        <w:ind w:firstLine="643" w:firstLineChars="200"/>
        <w:rPr>
          <w:rFonts w:hint="eastAsia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六、整改措施：</w:t>
      </w:r>
    </w:p>
    <w:p w14:paraId="62FE4F09">
      <w:pPr>
        <w:spacing w:line="120" w:lineRule="atLeast"/>
        <w:ind w:firstLine="640" w:firstLineChars="200"/>
        <w:contextualSpacing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加强预算绩效管理，建立“预算编制有目标、预算执行有监控、预算完成有评价、评价结果有反馈、反馈结果有应用”的全过程预算绩效管理机制。</w:t>
      </w:r>
    </w:p>
    <w:p w14:paraId="6F382182">
      <w:pPr>
        <w:spacing w:line="120" w:lineRule="atLeast"/>
        <w:ind w:firstLine="640" w:firstLineChars="200"/>
        <w:contextualSpacing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建立预算执行分析机制。定期通报各科室的预算执行情况，召开预算执行分析会议，研究解决预算执行中存在的问题，提出改进措施，提高预算执行的有效性。</w:t>
      </w:r>
    </w:p>
    <w:p w14:paraId="4C1AB3A2">
      <w:pPr>
        <w:pStyle w:val="2"/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3、合理设定绩效目标。根据实际情况合理估计产出指标，避免设定目标过高而导致完不成的情况。</w:t>
      </w:r>
    </w:p>
    <w:p w14:paraId="4FBBF46F">
      <w:pPr>
        <w:rPr>
          <w:rFonts w:eastAsia="仿宋_GB2312"/>
          <w:b w:val="0"/>
          <w:bCs w:val="0"/>
          <w:color w:val="000000"/>
          <w:sz w:val="32"/>
          <w:szCs w:val="32"/>
        </w:rPr>
      </w:pPr>
    </w:p>
    <w:p w14:paraId="24CCC1EF">
      <w:pPr>
        <w:pStyle w:val="2"/>
        <w:rPr>
          <w:rFonts w:eastAsia="仿宋_GB2312"/>
          <w:b w:val="0"/>
          <w:bCs w:val="0"/>
          <w:color w:val="000000"/>
          <w:sz w:val="32"/>
          <w:szCs w:val="32"/>
        </w:rPr>
      </w:pPr>
    </w:p>
    <w:p w14:paraId="5E77B824"/>
    <w:p w14:paraId="50567219">
      <w:pPr>
        <w:ind w:firstLine="8960" w:firstLineChars="2800"/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  <w:lang w:eastAsia="zh-CN"/>
        </w:rPr>
        <w:t>北京市朝阳区政务服务管理局</w:t>
      </w:r>
    </w:p>
    <w:p w14:paraId="5FADCD52">
      <w:pPr>
        <w:ind w:firstLine="9600" w:firstLineChars="3000"/>
        <w:rPr>
          <w:rFonts w:hint="eastAsia" w:eastAsia="仿宋_GB2312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b w:val="0"/>
          <w:bCs w:val="0"/>
          <w:color w:val="000000"/>
          <w:sz w:val="32"/>
          <w:szCs w:val="32"/>
          <w:lang w:val="en-US" w:eastAsia="zh-CN"/>
        </w:rPr>
        <w:t>2024年3月22日</w:t>
      </w:r>
    </w:p>
    <w:sectPr>
      <w:footerReference r:id="rId3" w:type="default"/>
      <w:pgSz w:w="16838" w:h="11906" w:orient="landscape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64094"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F4EEAA3"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6861E"/>
    <w:multiLevelType w:val="singleLevel"/>
    <w:tmpl w:val="A756861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51CAF4"/>
    <w:multiLevelType w:val="singleLevel"/>
    <w:tmpl w:val="EF51CAF4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0B30947E"/>
    <w:multiLevelType w:val="singleLevel"/>
    <w:tmpl w:val="0B30947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523EB76"/>
    <w:multiLevelType w:val="singleLevel"/>
    <w:tmpl w:val="1523EB7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4025A5B8"/>
    <w:multiLevelType w:val="singleLevel"/>
    <w:tmpl w:val="4025A5B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334DD90"/>
    <w:multiLevelType w:val="singleLevel"/>
    <w:tmpl w:val="6334DD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A2NWE1NzMyYWExYzNkNDMxNWQ0NzM1ZDY2ZDYxNzgifQ=="/>
  </w:docVars>
  <w:rsids>
    <w:rsidRoot w:val="00242D5E"/>
    <w:rsid w:val="001261D4"/>
    <w:rsid w:val="00242D5E"/>
    <w:rsid w:val="00470512"/>
    <w:rsid w:val="00477CBD"/>
    <w:rsid w:val="00C025D1"/>
    <w:rsid w:val="02CA41B5"/>
    <w:rsid w:val="0B414C75"/>
    <w:rsid w:val="0BAB6AAB"/>
    <w:rsid w:val="0E1F6E63"/>
    <w:rsid w:val="0F081CFB"/>
    <w:rsid w:val="10DB6DE4"/>
    <w:rsid w:val="121359F9"/>
    <w:rsid w:val="12325BD7"/>
    <w:rsid w:val="1266419D"/>
    <w:rsid w:val="12794B9B"/>
    <w:rsid w:val="12BB3B2B"/>
    <w:rsid w:val="12F0136F"/>
    <w:rsid w:val="15236FA1"/>
    <w:rsid w:val="162E0EF1"/>
    <w:rsid w:val="162E4B11"/>
    <w:rsid w:val="16C90903"/>
    <w:rsid w:val="16ED4A9A"/>
    <w:rsid w:val="18E81875"/>
    <w:rsid w:val="19493A0A"/>
    <w:rsid w:val="1B7559CA"/>
    <w:rsid w:val="1D7754E4"/>
    <w:rsid w:val="1DE6787C"/>
    <w:rsid w:val="1E662708"/>
    <w:rsid w:val="1F4724A2"/>
    <w:rsid w:val="1FA957C4"/>
    <w:rsid w:val="1FC85B78"/>
    <w:rsid w:val="242A6157"/>
    <w:rsid w:val="264B6E3E"/>
    <w:rsid w:val="26CF569B"/>
    <w:rsid w:val="276C7761"/>
    <w:rsid w:val="28A3656B"/>
    <w:rsid w:val="29931936"/>
    <w:rsid w:val="2BB7195D"/>
    <w:rsid w:val="2DD106A4"/>
    <w:rsid w:val="2DF55B16"/>
    <w:rsid w:val="2E123335"/>
    <w:rsid w:val="2F7754F5"/>
    <w:rsid w:val="2FA353A0"/>
    <w:rsid w:val="31CF0D7D"/>
    <w:rsid w:val="36505BDF"/>
    <w:rsid w:val="36786DD0"/>
    <w:rsid w:val="369602CA"/>
    <w:rsid w:val="37A17CC0"/>
    <w:rsid w:val="3A691EF0"/>
    <w:rsid w:val="3C144B04"/>
    <w:rsid w:val="3EDE622B"/>
    <w:rsid w:val="3F347CBC"/>
    <w:rsid w:val="3F702009"/>
    <w:rsid w:val="405072F4"/>
    <w:rsid w:val="406B4AC0"/>
    <w:rsid w:val="41E32D7B"/>
    <w:rsid w:val="41E917A7"/>
    <w:rsid w:val="43443DA7"/>
    <w:rsid w:val="441932A2"/>
    <w:rsid w:val="458F373A"/>
    <w:rsid w:val="47E2607E"/>
    <w:rsid w:val="48394922"/>
    <w:rsid w:val="4895028F"/>
    <w:rsid w:val="49123EFB"/>
    <w:rsid w:val="4CD42A3D"/>
    <w:rsid w:val="4D4B68E3"/>
    <w:rsid w:val="4E0B519A"/>
    <w:rsid w:val="4E3248F3"/>
    <w:rsid w:val="4F1A256E"/>
    <w:rsid w:val="4F731E71"/>
    <w:rsid w:val="4F97616E"/>
    <w:rsid w:val="4FFF0010"/>
    <w:rsid w:val="508E0ACA"/>
    <w:rsid w:val="509352CC"/>
    <w:rsid w:val="50A67789"/>
    <w:rsid w:val="50D376BB"/>
    <w:rsid w:val="52D31651"/>
    <w:rsid w:val="53E167CF"/>
    <w:rsid w:val="544C6F20"/>
    <w:rsid w:val="549C76F3"/>
    <w:rsid w:val="550D6D8B"/>
    <w:rsid w:val="556E6213"/>
    <w:rsid w:val="582307B5"/>
    <w:rsid w:val="59747579"/>
    <w:rsid w:val="59D64451"/>
    <w:rsid w:val="5A4F050C"/>
    <w:rsid w:val="5B6B5D58"/>
    <w:rsid w:val="5D2A4F16"/>
    <w:rsid w:val="5DA107EB"/>
    <w:rsid w:val="609929C5"/>
    <w:rsid w:val="60CA23DF"/>
    <w:rsid w:val="61724B69"/>
    <w:rsid w:val="622C551E"/>
    <w:rsid w:val="63982EAE"/>
    <w:rsid w:val="64ED5F82"/>
    <w:rsid w:val="65AE53E1"/>
    <w:rsid w:val="674858FF"/>
    <w:rsid w:val="69DB13B4"/>
    <w:rsid w:val="6CC62244"/>
    <w:rsid w:val="711C3867"/>
    <w:rsid w:val="72BD3246"/>
    <w:rsid w:val="741D5855"/>
    <w:rsid w:val="75F21271"/>
    <w:rsid w:val="79047271"/>
    <w:rsid w:val="792A7E6C"/>
    <w:rsid w:val="7ACD0D19"/>
    <w:rsid w:val="7E3444C7"/>
    <w:rsid w:val="7FD0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b w:val="0"/>
      <w:bCs w:val="0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页眉 Char"/>
    <w:basedOn w:val="10"/>
    <w:link w:val="5"/>
    <w:qFormat/>
    <w:uiPriority w:val="0"/>
    <w:rPr>
      <w:rFonts w:ascii="Times New Roman" w:hAnsi="Times New Roman"/>
      <w:b/>
      <w:bCs/>
      <w:kern w:val="2"/>
      <w:sz w:val="18"/>
      <w:szCs w:val="18"/>
    </w:rPr>
  </w:style>
  <w:style w:type="character" w:customStyle="1" w:styleId="12">
    <w:name w:val="页脚 Char"/>
    <w:basedOn w:val="10"/>
    <w:link w:val="4"/>
    <w:qFormat/>
    <w:uiPriority w:val="0"/>
    <w:rPr>
      <w:rFonts w:ascii="Times New Roman" w:hAnsi="Times New Roman"/>
      <w:b/>
      <w:bCs/>
      <w:kern w:val="2"/>
      <w:sz w:val="18"/>
      <w:szCs w:val="18"/>
    </w:rPr>
  </w:style>
  <w:style w:type="character" w:customStyle="1" w:styleId="13">
    <w:name w:val="HTML 预设格式 Char"/>
    <w:basedOn w:val="10"/>
    <w:link w:val="7"/>
    <w:qFormat/>
    <w:uiPriority w:val="99"/>
    <w:rPr>
      <w:rFonts w:ascii="宋体" w:hAnsi="宋体" w:cs="宋体"/>
      <w:sz w:val="24"/>
      <w:szCs w:val="24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3758</Words>
  <Characters>3905</Characters>
  <Lines>15</Lines>
  <Paragraphs>4</Paragraphs>
  <TotalTime>8</TotalTime>
  <ScaleCrop>false</ScaleCrop>
  <LinksUpToDate>false</LinksUpToDate>
  <CharactersWithSpaces>3906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2020-04-07T07:36:00Z</dcterms:created>
  <dc:creator>Administrator</dc:creator>
  <cp:lastModifiedBy>Administrator</cp:lastModifiedBy>
  <cp:lastPrinted>2020-04-17T06:10:00Z</cp:lastPrinted>
  <dcterms:modified xsi:type="dcterms:W3CDTF">2024-09-04T02:58:26Z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56CCC1E8C4B9419EB2F8F0B69DA4BFAF</vt:lpwstr>
  </property>
</Properties>
</file>