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auto"/>
          <w:sz w:val="44"/>
          <w:szCs w:val="44"/>
        </w:rPr>
      </w:pPr>
      <w:r>
        <w:rPr>
          <w:rFonts w:hint="eastAsia" w:asciiTheme="majorEastAsia" w:hAnsiTheme="majorEastAsia" w:eastAsiaTheme="majorEastAsia"/>
          <w:b/>
          <w:color w:val="auto"/>
          <w:sz w:val="44"/>
          <w:szCs w:val="44"/>
        </w:rPr>
        <w:t>202</w:t>
      </w:r>
      <w:r>
        <w:rPr>
          <w:rFonts w:hint="eastAsia" w:asciiTheme="majorEastAsia" w:hAnsiTheme="majorEastAsia" w:eastAsiaTheme="majorEastAsia"/>
          <w:b/>
          <w:color w:val="auto"/>
          <w:sz w:val="44"/>
          <w:szCs w:val="44"/>
          <w:lang w:val="en-US" w:eastAsia="zh-CN"/>
        </w:rPr>
        <w:t>4</w:t>
      </w:r>
      <w:r>
        <w:rPr>
          <w:rFonts w:hint="eastAsia" w:asciiTheme="majorEastAsia" w:hAnsiTheme="majorEastAsia" w:eastAsiaTheme="majorEastAsia"/>
          <w:b/>
          <w:color w:val="auto"/>
          <w:sz w:val="44"/>
          <w:szCs w:val="44"/>
        </w:rPr>
        <w:t>年企业创新调查培训要点</w:t>
      </w:r>
    </w:p>
    <w:p>
      <w:pPr>
        <w:rPr>
          <w:rFonts w:asciiTheme="majorEastAsia" w:hAnsiTheme="majorEastAsia" w:eastAsiaTheme="majorEastAsia"/>
          <w:b/>
          <w:color w:val="auto"/>
          <w:sz w:val="44"/>
          <w:szCs w:val="44"/>
        </w:rPr>
      </w:pPr>
    </w:p>
    <w:p>
      <w:pPr>
        <w:ind w:firstLine="548" w:firstLineChars="196"/>
        <w:rPr>
          <w:rFonts w:asciiTheme="minorEastAsia" w:hAnsiTheme="minorEastAsia"/>
          <w:color w:val="auto"/>
          <w:sz w:val="28"/>
          <w:szCs w:val="28"/>
        </w:rPr>
      </w:pPr>
      <w:r>
        <w:rPr>
          <w:rFonts w:hint="eastAsia" w:asciiTheme="minorEastAsia" w:hAnsiTheme="minorEastAsia"/>
          <w:color w:val="auto"/>
          <w:sz w:val="28"/>
          <w:szCs w:val="28"/>
        </w:rPr>
        <w:t>企业创新调查工作与企业研发年报同时布置、同时上报。平台开网时间为202</w:t>
      </w: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年1月</w:t>
      </w:r>
      <w:r>
        <w:rPr>
          <w:rFonts w:hint="eastAsia" w:asciiTheme="minorEastAsia" w:hAnsiTheme="minorEastAsia"/>
          <w:color w:val="auto"/>
          <w:sz w:val="28"/>
          <w:szCs w:val="28"/>
          <w:lang w:val="en-US" w:eastAsia="zh-CN"/>
        </w:rPr>
        <w:t>20</w:t>
      </w:r>
      <w:r>
        <w:rPr>
          <w:rFonts w:hint="eastAsia" w:asciiTheme="minorEastAsia" w:hAnsiTheme="minorEastAsia"/>
          <w:color w:val="auto"/>
          <w:sz w:val="28"/>
          <w:szCs w:val="28"/>
        </w:rPr>
        <w:t>日，企业填报截止时间为202</w:t>
      </w: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年3月10日</w:t>
      </w:r>
      <w:r>
        <w:rPr>
          <w:rFonts w:hint="eastAsia" w:asciiTheme="minorEastAsia" w:hAnsiTheme="minorEastAsia"/>
          <w:color w:val="auto"/>
          <w:sz w:val="28"/>
          <w:szCs w:val="28"/>
          <w:lang w:val="en-US" w:eastAsia="zh-CN"/>
        </w:rPr>
        <w:t>18时</w:t>
      </w:r>
      <w:bookmarkStart w:id="0" w:name="_GoBack"/>
      <w:bookmarkEnd w:id="0"/>
      <w:r>
        <w:rPr>
          <w:rFonts w:hint="eastAsia" w:asciiTheme="minorEastAsia" w:hAnsiTheme="minorEastAsia"/>
          <w:color w:val="auto"/>
          <w:sz w:val="28"/>
          <w:szCs w:val="28"/>
        </w:rPr>
        <w:t>。</w:t>
      </w:r>
    </w:p>
    <w:p>
      <w:pPr>
        <w:ind w:firstLine="551" w:firstLineChars="196"/>
        <w:rPr>
          <w:rFonts w:asciiTheme="minorEastAsia" w:hAnsiTheme="minorEastAsia"/>
          <w:color w:val="auto"/>
          <w:sz w:val="28"/>
          <w:szCs w:val="28"/>
        </w:rPr>
      </w:pPr>
      <w:r>
        <w:rPr>
          <w:rFonts w:hint="eastAsia" w:asciiTheme="minorEastAsia" w:hAnsiTheme="minorEastAsia"/>
          <w:b/>
          <w:bCs/>
          <w:color w:val="auto"/>
          <w:sz w:val="28"/>
          <w:szCs w:val="28"/>
        </w:rPr>
        <w:t>一、</w:t>
      </w:r>
      <w:r>
        <w:rPr>
          <w:rFonts w:hint="eastAsia" w:asciiTheme="minorEastAsia" w:hAnsiTheme="minorEastAsia"/>
          <w:b/>
          <w:bCs/>
          <w:color w:val="auto"/>
          <w:sz w:val="28"/>
          <w:szCs w:val="28"/>
          <w:lang w:val="en-US" w:eastAsia="zh-CN"/>
        </w:rPr>
        <w:t>填报</w:t>
      </w:r>
      <w:r>
        <w:rPr>
          <w:rFonts w:hint="eastAsia" w:asciiTheme="minorEastAsia" w:hAnsiTheme="minorEastAsia"/>
          <w:b/>
          <w:bCs/>
          <w:color w:val="auto"/>
          <w:sz w:val="28"/>
          <w:szCs w:val="28"/>
        </w:rPr>
        <w:t>范围及表号</w:t>
      </w:r>
    </w:p>
    <w:tbl>
      <w:tblPr>
        <w:tblStyle w:val="5"/>
        <w:tblW w:w="7769" w:type="dxa"/>
        <w:jc w:val="center"/>
        <w:tblInd w:w="0" w:type="dxa"/>
        <w:tblLayout w:type="fixed"/>
        <w:tblCellMar>
          <w:top w:w="0" w:type="dxa"/>
          <w:left w:w="108" w:type="dxa"/>
          <w:bottom w:w="0" w:type="dxa"/>
          <w:right w:w="108" w:type="dxa"/>
        </w:tblCellMar>
      </w:tblPr>
      <w:tblGrid>
        <w:gridCol w:w="1149"/>
        <w:gridCol w:w="1149"/>
        <w:gridCol w:w="1191"/>
        <w:gridCol w:w="4280"/>
      </w:tblGrid>
      <w:tr>
        <w:tblPrEx>
          <w:tblLayout w:type="fixed"/>
          <w:tblCellMar>
            <w:top w:w="0" w:type="dxa"/>
            <w:left w:w="108" w:type="dxa"/>
            <w:bottom w:w="0" w:type="dxa"/>
            <w:right w:w="108" w:type="dxa"/>
          </w:tblCellMar>
        </w:tblPrEx>
        <w:trPr>
          <w:trHeight w:val="285" w:hRule="atLeast"/>
          <w:jc w:val="center"/>
        </w:trPr>
        <w:tc>
          <w:tcPr>
            <w:tcW w:w="114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color w:val="auto"/>
                <w:kern w:val="0"/>
                <w:sz w:val="22"/>
                <w:lang w:eastAsia="zh-CN"/>
              </w:rPr>
            </w:pPr>
            <w:r>
              <w:rPr>
                <w:rFonts w:hint="eastAsia" w:ascii="宋体" w:hAnsi="宋体" w:eastAsia="宋体" w:cs="宋体"/>
                <w:b/>
                <w:bCs/>
                <w:color w:val="auto"/>
                <w:kern w:val="0"/>
                <w:sz w:val="22"/>
                <w:lang w:eastAsia="zh-CN"/>
              </w:rPr>
              <w:t>填报平台</w:t>
            </w:r>
          </w:p>
        </w:tc>
        <w:tc>
          <w:tcPr>
            <w:tcW w:w="114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行业</w:t>
            </w:r>
          </w:p>
        </w:tc>
        <w:tc>
          <w:tcPr>
            <w:tcW w:w="1191" w:type="dxa"/>
            <w:tcBorders>
              <w:top w:val="single" w:color="auto" w:sz="8" w:space="0"/>
              <w:left w:val="nil"/>
              <w:bottom w:val="single" w:color="auto" w:sz="8" w:space="0"/>
              <w:right w:val="single" w:color="auto" w:sz="8" w:space="0"/>
            </w:tcBorders>
            <w:shd w:val="clear" w:color="auto" w:fill="auto"/>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表号</w:t>
            </w:r>
          </w:p>
        </w:tc>
        <w:tc>
          <w:tcPr>
            <w:tcW w:w="4280" w:type="dxa"/>
            <w:tcBorders>
              <w:top w:val="single" w:color="auto" w:sz="8" w:space="0"/>
              <w:left w:val="nil"/>
              <w:bottom w:val="single" w:color="auto" w:sz="8" w:space="0"/>
              <w:right w:val="nil"/>
            </w:tcBorders>
            <w:shd w:val="clear" w:color="auto" w:fill="auto"/>
            <w:vAlign w:val="center"/>
          </w:tcPr>
          <w:p>
            <w:pPr>
              <w:widowControl/>
              <w:jc w:val="center"/>
              <w:rPr>
                <w:rFonts w:ascii="宋体" w:hAnsi="宋体" w:eastAsia="宋体" w:cs="宋体"/>
                <w:b/>
                <w:bCs/>
                <w:color w:val="auto"/>
                <w:kern w:val="0"/>
                <w:sz w:val="22"/>
              </w:rPr>
            </w:pPr>
            <w:r>
              <w:rPr>
                <w:rFonts w:hint="eastAsia" w:ascii="宋体" w:hAnsi="宋体" w:eastAsia="宋体" w:cs="宋体"/>
                <w:b/>
                <w:bCs/>
                <w:color w:val="auto"/>
                <w:kern w:val="0"/>
                <w:sz w:val="22"/>
              </w:rPr>
              <w:t>门类</w:t>
            </w:r>
          </w:p>
        </w:tc>
      </w:tr>
      <w:tr>
        <w:tblPrEx>
          <w:tblLayout w:type="fixed"/>
          <w:tblCellMar>
            <w:top w:w="0" w:type="dxa"/>
            <w:left w:w="108" w:type="dxa"/>
            <w:bottom w:w="0" w:type="dxa"/>
            <w:right w:w="108" w:type="dxa"/>
          </w:tblCellMar>
        </w:tblPrEx>
        <w:trPr>
          <w:trHeight w:val="285" w:hRule="atLeast"/>
          <w:jc w:val="center"/>
        </w:trPr>
        <w:tc>
          <w:tcPr>
            <w:tcW w:w="1149" w:type="dxa"/>
            <w:vMerge w:val="restart"/>
            <w:tcBorders>
              <w:top w:val="nil"/>
              <w:left w:val="nil"/>
              <w:right w:val="single" w:color="auto" w:sz="8" w:space="0"/>
            </w:tcBorders>
            <w:shd w:val="clear" w:color="auto" w:fill="auto"/>
            <w:vAlign w:val="center"/>
          </w:tcPr>
          <w:p>
            <w:pPr>
              <w:widowControl/>
              <w:jc w:val="center"/>
              <w:rPr>
                <w:rFonts w:hint="eastAsia" w:ascii="宋体" w:hAnsi="宋体" w:eastAsia="宋体" w:cs="宋体"/>
                <w:b/>
                <w:bCs/>
                <w:color w:val="auto"/>
                <w:kern w:val="0"/>
                <w:sz w:val="22"/>
                <w:lang w:val="en-US" w:eastAsia="zh-CN"/>
              </w:rPr>
            </w:pPr>
            <w:r>
              <w:rPr>
                <w:rFonts w:hint="eastAsia" w:ascii="宋体" w:hAnsi="宋体" w:eastAsia="宋体" w:cs="宋体"/>
                <w:b/>
                <w:bCs/>
                <w:color w:val="auto"/>
                <w:kern w:val="0"/>
                <w:sz w:val="22"/>
                <w:lang w:val="en-US" w:eastAsia="zh-CN"/>
              </w:rPr>
              <w:t>统</w:t>
            </w:r>
          </w:p>
          <w:p>
            <w:pPr>
              <w:widowControl/>
              <w:jc w:val="center"/>
              <w:rPr>
                <w:rFonts w:hint="eastAsia" w:ascii="宋体" w:hAnsi="宋体" w:eastAsia="宋体" w:cs="宋体"/>
                <w:b/>
                <w:bCs/>
                <w:color w:val="auto"/>
                <w:kern w:val="0"/>
                <w:sz w:val="22"/>
                <w:lang w:val="en-US" w:eastAsia="zh-CN"/>
              </w:rPr>
            </w:pPr>
            <w:r>
              <w:rPr>
                <w:rFonts w:hint="eastAsia" w:ascii="宋体" w:hAnsi="宋体" w:eastAsia="宋体" w:cs="宋体"/>
                <w:b/>
                <w:bCs/>
                <w:color w:val="auto"/>
                <w:kern w:val="0"/>
                <w:sz w:val="22"/>
                <w:lang w:val="en-US" w:eastAsia="zh-CN"/>
              </w:rPr>
              <w:t>计</w:t>
            </w:r>
          </w:p>
          <w:p>
            <w:pPr>
              <w:widowControl/>
              <w:jc w:val="center"/>
              <w:rPr>
                <w:rFonts w:hint="default" w:ascii="宋体" w:hAnsi="宋体" w:eastAsia="宋体" w:cs="宋体"/>
                <w:color w:val="auto"/>
                <w:kern w:val="0"/>
                <w:sz w:val="22"/>
                <w:lang w:val="en-US" w:eastAsia="zh-CN"/>
              </w:rPr>
            </w:pPr>
            <w:r>
              <w:rPr>
                <w:rFonts w:hint="eastAsia" w:ascii="宋体" w:hAnsi="宋体" w:eastAsia="宋体" w:cs="宋体"/>
                <w:b/>
                <w:bCs/>
                <w:color w:val="auto"/>
                <w:kern w:val="0"/>
                <w:sz w:val="22"/>
                <w:lang w:val="en-US" w:eastAsia="zh-CN"/>
              </w:rPr>
              <w:t>云</w:t>
            </w:r>
          </w:p>
        </w:tc>
        <w:tc>
          <w:tcPr>
            <w:tcW w:w="1149"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工业   (规上)</w:t>
            </w:r>
          </w:p>
        </w:tc>
        <w:tc>
          <w:tcPr>
            <w:tcW w:w="1191" w:type="dxa"/>
            <w:vMerge w:val="restart"/>
            <w:tcBorders>
              <w:top w:val="nil"/>
              <w:left w:val="single" w:color="auto" w:sz="8" w:space="0"/>
              <w:bottom w:val="single" w:color="auto" w:sz="8" w:space="0"/>
              <w:right w:val="single" w:color="auto" w:sz="8" w:space="0"/>
            </w:tcBorders>
            <w:shd w:val="clear" w:color="auto" w:fill="auto"/>
          </w:tcPr>
          <w:p>
            <w:pPr>
              <w:widowControl/>
              <w:jc w:val="left"/>
              <w:rPr>
                <w:rFonts w:ascii="宋体" w:hAnsi="宋体" w:eastAsia="宋体" w:cs="宋体"/>
                <w:color w:val="auto"/>
                <w:kern w:val="0"/>
                <w:sz w:val="22"/>
              </w:rPr>
            </w:pPr>
          </w:p>
          <w:p>
            <w:pPr>
              <w:widowControl/>
              <w:jc w:val="left"/>
              <w:rPr>
                <w:rFonts w:ascii="宋体" w:hAnsi="宋体" w:eastAsia="宋体" w:cs="宋体"/>
                <w:color w:val="auto"/>
                <w:kern w:val="0"/>
                <w:sz w:val="22"/>
              </w:rPr>
            </w:pPr>
            <w:r>
              <w:rPr>
                <w:rFonts w:hint="eastAsia" w:ascii="宋体" w:hAnsi="宋体" w:eastAsia="宋体" w:cs="宋体"/>
                <w:color w:val="auto"/>
                <w:kern w:val="0"/>
                <w:sz w:val="22"/>
              </w:rPr>
              <w:t>L121</w:t>
            </w: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采矿业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制造业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电力、燃气及水的生产和供应业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shd w:val="clear" w:color="auto" w:fill="auto"/>
            <w:vAlign w:val="center"/>
          </w:tcPr>
          <w:p>
            <w:pPr>
              <w:widowControl/>
              <w:jc w:val="center"/>
              <w:rPr>
                <w:rFonts w:hint="eastAsia" w:ascii="宋体" w:hAnsi="宋体" w:eastAsia="宋体" w:cs="宋体"/>
                <w:color w:val="auto"/>
                <w:kern w:val="0"/>
                <w:sz w:val="22"/>
              </w:rPr>
            </w:pPr>
          </w:p>
        </w:tc>
        <w:tc>
          <w:tcPr>
            <w:tcW w:w="114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建筑业</w:t>
            </w:r>
          </w:p>
        </w:tc>
        <w:tc>
          <w:tcPr>
            <w:tcW w:w="1191" w:type="dxa"/>
            <w:tcBorders>
              <w:top w:val="nil"/>
              <w:left w:val="nil"/>
              <w:bottom w:val="single" w:color="auto" w:sz="8" w:space="0"/>
              <w:right w:val="single" w:color="auto" w:sz="8" w:space="0"/>
            </w:tcBorders>
            <w:shd w:val="clear" w:color="auto" w:fill="auto"/>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L123</w:t>
            </w: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特、一、二级资质建筑业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shd w:val="clear" w:color="auto" w:fill="auto"/>
            <w:vAlign w:val="center"/>
          </w:tcPr>
          <w:p>
            <w:pPr>
              <w:widowControl/>
              <w:jc w:val="center"/>
              <w:rPr>
                <w:rFonts w:hint="eastAsia" w:ascii="宋体" w:hAnsi="宋体" w:eastAsia="宋体" w:cs="宋体"/>
                <w:color w:val="auto"/>
                <w:kern w:val="0"/>
                <w:sz w:val="22"/>
              </w:rPr>
            </w:pPr>
          </w:p>
        </w:tc>
        <w:tc>
          <w:tcPr>
            <w:tcW w:w="114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商业</w:t>
            </w:r>
          </w:p>
        </w:tc>
        <w:tc>
          <w:tcPr>
            <w:tcW w:w="1191" w:type="dxa"/>
            <w:vMerge w:val="restart"/>
            <w:tcBorders>
              <w:top w:val="nil"/>
              <w:left w:val="single" w:color="auto" w:sz="8" w:space="0"/>
              <w:bottom w:val="single" w:color="auto" w:sz="8" w:space="0"/>
              <w:right w:val="single" w:color="auto" w:sz="8" w:space="0"/>
            </w:tcBorders>
            <w:shd w:val="clear" w:color="auto" w:fill="auto"/>
          </w:tcPr>
          <w:p>
            <w:pPr>
              <w:widowControl/>
              <w:jc w:val="left"/>
              <w:rPr>
                <w:rFonts w:ascii="宋体" w:hAnsi="宋体" w:eastAsia="宋体" w:cs="宋体"/>
                <w:color w:val="auto"/>
                <w:kern w:val="0"/>
                <w:sz w:val="22"/>
              </w:rPr>
            </w:pPr>
          </w:p>
          <w:p>
            <w:pPr>
              <w:widowControl/>
              <w:jc w:val="left"/>
              <w:rPr>
                <w:rFonts w:ascii="宋体" w:hAnsi="宋体" w:eastAsia="宋体" w:cs="宋体"/>
                <w:color w:val="auto"/>
                <w:kern w:val="0"/>
                <w:sz w:val="22"/>
              </w:rPr>
            </w:pPr>
          </w:p>
          <w:p>
            <w:pPr>
              <w:widowControl/>
              <w:jc w:val="left"/>
              <w:rPr>
                <w:rFonts w:ascii="宋体" w:hAnsi="宋体" w:eastAsia="宋体" w:cs="宋体"/>
                <w:color w:val="auto"/>
                <w:kern w:val="0"/>
                <w:sz w:val="22"/>
              </w:rPr>
            </w:pPr>
          </w:p>
          <w:p>
            <w:pPr>
              <w:widowControl/>
              <w:jc w:val="left"/>
              <w:rPr>
                <w:rFonts w:ascii="宋体" w:hAnsi="宋体" w:eastAsia="宋体" w:cs="宋体"/>
                <w:color w:val="auto"/>
                <w:kern w:val="0"/>
                <w:sz w:val="22"/>
              </w:rPr>
            </w:pPr>
            <w:r>
              <w:rPr>
                <w:rFonts w:hint="eastAsia" w:ascii="宋体" w:hAnsi="宋体" w:eastAsia="宋体" w:cs="宋体"/>
                <w:color w:val="auto"/>
                <w:kern w:val="0"/>
                <w:sz w:val="22"/>
              </w:rPr>
              <w:t>L125</w:t>
            </w: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批发业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shd w:val="clear" w:color="auto" w:fill="auto"/>
            <w:vAlign w:val="center"/>
          </w:tcPr>
          <w:p>
            <w:pPr>
              <w:widowControl/>
              <w:jc w:val="center"/>
              <w:rPr>
                <w:rFonts w:hint="eastAsia" w:ascii="宋体" w:hAnsi="宋体" w:eastAsia="宋体" w:cs="宋体"/>
                <w:color w:val="auto"/>
                <w:kern w:val="0"/>
                <w:sz w:val="22"/>
              </w:rPr>
            </w:pPr>
          </w:p>
        </w:tc>
        <w:tc>
          <w:tcPr>
            <w:tcW w:w="1149"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auto"/>
                <w:kern w:val="0"/>
                <w:sz w:val="22"/>
              </w:rPr>
            </w:pPr>
            <w:r>
              <w:rPr>
                <w:rFonts w:hint="eastAsia" w:ascii="宋体" w:hAnsi="宋体" w:eastAsia="宋体" w:cs="宋体"/>
                <w:color w:val="auto"/>
                <w:kern w:val="0"/>
                <w:sz w:val="22"/>
              </w:rPr>
              <w:t>服务业  (规上)</w:t>
            </w: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交通运输、仓储和邮政业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信息传输、软件和信息技术服务业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租赁和商务服务业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科学研究和技术服务业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right w:val="single" w:color="auto" w:sz="8" w:space="0"/>
            </w:tcBorders>
            <w:vAlign w:val="center"/>
          </w:tcPr>
          <w:p>
            <w:pPr>
              <w:widowControl/>
              <w:jc w:val="left"/>
              <w:rPr>
                <w:rFonts w:ascii="宋体" w:hAnsi="宋体" w:eastAsia="宋体" w:cs="宋体"/>
                <w:color w:val="auto"/>
                <w:kern w:val="0"/>
                <w:sz w:val="22"/>
              </w:rPr>
            </w:pPr>
          </w:p>
        </w:tc>
        <w:tc>
          <w:tcPr>
            <w:tcW w:w="1149" w:type="dxa"/>
            <w:vMerge w:val="continue"/>
            <w:tcBorders>
              <w:top w:val="nil"/>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1191" w:type="dxa"/>
            <w:vMerge w:val="continue"/>
            <w:tcBorders>
              <w:top w:val="nil"/>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p>
        </w:tc>
        <w:tc>
          <w:tcPr>
            <w:tcW w:w="4280" w:type="dxa"/>
            <w:tcBorders>
              <w:top w:val="nil"/>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水利、环境和公共设施管理业</w:t>
            </w:r>
          </w:p>
        </w:tc>
      </w:tr>
      <w:tr>
        <w:tblPrEx>
          <w:tblLayout w:type="fixed"/>
          <w:tblCellMar>
            <w:top w:w="0" w:type="dxa"/>
            <w:left w:w="108" w:type="dxa"/>
            <w:bottom w:w="0" w:type="dxa"/>
            <w:right w:w="108" w:type="dxa"/>
          </w:tblCellMar>
        </w:tblPrEx>
        <w:trPr>
          <w:trHeight w:val="285" w:hRule="atLeast"/>
          <w:jc w:val="center"/>
        </w:trPr>
        <w:tc>
          <w:tcPr>
            <w:tcW w:w="1149" w:type="dxa"/>
            <w:vMerge w:val="continue"/>
            <w:tcBorders>
              <w:left w:val="nil"/>
              <w:bottom w:val="single" w:color="auto" w:sz="8" w:space="0"/>
              <w:right w:val="single" w:color="auto" w:sz="8" w:space="0"/>
            </w:tcBorders>
            <w:vAlign w:val="center"/>
          </w:tcPr>
          <w:p>
            <w:pPr>
              <w:widowControl/>
              <w:jc w:val="left"/>
              <w:rPr>
                <w:rFonts w:hint="eastAsia" w:ascii="宋体" w:hAnsi="宋体" w:eastAsia="宋体" w:cs="宋体"/>
                <w:color w:val="auto"/>
                <w:kern w:val="0"/>
                <w:sz w:val="22"/>
              </w:rPr>
            </w:pPr>
          </w:p>
        </w:tc>
        <w:tc>
          <w:tcPr>
            <w:tcW w:w="1149" w:type="dxa"/>
            <w:tcBorders>
              <w:top w:val="single" w:color="auto" w:sz="8" w:space="0"/>
              <w:left w:val="nil"/>
              <w:bottom w:val="single" w:color="auto" w:sz="8" w:space="0"/>
              <w:right w:val="single" w:color="auto" w:sz="8" w:space="0"/>
            </w:tcBorders>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以上行业</w:t>
            </w:r>
          </w:p>
        </w:tc>
        <w:tc>
          <w:tcPr>
            <w:tcW w:w="1191"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L122</w:t>
            </w:r>
          </w:p>
        </w:tc>
        <w:tc>
          <w:tcPr>
            <w:tcW w:w="4280" w:type="dxa"/>
            <w:tcBorders>
              <w:top w:val="single" w:color="auto" w:sz="8" w:space="0"/>
              <w:left w:val="nil"/>
              <w:bottom w:val="single" w:color="auto" w:sz="8" w:space="0"/>
              <w:right w:val="nil"/>
            </w:tcBorders>
            <w:shd w:val="clear" w:color="auto" w:fill="auto"/>
            <w:vAlign w:val="center"/>
          </w:tcPr>
          <w:p>
            <w:pPr>
              <w:widowControl/>
              <w:jc w:val="left"/>
              <w:rPr>
                <w:rFonts w:ascii="宋体" w:hAnsi="宋体" w:eastAsia="宋体" w:cs="宋体"/>
                <w:color w:val="auto"/>
                <w:kern w:val="0"/>
                <w:sz w:val="22"/>
              </w:rPr>
            </w:pPr>
            <w:r>
              <w:rPr>
                <w:rFonts w:hint="eastAsia" w:ascii="宋体" w:hAnsi="宋体" w:eastAsia="宋体" w:cs="宋体"/>
                <w:color w:val="auto"/>
                <w:kern w:val="0"/>
                <w:sz w:val="22"/>
              </w:rPr>
              <w:t>创新调查企业</w:t>
            </w:r>
            <w:r>
              <w:rPr>
                <w:rFonts w:hint="eastAsia" w:ascii="宋体" w:hAnsi="宋体" w:eastAsia="宋体" w:cs="宋体"/>
                <w:color w:val="auto"/>
                <w:kern w:val="0"/>
                <w:sz w:val="22"/>
                <w:lang w:eastAsia="zh-CN"/>
              </w:rPr>
              <w:t>家问卷（抽样调查）</w:t>
            </w:r>
          </w:p>
        </w:tc>
      </w:tr>
    </w:tbl>
    <w:p>
      <w:pPr>
        <w:ind w:firstLine="551" w:firstLineChars="196"/>
        <w:rPr>
          <w:rFonts w:asciiTheme="minorEastAsia" w:hAnsiTheme="minorEastAsia"/>
          <w:b/>
          <w:bCs/>
          <w:color w:val="auto"/>
          <w:sz w:val="28"/>
          <w:szCs w:val="28"/>
        </w:rPr>
      </w:pPr>
      <w:r>
        <w:rPr>
          <w:rFonts w:hint="eastAsia" w:asciiTheme="minorEastAsia" w:hAnsiTheme="minorEastAsia"/>
          <w:b/>
          <w:bCs/>
          <w:color w:val="auto"/>
          <w:sz w:val="28"/>
          <w:szCs w:val="28"/>
        </w:rPr>
        <w:t>二、填报顺序如下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1、《研发统计报表》(</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07-1和</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07-2表)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2</w:t>
      </w:r>
      <w:r>
        <w:rPr>
          <w:rFonts w:hint="eastAsia" w:asciiTheme="minorEastAsia" w:hAnsiTheme="minorEastAsia"/>
          <w:bCs/>
          <w:color w:val="auto"/>
          <w:sz w:val="28"/>
          <w:szCs w:val="28"/>
        </w:rPr>
        <w:t>、</w:t>
      </w:r>
      <w:r>
        <w:rPr>
          <w:rFonts w:hint="eastAsia" w:asciiTheme="minorEastAsia" w:hAnsiTheme="minorEastAsia"/>
          <w:color w:val="auto"/>
          <w:sz w:val="28"/>
          <w:szCs w:val="28"/>
        </w:rPr>
        <w:t>《企业创新情况表》(L121或L123或L125表)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3</w:t>
      </w:r>
      <w:r>
        <w:rPr>
          <w:rFonts w:hint="eastAsia" w:asciiTheme="minorEastAsia" w:hAnsiTheme="minorEastAsia"/>
          <w:bCs/>
          <w:color w:val="auto"/>
          <w:sz w:val="28"/>
          <w:szCs w:val="28"/>
        </w:rPr>
        <w:t>、</w:t>
      </w:r>
      <w:r>
        <w:rPr>
          <w:rFonts w:hint="eastAsia" w:asciiTheme="minorEastAsia" w:hAnsiTheme="minorEastAsia"/>
          <w:color w:val="auto"/>
          <w:sz w:val="28"/>
          <w:szCs w:val="28"/>
        </w:rPr>
        <w:t>《创新调查企业家问卷》(L122表)</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Theme="minorEastAsia" w:hAnsiTheme="minorEastAsia"/>
          <w:b/>
          <w:bCs/>
          <w:color w:val="auto"/>
          <w:sz w:val="28"/>
          <w:szCs w:val="28"/>
          <w:lang w:eastAsia="zh-CN"/>
        </w:rPr>
      </w:pPr>
      <w:r>
        <w:rPr>
          <w:rFonts w:hint="eastAsia" w:asciiTheme="minorEastAsia" w:hAnsiTheme="minorEastAsia"/>
          <w:b/>
          <w:bCs/>
          <w:color w:val="auto"/>
          <w:sz w:val="28"/>
          <w:szCs w:val="28"/>
          <w:lang w:eastAsia="zh-CN"/>
        </w:rPr>
        <w:t>三、重点指标</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asciiTheme="minorEastAsia" w:hAnsiTheme="minorEastAsia"/>
          <w:b/>
          <w:bCs/>
          <w:color w:val="auto"/>
          <w:sz w:val="28"/>
          <w:szCs w:val="28"/>
          <w:lang w:eastAsia="zh-CN"/>
        </w:rPr>
      </w:pPr>
      <w:r>
        <w:rPr>
          <w:rFonts w:hint="eastAsia" w:asciiTheme="minorEastAsia" w:hAnsiTheme="minorEastAsia"/>
          <w:b/>
          <w:bCs/>
          <w:color w:val="auto"/>
          <w:sz w:val="28"/>
          <w:szCs w:val="28"/>
          <w:lang w:eastAsia="zh-CN"/>
        </w:rPr>
        <w:t>（一）核心指标</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1、产品创新</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1</w:t>
      </w: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企业推出了全新的或有重大改进的产品</w:t>
      </w:r>
    </w:p>
    <w:p>
      <w:pPr>
        <w:pStyle w:val="8"/>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新产品的“新”要体现在产品的功能或特性上，包括在技术规范、材料、组件、用户友好性等方面有重大改进的产品。</w:t>
      </w:r>
    </w:p>
    <w:p>
      <w:pPr>
        <w:pStyle w:val="8"/>
        <w:keepNext w:val="0"/>
        <w:keepLines w:val="0"/>
        <w:pageBreakBefore w:val="0"/>
        <w:widowControl w:val="0"/>
        <w:numPr>
          <w:ilvl w:val="0"/>
          <w:numId w:val="1"/>
        </w:numPr>
        <w:kinsoku/>
        <w:wordWrap/>
        <w:overflowPunct/>
        <w:topLinePunct w:val="0"/>
        <w:autoSpaceDE/>
        <w:autoSpaceDN/>
        <w:bidi w:val="0"/>
        <w:adjustRightInd/>
        <w:snapToGrid/>
        <w:ind w:left="0" w:leftChars="0" w:firstLine="560" w:firstLineChars="200"/>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不包括仅有外观变化或其他微小改变的产品，也不包括直接转销的产品。</w:t>
      </w:r>
    </w:p>
    <w:p>
      <w:pPr>
        <w:pStyle w:val="8"/>
        <w:keepNext w:val="0"/>
        <w:keepLines w:val="0"/>
        <w:pageBreakBefore w:val="0"/>
        <w:widowControl w:val="0"/>
        <w:numPr>
          <w:ilvl w:val="0"/>
          <w:numId w:val="2"/>
        </w:numPr>
        <w:kinsoku/>
        <w:wordWrap/>
        <w:overflowPunct/>
        <w:topLinePunct w:val="0"/>
        <w:autoSpaceDE/>
        <w:autoSpaceDN/>
        <w:bidi w:val="0"/>
        <w:adjustRightInd/>
        <w:snapToGrid/>
        <w:ind w:firstLine="560" w:firstLineChars="200"/>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成功推向市场是产品创新实现的必要条件</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推向市场可能有多种方式，并不意味着一定要在自由竞争市场上出现。</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推向市场也不要求一定要形成交易，即使销售失败也可算作成功推向市场。</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作为技术储备未推向市场的新产品原型可算作创新活动，但暂不算作实现产品创新。</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2、工艺/流程创新</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（1）企业采用了全新的或有重大改进的生产/施工方法、工艺设备或辅助性活动</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工艺创新的“新”要体现在技术、设备、流程或软件上。</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辅助性活动指企业的采购、物流、财务、信息化等活动。</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不包括单纯的组织管理方式的变化。</w:t>
      </w:r>
    </w:p>
    <w:p>
      <w:pPr>
        <w:pStyle w:val="8"/>
        <w:keepNext w:val="0"/>
        <w:keepLines w:val="0"/>
        <w:pageBreakBefore w:val="0"/>
        <w:widowControl w:val="0"/>
        <w:numPr>
          <w:ilvl w:val="0"/>
          <w:numId w:val="3"/>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工艺（流程）创新的主要目的是提高服务质量或降低单位成本。</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（2）信息化（仅工业和建筑业）</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自动化</w:t>
      </w: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网络化</w:t>
      </w: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在线协同</w:t>
      </w: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智能化</w:t>
      </w:r>
      <w:r>
        <w:rPr>
          <w:rFonts w:hint="eastAsia" w:asciiTheme="minorEastAsia" w:hAnsiTheme="minorEastAsia"/>
          <w:b w:val="0"/>
          <w:bCs w:val="0"/>
          <w:color w:val="auto"/>
          <w:sz w:val="28"/>
          <w:szCs w:val="28"/>
          <w:lang w:val="en-US" w:eastAsia="zh-CN"/>
        </w:rPr>
        <w:t>、</w:t>
      </w:r>
      <w:r>
        <w:rPr>
          <w:rFonts w:hint="default" w:asciiTheme="minorEastAsia" w:hAnsiTheme="minorEastAsia"/>
          <w:b w:val="0"/>
          <w:bCs w:val="0"/>
          <w:color w:val="auto"/>
          <w:sz w:val="28"/>
          <w:szCs w:val="28"/>
          <w:lang w:val="en-US" w:eastAsia="zh-CN"/>
        </w:rPr>
        <w:t>上云用云</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（3）工艺创新贡献的销售收入</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仅建筑业企业</w:t>
      </w:r>
      <w:r>
        <w:rPr>
          <w:rFonts w:hint="eastAsia" w:asciiTheme="minorEastAsia" w:hAnsiTheme="minorEastAsia"/>
          <w:b w:val="0"/>
          <w:bCs w:val="0"/>
          <w:color w:val="auto"/>
          <w:sz w:val="28"/>
          <w:szCs w:val="28"/>
          <w:lang w:val="en-US" w:eastAsia="zh-CN"/>
        </w:rPr>
        <w:t>填报</w:t>
      </w:r>
    </w:p>
    <w:p>
      <w:pPr>
        <w:pStyle w:val="8"/>
        <w:keepNext w:val="0"/>
        <w:keepLines w:val="0"/>
        <w:pageBreakBefore w:val="0"/>
        <w:widowControl w:val="0"/>
        <w:numPr>
          <w:ilvl w:val="0"/>
          <w:numId w:val="4"/>
        </w:numPr>
        <w:kinsoku/>
        <w:wordWrap/>
        <w:overflowPunct/>
        <w:topLinePunct w:val="0"/>
        <w:autoSpaceDE/>
        <w:autoSpaceDN/>
        <w:bidi w:val="0"/>
        <w:adjustRightInd/>
        <w:snapToGrid/>
        <w:ind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非技术创新</w:t>
      </w:r>
    </w:p>
    <w:p>
      <w:pPr>
        <w:pStyle w:val="8"/>
        <w:keepNext w:val="0"/>
        <w:keepLines w:val="0"/>
        <w:pageBreakBefore w:val="0"/>
        <w:widowControl w:val="0"/>
        <w:numPr>
          <w:ilvl w:val="0"/>
          <w:numId w:val="5"/>
        </w:numPr>
        <w:kinsoku/>
        <w:wordWrap/>
        <w:overflowPunct/>
        <w:topLinePunct w:val="0"/>
        <w:autoSpaceDE/>
        <w:autoSpaceDN/>
        <w:bidi w:val="0"/>
        <w:adjustRightInd/>
        <w:snapToGrid/>
        <w:ind w:left="0"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非技术创新</w:t>
      </w:r>
    </w:p>
    <w:p>
      <w:pPr>
        <w:pStyle w:val="8"/>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组织创新：经营模式、组织结构、外部关系等。</w:t>
      </w:r>
    </w:p>
    <w:p>
      <w:pPr>
        <w:pStyle w:val="8"/>
        <w:keepNext w:val="0"/>
        <w:keepLines w:val="0"/>
        <w:pageBreakBefore w:val="0"/>
        <w:widowControl w:val="0"/>
        <w:numPr>
          <w:ilvl w:val="0"/>
          <w:numId w:val="6"/>
        </w:numPr>
        <w:kinsoku/>
        <w:wordWrap/>
        <w:overflowPunct/>
        <w:topLinePunct w:val="0"/>
        <w:autoSpaceDE/>
        <w:autoSpaceDN/>
        <w:bidi w:val="0"/>
        <w:adjustRightInd/>
        <w:snapToGrid/>
        <w:ind w:left="0" w:leftChars="0" w:firstLine="560" w:firstLineChars="200"/>
        <w:jc w:val="both"/>
        <w:textAlignment w:val="auto"/>
        <w:rPr>
          <w:rFonts w:hint="eastAsia" w:asciiTheme="minorEastAsia" w:hAnsiTheme="minorEastAsia"/>
          <w:b w:val="0"/>
          <w:bCs w:val="0"/>
          <w:color w:val="auto"/>
          <w:sz w:val="28"/>
          <w:szCs w:val="28"/>
          <w:lang w:val="en-US" w:eastAsia="zh-CN"/>
        </w:rPr>
      </w:pPr>
      <w:r>
        <w:rPr>
          <w:rFonts w:hint="eastAsia" w:asciiTheme="minorEastAsia" w:hAnsiTheme="minorEastAsia"/>
          <w:b w:val="0"/>
          <w:bCs w:val="0"/>
          <w:color w:val="auto"/>
          <w:sz w:val="28"/>
          <w:szCs w:val="28"/>
          <w:lang w:val="en-US" w:eastAsia="zh-CN"/>
        </w:rPr>
        <w:t>营销创新：外观设计、产品推广、营销渠道、是产品定价等。</w:t>
      </w:r>
    </w:p>
    <w:p>
      <w:pPr>
        <w:pStyle w:val="8"/>
        <w:keepNext w:val="0"/>
        <w:keepLines w:val="0"/>
        <w:pageBreakBefore w:val="0"/>
        <w:widowControl w:val="0"/>
        <w:numPr>
          <w:ilvl w:val="0"/>
          <w:numId w:val="5"/>
        </w:numPr>
        <w:kinsoku/>
        <w:wordWrap/>
        <w:overflowPunct/>
        <w:topLinePunct w:val="0"/>
        <w:autoSpaceDE/>
        <w:autoSpaceDN/>
        <w:bidi w:val="0"/>
        <w:adjustRightInd/>
        <w:snapToGrid/>
        <w:ind w:left="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“首次使用”</w:t>
      </w:r>
    </w:p>
    <w:p>
      <w:pPr>
        <w:pStyle w:val="8"/>
        <w:keepNext w:val="0"/>
        <w:keepLines w:val="0"/>
        <w:pageBreakBefore w:val="0"/>
        <w:widowControl w:val="0"/>
        <w:numPr>
          <w:ilvl w:val="0"/>
          <w:numId w:val="7"/>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组织创新和营销创新等非技术创新的概念中，要在注重对“首次使用”这一概念的强调；</w:t>
      </w:r>
    </w:p>
    <w:p>
      <w:pPr>
        <w:pStyle w:val="8"/>
        <w:keepNext w:val="0"/>
        <w:keepLines w:val="0"/>
        <w:pageBreakBefore w:val="0"/>
        <w:widowControl w:val="0"/>
        <w:numPr>
          <w:ilvl w:val="0"/>
          <w:numId w:val="7"/>
        </w:numPr>
        <w:kinsoku/>
        <w:wordWrap/>
        <w:overflowPunct/>
        <w:topLinePunct w:val="0"/>
        <w:autoSpaceDE/>
        <w:autoSpaceDN/>
        <w:bidi w:val="0"/>
        <w:adjustRightInd/>
        <w:snapToGrid/>
        <w:ind w:left="0" w:leftChars="0" w:firstLine="560" w:firstLineChars="200"/>
        <w:jc w:val="both"/>
        <w:textAlignment w:val="auto"/>
        <w:rPr>
          <w:rFonts w:hint="default" w:asciiTheme="minorEastAsia" w:hAnsiTheme="minorEastAsia"/>
          <w:b w:val="0"/>
          <w:bCs w:val="0"/>
          <w:color w:val="auto"/>
          <w:sz w:val="28"/>
          <w:szCs w:val="28"/>
          <w:lang w:val="en-US" w:eastAsia="zh-CN"/>
        </w:rPr>
      </w:pPr>
      <w:r>
        <w:rPr>
          <w:rFonts w:hint="default" w:asciiTheme="minorEastAsia" w:hAnsiTheme="minorEastAsia"/>
          <w:b w:val="0"/>
          <w:bCs w:val="0"/>
          <w:color w:val="auto"/>
          <w:sz w:val="28"/>
          <w:szCs w:val="28"/>
          <w:lang w:val="en-US" w:eastAsia="zh-CN"/>
        </w:rPr>
        <w:t>对于连续多年有同一类型非技术创新“首次使用”的企业，要进行</w:t>
      </w:r>
      <w:r>
        <w:rPr>
          <w:rFonts w:hint="eastAsia" w:asciiTheme="minorEastAsia" w:hAnsiTheme="minorEastAsia"/>
          <w:b w:val="0"/>
          <w:bCs w:val="0"/>
          <w:color w:val="auto"/>
          <w:sz w:val="28"/>
          <w:szCs w:val="28"/>
          <w:lang w:val="en-US" w:eastAsia="zh-CN"/>
        </w:rPr>
        <w:t>询问</w:t>
      </w:r>
      <w:r>
        <w:rPr>
          <w:rFonts w:hint="default" w:asciiTheme="minorEastAsia" w:hAnsiTheme="minorEastAsia"/>
          <w:b w:val="0"/>
          <w:bCs w:val="0"/>
          <w:color w:val="auto"/>
          <w:sz w:val="28"/>
          <w:szCs w:val="28"/>
          <w:lang w:val="en-US" w:eastAsia="zh-CN"/>
        </w:rPr>
        <w:t>，确定正确理解相关概念内涵。</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asciiTheme="minorEastAsia" w:hAnsiTheme="minorEastAsia"/>
          <w:color w:val="auto"/>
          <w:sz w:val="28"/>
          <w:szCs w:val="28"/>
        </w:rPr>
      </w:pPr>
      <w:r>
        <w:rPr>
          <w:rFonts w:hint="eastAsia" w:asciiTheme="minorEastAsia" w:hAnsiTheme="minorEastAsia"/>
          <w:b/>
          <w:bCs/>
          <w:color w:val="auto"/>
          <w:sz w:val="28"/>
          <w:szCs w:val="28"/>
          <w:lang w:eastAsia="zh-CN"/>
        </w:rPr>
        <w:t>四、</w:t>
      </w:r>
      <w:r>
        <w:rPr>
          <w:rFonts w:hint="eastAsia" w:asciiTheme="minorEastAsia" w:hAnsiTheme="minorEastAsia"/>
          <w:b/>
          <w:bCs/>
          <w:color w:val="auto"/>
          <w:sz w:val="28"/>
          <w:szCs w:val="28"/>
        </w:rPr>
        <w:t>审核要求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1、此项调查报表平台上报前不能出现AB类强制性错误；C类核实性错误在此问卷中一般都为错误，尽量避免；D类可忽略性错误可以存在，但是要求认真查看审核内容后决定是否修改。数据上报期间应每日执行审核，提示企业进行修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2、创新报表与研发表</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07-1和</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 xml:space="preserve">07-2表的联审较多，一般情况下，有研发活动就有创新。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3、如果先填报创新再填报研发会因制度间的矛盾而造成逻辑审核上的错误，在公有审核上会出现“×”，需要在上面点一下。</w:t>
      </w:r>
    </w:p>
    <w:p>
      <w:pPr>
        <w:pStyle w:val="8"/>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asciiTheme="minorEastAsia" w:hAnsiTheme="minorEastAsia"/>
          <w:b/>
          <w:bCs/>
          <w:color w:val="auto"/>
          <w:sz w:val="28"/>
          <w:szCs w:val="28"/>
        </w:rPr>
      </w:pPr>
      <w:r>
        <w:rPr>
          <w:rFonts w:hint="eastAsia" w:asciiTheme="minorEastAsia" w:hAnsiTheme="minorEastAsia"/>
          <w:b/>
          <w:bCs/>
          <w:color w:val="auto"/>
          <w:sz w:val="28"/>
          <w:szCs w:val="28"/>
          <w:lang w:eastAsia="zh-CN"/>
        </w:rPr>
        <w:t>五、</w:t>
      </w:r>
      <w:r>
        <w:rPr>
          <w:rFonts w:hint="eastAsia" w:asciiTheme="minorEastAsia" w:hAnsiTheme="minorEastAsia"/>
          <w:b/>
          <w:bCs/>
          <w:color w:val="auto"/>
          <w:sz w:val="28"/>
          <w:szCs w:val="28"/>
        </w:rPr>
        <w:t>填报注意事项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1、规上企业创新调查在企业上报截止时（202</w:t>
      </w: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 xml:space="preserve">年3月10日24时）。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2、L122表为抽样调查，即从填写了L121或L123或L125的企业中抽取填报，只要平台上布了L122表的企业即为抽中企业，需要填报L122表。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 xml:space="preserve">3、整体原则：一个企业有多种营业活动，应根据全部营业活动的情况填报，只要企业的众多产品或活动中有一项符合创新，即可判断为“是”，即有创新。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rPr>
        <w:t xml:space="preserve">4、法人原则：集团企业中，某项创新是由具有法人资格的集团子公司实现的，则该项创新的有关情况应由子公司填报，母公司不应重复填报相应内容。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lang w:val="en-US" w:eastAsia="zh-CN"/>
        </w:rPr>
        <w:t>5</w:t>
      </w:r>
      <w:r>
        <w:rPr>
          <w:rFonts w:hint="eastAsia" w:asciiTheme="minorEastAsia" w:hAnsiTheme="minorEastAsia"/>
          <w:color w:val="auto"/>
          <w:sz w:val="28"/>
          <w:szCs w:val="28"/>
        </w:rPr>
        <w:t>、L122表中</w:t>
      </w:r>
      <w:r>
        <w:rPr>
          <w:rFonts w:hint="eastAsia" w:asciiTheme="minorEastAsia" w:hAnsiTheme="minorEastAsia"/>
          <w:color w:val="auto"/>
          <w:sz w:val="28"/>
          <w:szCs w:val="28"/>
          <w:lang w:eastAsia="zh-CN"/>
        </w:rPr>
        <w:t>答题</w:t>
      </w:r>
      <w:r>
        <w:rPr>
          <w:rFonts w:hint="eastAsia" w:asciiTheme="minorEastAsia" w:hAnsiTheme="minorEastAsia"/>
          <w:color w:val="auto"/>
          <w:sz w:val="28"/>
          <w:szCs w:val="28"/>
        </w:rPr>
        <w:t>人应为企业负责人，即使是统计人员填报，也要以企业负责人的实际情况填写企业家问卷中企业家的基本信息。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color w:val="auto"/>
          <w:sz w:val="28"/>
          <w:szCs w:val="28"/>
        </w:rPr>
      </w:pPr>
      <w:r>
        <w:rPr>
          <w:rFonts w:hint="eastAsia" w:asciiTheme="minorEastAsia" w:hAnsiTheme="minorEastAsia"/>
          <w:color w:val="auto"/>
          <w:sz w:val="28"/>
          <w:szCs w:val="28"/>
          <w:lang w:val="en-US" w:eastAsia="zh-CN"/>
        </w:rPr>
        <w:t>6</w:t>
      </w:r>
      <w:r>
        <w:rPr>
          <w:rFonts w:hint="eastAsia" w:asciiTheme="minorEastAsia" w:hAnsiTheme="minorEastAsia"/>
          <w:color w:val="auto"/>
          <w:sz w:val="28"/>
          <w:szCs w:val="28"/>
        </w:rPr>
        <w:t>、报表不能漏填,注意报表填写顺序及认真阅读问卷中每一道题目要求，认真看审核提示。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书宋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DE1955"/>
    <w:multiLevelType w:val="singleLevel"/>
    <w:tmpl w:val="A3DE1955"/>
    <w:lvl w:ilvl="0" w:tentative="0">
      <w:start w:val="1"/>
      <w:numFmt w:val="bullet"/>
      <w:lvlText w:val=""/>
      <w:lvlJc w:val="left"/>
      <w:pPr>
        <w:ind w:left="420" w:hanging="420"/>
      </w:pPr>
      <w:rPr>
        <w:rFonts w:hint="default" w:ascii="Wingdings" w:hAnsi="Wingdings"/>
      </w:rPr>
    </w:lvl>
  </w:abstractNum>
  <w:abstractNum w:abstractNumId="1">
    <w:nsid w:val="BD5EF486"/>
    <w:multiLevelType w:val="singleLevel"/>
    <w:tmpl w:val="BD5EF486"/>
    <w:lvl w:ilvl="0" w:tentative="0">
      <w:start w:val="1"/>
      <w:numFmt w:val="bullet"/>
      <w:lvlText w:val=""/>
      <w:lvlJc w:val="left"/>
      <w:pPr>
        <w:ind w:left="420" w:hanging="420"/>
      </w:pPr>
      <w:rPr>
        <w:rFonts w:hint="default" w:ascii="Wingdings" w:hAnsi="Wingdings"/>
      </w:rPr>
    </w:lvl>
  </w:abstractNum>
  <w:abstractNum w:abstractNumId="2">
    <w:nsid w:val="EACCA617"/>
    <w:multiLevelType w:val="singleLevel"/>
    <w:tmpl w:val="EACCA617"/>
    <w:lvl w:ilvl="0" w:tentative="0">
      <w:start w:val="2"/>
      <w:numFmt w:val="decimal"/>
      <w:suff w:val="nothing"/>
      <w:lvlText w:val="（%1）"/>
      <w:lvlJc w:val="left"/>
    </w:lvl>
  </w:abstractNum>
  <w:abstractNum w:abstractNumId="3">
    <w:nsid w:val="F2FF066D"/>
    <w:multiLevelType w:val="singleLevel"/>
    <w:tmpl w:val="F2FF066D"/>
    <w:lvl w:ilvl="0" w:tentative="0">
      <w:start w:val="1"/>
      <w:numFmt w:val="bullet"/>
      <w:lvlText w:val=""/>
      <w:lvlJc w:val="left"/>
      <w:pPr>
        <w:ind w:left="420" w:hanging="420"/>
      </w:pPr>
      <w:rPr>
        <w:rFonts w:hint="default" w:ascii="Wingdings" w:hAnsi="Wingdings"/>
      </w:rPr>
    </w:lvl>
  </w:abstractNum>
  <w:abstractNum w:abstractNumId="4">
    <w:nsid w:val="FEDEDE0C"/>
    <w:multiLevelType w:val="singleLevel"/>
    <w:tmpl w:val="FEDEDE0C"/>
    <w:lvl w:ilvl="0" w:tentative="0">
      <w:start w:val="1"/>
      <w:numFmt w:val="decimal"/>
      <w:suff w:val="nothing"/>
      <w:lvlText w:val="（%1）"/>
      <w:lvlJc w:val="left"/>
    </w:lvl>
  </w:abstractNum>
  <w:abstractNum w:abstractNumId="5">
    <w:nsid w:val="FF7625FB"/>
    <w:multiLevelType w:val="singleLevel"/>
    <w:tmpl w:val="FF7625FB"/>
    <w:lvl w:ilvl="0" w:tentative="0">
      <w:start w:val="3"/>
      <w:numFmt w:val="decimal"/>
      <w:suff w:val="nothing"/>
      <w:lvlText w:val="%1、"/>
      <w:lvlJc w:val="left"/>
    </w:lvl>
  </w:abstractNum>
  <w:abstractNum w:abstractNumId="6">
    <w:nsid w:val="FFFFEA65"/>
    <w:multiLevelType w:val="singleLevel"/>
    <w:tmpl w:val="FFFFEA65"/>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CA7"/>
    <w:rsid w:val="000A5CB8"/>
    <w:rsid w:val="000B12AF"/>
    <w:rsid w:val="001F1A1D"/>
    <w:rsid w:val="002471BE"/>
    <w:rsid w:val="00273047"/>
    <w:rsid w:val="002C4CF6"/>
    <w:rsid w:val="002F428A"/>
    <w:rsid w:val="003065AE"/>
    <w:rsid w:val="00334125"/>
    <w:rsid w:val="003364DA"/>
    <w:rsid w:val="003A1AE2"/>
    <w:rsid w:val="003C545E"/>
    <w:rsid w:val="003D068B"/>
    <w:rsid w:val="003D174F"/>
    <w:rsid w:val="004058CE"/>
    <w:rsid w:val="00416998"/>
    <w:rsid w:val="0043666C"/>
    <w:rsid w:val="004374DA"/>
    <w:rsid w:val="00441020"/>
    <w:rsid w:val="00493CA7"/>
    <w:rsid w:val="004A6B70"/>
    <w:rsid w:val="004C7F94"/>
    <w:rsid w:val="005434E7"/>
    <w:rsid w:val="005D5ECA"/>
    <w:rsid w:val="006153D5"/>
    <w:rsid w:val="006651EE"/>
    <w:rsid w:val="006779CF"/>
    <w:rsid w:val="006E06F7"/>
    <w:rsid w:val="007668AF"/>
    <w:rsid w:val="007927D4"/>
    <w:rsid w:val="007A2107"/>
    <w:rsid w:val="008142D9"/>
    <w:rsid w:val="00846577"/>
    <w:rsid w:val="008C257B"/>
    <w:rsid w:val="00906093"/>
    <w:rsid w:val="00975D30"/>
    <w:rsid w:val="009F7756"/>
    <w:rsid w:val="00A35CA8"/>
    <w:rsid w:val="00A77397"/>
    <w:rsid w:val="00AB58CB"/>
    <w:rsid w:val="00B75638"/>
    <w:rsid w:val="00BB4084"/>
    <w:rsid w:val="00C24F9A"/>
    <w:rsid w:val="00C72610"/>
    <w:rsid w:val="00D8474A"/>
    <w:rsid w:val="00DD4DE5"/>
    <w:rsid w:val="00E14543"/>
    <w:rsid w:val="00E20CB5"/>
    <w:rsid w:val="00E531CC"/>
    <w:rsid w:val="00E754C7"/>
    <w:rsid w:val="00EE434C"/>
    <w:rsid w:val="00FA36BB"/>
    <w:rsid w:val="00FC4C69"/>
    <w:rsid w:val="15D63D44"/>
    <w:rsid w:val="4C0A203C"/>
    <w:rsid w:val="6FDD8E3F"/>
    <w:rsid w:val="79FF8EA3"/>
    <w:rsid w:val="7BDF54FF"/>
    <w:rsid w:val="7F1A4843"/>
    <w:rsid w:val="9D971F6B"/>
    <w:rsid w:val="AF9F4660"/>
    <w:rsid w:val="DDD82F72"/>
    <w:rsid w:val="DE77F08B"/>
    <w:rsid w:val="F57D12DA"/>
    <w:rsid w:val="F7B7D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155</Words>
  <Characters>889</Characters>
  <Lines>7</Lines>
  <Paragraphs>2</Paragraphs>
  <ScaleCrop>false</ScaleCrop>
  <LinksUpToDate>false</LinksUpToDate>
  <CharactersWithSpaces>1042</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2019-12-19T18:29:00Z</dcterms:created>
  <dc:creator>孙盛楠</dc:creator>
  <cp:lastModifiedBy>黄伟</cp:lastModifiedBy>
  <dcterms:modified xsi:type="dcterms:W3CDTF">2024-12-17T08:49:59Z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