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项目支出绩效评价报告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eastAsia="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项目名称：党群服务中心运行经费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项目单位：北京市朝阳区来广营乡人民政府（以下简称来广营乡政府）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项目背景</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本项目旨在</w:t>
      </w:r>
      <w:r>
        <w:rPr>
          <w:rFonts w:hint="default" w:ascii="Times New Roman" w:hAnsi="Times New Roman" w:eastAsia="仿宋_GB2312" w:cs="Times New Roman"/>
          <w:sz w:val="32"/>
          <w:szCs w:val="32"/>
          <w:lang w:val="en-US" w:eastAsia="zh-CN"/>
        </w:rPr>
        <w:t>贯彻落实《关于深化城市基层党建引领基层治理的若干措施（试行）》（中组发〔2022〕2号）、《关于加强全市党群服务中心建设管理使用的意见》（京组通〔2022〕22号）</w:t>
      </w:r>
      <w:r>
        <w:rPr>
          <w:rFonts w:hint="eastAsia" w:eastAsia="仿宋_GB2312" w:cs="Times New Roman"/>
          <w:sz w:val="32"/>
          <w:szCs w:val="32"/>
          <w:lang w:val="en-US" w:eastAsia="zh-CN"/>
        </w:rPr>
        <w:t>，加强党群服务中心体系功能建设，提升城市基层党建工作质量，扩大党组织覆盖，增强党群服务中心的服务功能。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主要内容</w:t>
      </w:r>
      <w:r>
        <w:rPr>
          <w:rFonts w:hint="eastAsia" w:eastAsia="仿宋_GB2312" w:cs="Times New Roman"/>
          <w:sz w:val="32"/>
          <w:szCs w:val="32"/>
          <w:lang w:eastAsia="zh-CN"/>
        </w:rPr>
        <w:t>：</w:t>
      </w:r>
      <w:r>
        <w:rPr>
          <w:rFonts w:hint="eastAsia" w:eastAsia="仿宋_GB2312" w:cs="Times New Roman"/>
          <w:sz w:val="32"/>
          <w:szCs w:val="32"/>
          <w:lang w:val="en-US" w:eastAsia="zh-CN"/>
        </w:rPr>
        <w:t>项目围绕提升党群服务中心的服务效能，开展了一系列活动，包括青年交友、节日聚会、红歌快闪等，旨在团结和吸引不同群体，特别是新的社会阶层人士，提高党建工作的吸引力和影响力，加强了党与工青妇群团组织、社区居民党员、地区两新党组织、企业员工及新就业群体的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实施情况、资金投入和使用情况</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outlineLvl w:val="0"/>
        <w:rPr>
          <w:rFonts w:ascii="仿宋_GB2312" w:hAnsi="仿宋_GB2312" w:eastAsia="仿宋_GB2312" w:cs="仿宋_GB2312"/>
          <w:sz w:val="32"/>
          <w:szCs w:val="32"/>
        </w:rPr>
      </w:pPr>
      <w:r>
        <w:rPr>
          <w:rFonts w:hint="eastAsia" w:eastAsia="仿宋_GB2312" w:cs="Times New Roman"/>
          <w:sz w:val="32"/>
          <w:szCs w:val="32"/>
          <w:lang w:val="en-US" w:eastAsia="zh-CN"/>
        </w:rPr>
        <w:t>按照《关于加强全区党群服务中心建设管理使用的实施意见》文件要求，对于区委组织部认定的党群服务中心，</w:t>
      </w:r>
      <w:r>
        <w:rPr>
          <w:rFonts w:hint="default" w:ascii="Times New Roman" w:hAnsi="Times New Roman" w:eastAsia="仿宋_GB2312" w:cs="Times New Roman"/>
          <w:sz w:val="32"/>
          <w:szCs w:val="32"/>
          <w:lang w:val="en-US" w:eastAsia="zh-CN"/>
        </w:rPr>
        <w:t>由区财政局按照每年20万元的标准保障运行经费</w:t>
      </w:r>
      <w:r>
        <w:rPr>
          <w:rFonts w:hint="eastAsia" w:eastAsia="仿宋_GB2312" w:cs="Times New Roman"/>
          <w:sz w:val="32"/>
          <w:szCs w:val="32"/>
          <w:lang w:val="en-US" w:eastAsia="zh-CN"/>
        </w:rPr>
        <w:t>。此项</w:t>
      </w:r>
      <w:r>
        <w:rPr>
          <w:rFonts w:hint="eastAsia" w:ascii="Times New Roman" w:hAnsi="Times New Roman" w:eastAsia="仿宋_GB2312" w:cs="Times New Roman"/>
          <w:sz w:val="32"/>
          <w:szCs w:val="32"/>
        </w:rPr>
        <w:t>资金使用符合预算安排，确保了各项活动的顺利进行</w:t>
      </w:r>
      <w:r>
        <w:rPr>
          <w:rFonts w:hint="eastAsia" w:eastAsia="仿宋_GB2312" w:cs="Times New Roman"/>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年实际支出金额为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万元，预算完成率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总体目标：2023年全年党群服务中心有序运营，围绕党建相关工作开展各项活动。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阶段性目标：确保各项活动按计划开展，达到预期的社会效应和服务质量。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eastAsia="仿宋_GB2312"/>
          <w:sz w:val="32"/>
          <w:szCs w:val="32"/>
        </w:rPr>
      </w:pPr>
      <w:r>
        <w:rPr>
          <w:rFonts w:hint="eastAsia" w:ascii="仿宋_GB2312" w:eastAsia="仿宋_GB2312"/>
          <w:sz w:val="32"/>
          <w:szCs w:val="32"/>
        </w:rPr>
        <w:t>1.评价目的</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北京市黄埔军校同学会项目支出的绩效管理工作方式。</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 w:eastAsia="仿宋_GB2312"/>
          <w:sz w:val="32"/>
          <w:szCs w:val="32"/>
        </w:rPr>
        <w:t>本次绩效评价的对象</w:t>
      </w:r>
      <w:r>
        <w:rPr>
          <w:rFonts w:hint="eastAsia" w:ascii="仿宋_GB2312" w:hAnsi="仿宋" w:eastAsia="仿宋_GB2312"/>
          <w:sz w:val="32"/>
          <w:szCs w:val="32"/>
          <w:lang w:eastAsia="zh-CN"/>
        </w:rPr>
        <w:t>是“</w:t>
      </w:r>
      <w:r>
        <w:rPr>
          <w:rFonts w:hint="default" w:ascii="Times New Roman" w:hAnsi="Times New Roman" w:eastAsia="仿宋_GB2312" w:cs="Times New Roman"/>
          <w:sz w:val="32"/>
          <w:szCs w:val="32"/>
          <w:lang w:val="en-US" w:eastAsia="zh-CN"/>
        </w:rPr>
        <w:t>党群服务中心运行经费</w:t>
      </w:r>
      <w:r>
        <w:rPr>
          <w:rFonts w:hint="eastAsia" w:eastAsia="仿宋_GB2312" w:cs="Times New Roman"/>
          <w:sz w:val="32"/>
          <w:szCs w:val="32"/>
          <w:lang w:val="en-US" w:eastAsia="zh-CN"/>
        </w:rPr>
        <w:t>”，此项目是首次安排的预算资金，第三季度执行进度为54%。</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楷体_GB2312" w:hAnsi="楷体_GB2312" w:eastAsia="楷体_GB2312" w:cs="楷体_GB2312"/>
          <w:sz w:val="32"/>
          <w:szCs w:val="32"/>
        </w:rPr>
      </w:pPr>
      <w:r>
        <w:rPr>
          <w:rFonts w:hint="eastAsia" w:ascii="仿宋_GB2312" w:hAnsi="仿宋" w:eastAsia="仿宋_GB2312"/>
          <w:sz w:val="32"/>
          <w:szCs w:val="32"/>
        </w:rPr>
        <w:t>本次绩效评价的范围是：绩效目标与工作方案的适应性；财政资金使用情况，财务管理状况；绩效目标的实现程度，包括是否达到预定产出和效果等需要评价的其他内容。</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绩效评价原则、评价指标体系、评价方法、评价标准</w:t>
      </w:r>
    </w:p>
    <w:p>
      <w:pPr>
        <w:keepNext w:val="0"/>
        <w:keepLines w:val="0"/>
        <w:pageBreakBefore w:val="0"/>
        <w:numPr>
          <w:ilvl w:val="0"/>
          <w:numId w:val="6"/>
        </w:numPr>
        <w:kinsoku/>
        <w:wordWrap/>
        <w:overflowPunct/>
        <w:topLinePunct w:val="0"/>
        <w:autoSpaceDE/>
        <w:autoSpaceDN/>
        <w:bidi w:val="0"/>
        <w:adjustRightInd/>
        <w:snapToGrid w:val="0"/>
        <w:spacing w:line="560" w:lineRule="exact"/>
        <w:ind w:right="0" w:rightChars="0"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绩效评价原则</w:t>
      </w:r>
    </w:p>
    <w:p>
      <w:pPr>
        <w:keepNext w:val="0"/>
        <w:keepLines w:val="0"/>
        <w:pageBreakBefore w:val="0"/>
        <w:numPr>
          <w:numId w:val="0"/>
        </w:numPr>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sz w:val="32"/>
          <w:szCs w:val="32"/>
        </w:rPr>
      </w:pPr>
      <w:r>
        <w:rPr>
          <w:rFonts w:hint="eastAsia" w:ascii="仿宋_GB2312" w:hAnsi="仿宋" w:eastAsia="仿宋_GB2312"/>
          <w:sz w:val="32"/>
          <w:szCs w:val="32"/>
        </w:rPr>
        <w:t>科学规范原则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绩效评价严格执行规定的程序，按照科学可行的要求，采用定量与定性分析相结合的方法。</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公正公开原则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绩效评价符合真实、客观、公正的要求，依法公开并接受监督。</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分级分类原则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绩效评价由绩效评价领导小组根据评价对象的特点分类组织实施。</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hAnsi="仿宋" w:eastAsia="仿宋_GB2312"/>
          <w:sz w:val="32"/>
          <w:szCs w:val="32"/>
        </w:rPr>
      </w:pPr>
      <w:r>
        <w:rPr>
          <w:rFonts w:hint="eastAsia" w:ascii="仿宋_GB2312" w:hAnsi="仿宋" w:eastAsia="仿宋_GB2312"/>
          <w:sz w:val="32"/>
          <w:szCs w:val="32"/>
        </w:rPr>
        <w:t>绩效相关原则</w:t>
      </w:r>
      <w:r>
        <w:rPr>
          <w:rFonts w:hint="eastAsia" w:ascii="仿宋_GB2312" w:hAnsi="仿宋" w:eastAsia="仿宋_GB2312"/>
          <w:sz w:val="32"/>
          <w:szCs w:val="32"/>
          <w:lang w:eastAsia="zh-CN"/>
        </w:rPr>
        <w:t>：</w:t>
      </w:r>
      <w:r>
        <w:rPr>
          <w:rFonts w:hint="eastAsia" w:ascii="仿宋_GB2312" w:hAnsi="仿宋" w:eastAsia="仿宋_GB2312"/>
          <w:sz w:val="32"/>
          <w:szCs w:val="32"/>
        </w:rPr>
        <w:t>绩效评价针对具体支出及其产出绩效进行评价，结果清晰反映产出和绩效之间的紧密对应关系。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2.评价指标体系：包括产出指标、质量指标、时效指标、成本指标和社会效益指标。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3.评价方法：采用定量与定性相结合的方法，通过数据分析、现场考察等方式进行。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eastAsia="仿宋_GB2312" w:cs="Times New Roman"/>
          <w:sz w:val="32"/>
          <w:szCs w:val="32"/>
          <w:lang w:val="en-US" w:eastAsia="zh-CN"/>
        </w:rPr>
        <w:t>4.评价标准：依据项目预算、活动效果、参与度、满意度等多方面指标进行综合评定。</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仿宋_GB2312" w:hAnsi="楷体_GB2312" w:eastAsia="仿宋_GB2312" w:cs="楷体_GB2312"/>
          <w:sz w:val="32"/>
          <w:szCs w:val="32"/>
        </w:rPr>
      </w:pPr>
      <w:r>
        <w:rPr>
          <w:rFonts w:hint="eastAsia" w:ascii="仿宋_GB2312" w:hAnsi="仿宋" w:eastAsia="仿宋_GB2312"/>
          <w:sz w:val="32"/>
          <w:szCs w:val="32"/>
        </w:rPr>
        <w:t>成立绩效评价小组，订立评价流程。</w:t>
      </w:r>
      <w:r>
        <w:rPr>
          <w:rFonts w:hint="eastAsia" w:ascii="仿宋_GB2312" w:eastAsia="仿宋_GB2312"/>
          <w:sz w:val="32"/>
          <w:szCs w:val="32"/>
        </w:rPr>
        <w:t>由</w:t>
      </w:r>
      <w:r>
        <w:rPr>
          <w:rFonts w:hint="eastAsia" w:ascii="仿宋_GB2312" w:hAnsi="仿宋" w:eastAsia="仿宋_GB2312"/>
          <w:sz w:val="32"/>
          <w:szCs w:val="32"/>
        </w:rPr>
        <w:t>“</w:t>
      </w:r>
      <w:r>
        <w:rPr>
          <w:rFonts w:hint="default" w:ascii="Times New Roman" w:hAnsi="Times New Roman" w:eastAsia="仿宋_GB2312" w:cs="Times New Roman"/>
          <w:sz w:val="32"/>
          <w:szCs w:val="32"/>
          <w:lang w:val="en-US" w:eastAsia="zh-CN"/>
        </w:rPr>
        <w:t>党群服务中心运行经费</w:t>
      </w:r>
      <w:r>
        <w:rPr>
          <w:rFonts w:hint="eastAsia" w:ascii="仿宋_GB2312" w:hAnsi="仿宋" w:eastAsia="仿宋_GB2312"/>
          <w:sz w:val="32"/>
          <w:szCs w:val="32"/>
        </w:rPr>
        <w:t>”</w:t>
      </w:r>
      <w:r>
        <w:rPr>
          <w:rFonts w:hint="eastAsia" w:ascii="仿宋_GB2312" w:eastAsia="仿宋_GB2312"/>
          <w:sz w:val="32"/>
          <w:szCs w:val="32"/>
        </w:rPr>
        <w:t>的项目负责人</w:t>
      </w:r>
      <w:r>
        <w:rPr>
          <w:rFonts w:hint="eastAsia" w:eastAsia="仿宋_GB2312" w:cs="Times New Roman"/>
          <w:sz w:val="32"/>
          <w:szCs w:val="32"/>
          <w:lang w:val="en-US" w:eastAsia="zh-CN"/>
        </w:rPr>
        <w:t>收集相关数据和信息，</w:t>
      </w:r>
      <w:r>
        <w:rPr>
          <w:rFonts w:hint="eastAsia" w:ascii="仿宋_GB2312" w:eastAsia="仿宋_GB2312"/>
          <w:sz w:val="32"/>
          <w:szCs w:val="32"/>
        </w:rPr>
        <w:t>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w:t>
      </w:r>
      <w:r>
        <w:rPr>
          <w:rFonts w:hint="eastAsia" w:eastAsia="仿宋_GB2312" w:cs="Times New Roman"/>
          <w:sz w:val="32"/>
          <w:szCs w:val="32"/>
          <w:lang w:val="en-US" w:eastAsia="zh-CN"/>
        </w:rPr>
        <w:t>和实际完成情况，</w:t>
      </w:r>
      <w:r>
        <w:rPr>
          <w:rFonts w:hint="eastAsia" w:ascii="仿宋_GB2312" w:eastAsia="仿宋_GB2312"/>
          <w:sz w:val="32"/>
          <w:szCs w:val="32"/>
        </w:rPr>
        <w:t>填写《项目支出绩效自评表》，</w:t>
      </w:r>
      <w:r>
        <w:rPr>
          <w:rFonts w:hint="eastAsia" w:eastAsia="仿宋_GB2312" w:cs="Times New Roman"/>
          <w:sz w:val="32"/>
          <w:szCs w:val="32"/>
          <w:lang w:val="en-US" w:eastAsia="zh-CN"/>
        </w:rPr>
        <w:t>进行综合分析，</w:t>
      </w:r>
      <w:r>
        <w:rPr>
          <w:rFonts w:hint="eastAsia" w:ascii="仿宋_GB2312" w:eastAsia="仿宋_GB2312"/>
          <w:sz w:val="32"/>
          <w:szCs w:val="32"/>
        </w:rPr>
        <w:t>撰写《项目</w:t>
      </w:r>
      <w:r>
        <w:rPr>
          <w:rFonts w:ascii="仿宋_GB2312" w:eastAsia="仿宋_GB2312"/>
          <w:sz w:val="32"/>
          <w:szCs w:val="32"/>
        </w:rPr>
        <w:t>支出</w:t>
      </w:r>
      <w:r>
        <w:rPr>
          <w:rFonts w:hint="eastAsia" w:ascii="仿宋_GB2312" w:eastAsia="仿宋_GB2312"/>
          <w:sz w:val="32"/>
          <w:szCs w:val="32"/>
        </w:rPr>
        <w:t>绩效评价报告》</w:t>
      </w:r>
      <w:r>
        <w:rPr>
          <w:rFonts w:hint="eastAsia" w:eastAsia="仿宋_GB2312" w:cs="Times New Roman"/>
          <w:sz w:val="32"/>
          <w:szCs w:val="32"/>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综合评价情况及评价结论</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仿宋_GB2312" w:hAnsi="黑体" w:eastAsia="仿宋_GB2312" w:cs="宋体"/>
          <w:color w:val="000000"/>
          <w:kern w:val="0"/>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项目实施效果良好，各项活动均达到预期目标，资金使用效率高，社会效益显著。</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经评价，该项目综合得分</w:t>
      </w:r>
      <w:r>
        <w:rPr>
          <w:rFonts w:hint="eastAsia" w:ascii="仿宋_GB2312" w:hAnsi="仿宋" w:eastAsia="仿宋_GB2312"/>
          <w:color w:val="000000" w:themeColor="text1"/>
          <w:sz w:val="32"/>
          <w:szCs w:val="32"/>
          <w:lang w:val="en-US" w:eastAsia="zh-CN"/>
          <w14:textFill>
            <w14:solidFill>
              <w14:schemeClr w14:val="tx1"/>
            </w14:solidFill>
          </w14:textFill>
        </w:rPr>
        <w:t>93</w:t>
      </w:r>
      <w:r>
        <w:rPr>
          <w:rFonts w:hint="eastAsia" w:ascii="仿宋_GB2312" w:hAnsi="仿宋" w:eastAsia="仿宋_GB2312"/>
          <w:sz w:val="32"/>
          <w:szCs w:val="32"/>
        </w:rPr>
        <w:t>分。其中：项目决策评价得分</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分，项目管理评价得分</w:t>
      </w:r>
      <w:r>
        <w:rPr>
          <w:rFonts w:hint="eastAsia" w:ascii="仿宋_GB2312" w:hAnsi="仿宋" w:eastAsia="仿宋_GB2312"/>
          <w:color w:val="000000" w:themeColor="text1"/>
          <w:sz w:val="32"/>
          <w:szCs w:val="32"/>
          <w:lang w:val="en-US" w:eastAsia="zh-CN"/>
          <w14:textFill>
            <w14:solidFill>
              <w14:schemeClr w14:val="tx1"/>
            </w14:solidFill>
          </w14:textFill>
        </w:rPr>
        <w:t>19</w:t>
      </w:r>
      <w:r>
        <w:rPr>
          <w:rFonts w:hint="eastAsia" w:ascii="仿宋_GB2312" w:hAnsi="仿宋" w:eastAsia="仿宋_GB2312"/>
          <w:color w:val="000000" w:themeColor="text1"/>
          <w:sz w:val="32"/>
          <w:szCs w:val="32"/>
          <w14:textFill>
            <w14:solidFill>
              <w14:schemeClr w14:val="tx1"/>
            </w14:solidFill>
          </w14:textFill>
        </w:rPr>
        <w:t>分，项目绩效评价得分</w:t>
      </w: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lang w:val="en-US" w:eastAsia="zh-CN"/>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绩效评价指标分析</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（一）项目决策情况</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bookmarkStart w:id="0" w:name="_Toc462125903"/>
      <w:bookmarkStart w:id="1" w:name="_Toc40971717"/>
      <w:r>
        <w:rPr>
          <w:rFonts w:hint="eastAsia" w:ascii="仿宋_GB2312" w:eastAsia="仿宋_GB2312"/>
          <w:bCs/>
          <w:sz w:val="32"/>
          <w:szCs w:val="32"/>
        </w:rPr>
        <w:t>1.目标明确性分析</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w:t>
      </w:r>
      <w:bookmarkEnd w:id="2"/>
      <w:bookmarkStart w:id="3" w:name="_Toc462125904"/>
      <w:bookmarkStart w:id="4" w:name="_Toc40971719"/>
      <w:r>
        <w:rPr>
          <w:rFonts w:hint="eastAsia" w:eastAsia="仿宋_GB2312" w:cs="Times New Roman"/>
          <w:sz w:val="32"/>
          <w:szCs w:val="32"/>
          <w:lang w:val="en-US" w:eastAsia="zh-CN"/>
        </w:rPr>
        <w:t>符合政策要求和实际需求。</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r>
        <w:rPr>
          <w:rFonts w:hint="eastAsia" w:ascii="仿宋_GB2312" w:eastAsia="仿宋_GB2312"/>
          <w:bCs/>
          <w:sz w:val="32"/>
          <w:szCs w:val="32"/>
        </w:rPr>
        <w:t>2.目标合理性分析</w:t>
      </w:r>
      <w:bookmarkEnd w:id="3"/>
      <w:bookmarkEnd w:id="4"/>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hint="eastAsia" w:eastAsia="仿宋_GB2312" w:cs="Times New Roman"/>
          <w:sz w:val="32"/>
          <w:szCs w:val="32"/>
          <w:lang w:val="en-US" w:eastAsia="zh-CN"/>
        </w:rPr>
      </w:pPr>
      <w:bookmarkStart w:id="5" w:name="_Toc40971720"/>
      <w:r>
        <w:rPr>
          <w:rFonts w:hint="eastAsia" w:ascii="仿宋_GB2312" w:eastAsia="仿宋_GB2312"/>
          <w:bCs/>
          <w:sz w:val="32"/>
          <w:szCs w:val="32"/>
        </w:rPr>
        <w:t>项目目标制定较为合理。</w:t>
      </w:r>
      <w:bookmarkEnd w:id="5"/>
      <w:bookmarkStart w:id="6" w:name="_Toc462125905"/>
      <w:bookmarkStart w:id="7" w:name="_Toc40971721"/>
      <w:r>
        <w:rPr>
          <w:rFonts w:hint="eastAsia" w:eastAsia="仿宋_GB2312" w:cs="Times New Roman"/>
          <w:sz w:val="32"/>
          <w:szCs w:val="32"/>
          <w:lang w:val="en-US" w:eastAsia="zh-CN"/>
        </w:rPr>
        <w:t>各项活动的开展针对不同人群的具体需求和特点，通过深入不同群体交流，了解收集不同需求。</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sz w:val="32"/>
          <w:szCs w:val="32"/>
        </w:rPr>
      </w:pPr>
      <w:r>
        <w:rPr>
          <w:rFonts w:hint="eastAsia" w:ascii="仿宋_GB2312" w:eastAsia="仿宋_GB2312"/>
          <w:bCs/>
          <w:sz w:val="32"/>
          <w:szCs w:val="32"/>
        </w:rPr>
        <w:t>3.目标细化程度分析</w:t>
      </w:r>
      <w:bookmarkEnd w:id="6"/>
      <w:bookmarkEnd w:id="7"/>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（二）项目过程情况</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1.资金使用及管理情况</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年收到财政拨付款项</w:t>
      </w:r>
      <w:r>
        <w:rPr>
          <w:rFonts w:hint="eastAsia" w:ascii="仿宋_GB2312" w:eastAsia="仿宋_GB2312"/>
          <w:bCs/>
          <w:color w:val="000000" w:themeColor="text1"/>
          <w:sz w:val="32"/>
          <w:szCs w:val="32"/>
          <w:lang w:val="en-US" w:eastAsia="zh-CN"/>
          <w14:textFill>
            <w14:solidFill>
              <w14:schemeClr w14:val="tx1"/>
            </w14:solidFill>
          </w14:textFill>
        </w:rPr>
        <w:t>20</w:t>
      </w:r>
      <w:r>
        <w:rPr>
          <w:rFonts w:hint="eastAsia" w:ascii="仿宋_GB2312" w:eastAsia="仿宋_GB2312"/>
          <w:bCs/>
          <w:color w:val="000000" w:themeColor="text1"/>
          <w:sz w:val="32"/>
          <w:szCs w:val="32"/>
          <w14:textFill>
            <w14:solidFill>
              <w14:schemeClr w14:val="tx1"/>
            </w14:solidFill>
          </w14:textFill>
        </w:rPr>
        <w:t>万元，资金已足额到位，项目资金</w:t>
      </w:r>
      <w:r>
        <w:rPr>
          <w:rFonts w:hint="eastAsia" w:ascii="仿宋_GB2312" w:hAnsi="仿宋" w:eastAsia="仿宋_GB2312"/>
          <w:color w:val="000000" w:themeColor="text1"/>
          <w:sz w:val="32"/>
          <w:szCs w:val="32"/>
          <w14:textFill>
            <w14:solidFill>
              <w14:schemeClr w14:val="tx1"/>
            </w14:solidFill>
          </w14:textFill>
        </w:rPr>
        <w:t>按照</w:t>
      </w:r>
      <w:r>
        <w:rPr>
          <w:rFonts w:hint="eastAsia" w:ascii="仿宋_GB2312" w:hAnsi="仿宋" w:eastAsia="仿宋_GB2312"/>
          <w:color w:val="000000" w:themeColor="text1"/>
          <w:sz w:val="32"/>
          <w:szCs w:val="32"/>
          <w:lang w:eastAsia="zh-CN"/>
          <w14:textFill>
            <w14:solidFill>
              <w14:schemeClr w14:val="tx1"/>
            </w14:solidFill>
          </w14:textFill>
        </w:rPr>
        <w:t>专项资金管理办法</w:t>
      </w:r>
      <w:r>
        <w:rPr>
          <w:rFonts w:hint="eastAsia" w:ascii="仿宋_GB2312" w:hAnsi="仿宋" w:eastAsia="仿宋_GB2312"/>
          <w:color w:val="000000" w:themeColor="text1"/>
          <w:sz w:val="32"/>
          <w:szCs w:val="32"/>
          <w14:textFill>
            <w14:solidFill>
              <w14:schemeClr w14:val="tx1"/>
            </w14:solidFill>
          </w14:textFill>
        </w:rPr>
        <w:t>和《财务管理制度》等规定执行，保证了资金的合理有效使用。</w:t>
      </w:r>
    </w:p>
    <w:p>
      <w:pPr>
        <w:keepNext w:val="0"/>
        <w:keepLines w:val="0"/>
        <w:pageBreakBefore w:val="0"/>
        <w:kinsoku/>
        <w:wordWrap/>
        <w:overflowPunct/>
        <w:topLinePunct w:val="0"/>
        <w:autoSpaceDE/>
        <w:autoSpaceDN/>
        <w:bidi w:val="0"/>
        <w:adjustRightInd/>
        <w:snapToGrid w:val="0"/>
        <w:spacing w:line="560" w:lineRule="exact"/>
        <w:ind w:right="0" w:rightChars="0" w:firstLine="640"/>
        <w:rPr>
          <w:rFonts w:ascii="仿宋_GB2312" w:eastAsia="仿宋_GB2312"/>
          <w:color w:val="000000" w:themeColor="text1"/>
          <w:sz w:val="32"/>
          <w:szCs w:val="32"/>
          <w14:textFill>
            <w14:solidFill>
              <w14:schemeClr w14:val="tx1"/>
            </w14:solidFill>
          </w14:textFill>
        </w:rPr>
      </w:pPr>
      <w:bookmarkStart w:id="9" w:name="_Toc462125908"/>
      <w:bookmarkStart w:id="10" w:name="_Toc40971725"/>
      <w:r>
        <w:rPr>
          <w:rFonts w:hint="eastAsia" w:ascii="仿宋_GB2312" w:eastAsia="仿宋_GB2312"/>
          <w:bCs/>
          <w:color w:val="000000" w:themeColor="text1"/>
          <w:sz w:val="32"/>
          <w:szCs w:val="32"/>
          <w14:textFill>
            <w14:solidFill>
              <w14:schemeClr w14:val="tx1"/>
            </w14:solidFill>
          </w14:textFill>
        </w:rPr>
        <w:t>2.项目组织管理情况</w:t>
      </w:r>
      <w:bookmarkEnd w:id="9"/>
      <w:bookmarkEnd w:id="10"/>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该项目在组织管理上，基本上符合财政项目管理规定。</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项目实施情况：</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（1）缘自朝来青春“绿”动军地联谊交友活动经费28810元；</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（2）红歌嘹亮唱神州红歌快闪活动经费79200元；</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（3）浓情相伴在中秋，爱“新”相聚来广营经费4500元；</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（4）党群“新”连心、相聚广达路经费11900元；</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（5）暖“新”服务 以心聚“新”——“两新”聚力社街融合经费27590元；</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（6）缘自朝来 青春“悦”动青年联谊交友活动经费48000元。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（三）项目产出情况</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p>
    <w:p>
      <w:pPr>
        <w:keepNext w:val="0"/>
        <w:keepLines w:val="0"/>
        <w:pageBreakBefore w:val="0"/>
        <w:kinsoku/>
        <w:wordWrap/>
        <w:overflowPunct/>
        <w:topLinePunct w:val="0"/>
        <w:autoSpaceDE/>
        <w:autoSpaceDN/>
        <w:bidi w:val="0"/>
        <w:adjustRightInd/>
        <w:spacing w:line="560" w:lineRule="exact"/>
        <w:ind w:right="0" w:rightChars="0"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ascii="仿宋_GB2312" w:hAnsi="仿宋" w:eastAsia="仿宋_GB2312"/>
          <w:color w:val="000000" w:themeColor="text1"/>
          <w:sz w:val="32"/>
          <w:szCs w:val="32"/>
          <w:lang w:val="en-US" w:eastAsia="zh-CN"/>
          <w14:textFill>
            <w14:solidFill>
              <w14:schemeClr w14:val="tx1"/>
            </w14:solidFill>
          </w14:textFill>
        </w:rPr>
        <w:t>20</w:t>
      </w:r>
      <w:r>
        <w:rPr>
          <w:rFonts w:hint="eastAsia" w:ascii="仿宋_GB2312" w:hAnsi="仿宋" w:eastAsia="仿宋_GB2312"/>
          <w:color w:val="000000" w:themeColor="text1"/>
          <w:sz w:val="32"/>
          <w:szCs w:val="32"/>
          <w14:textFill>
            <w14:solidFill>
              <w14:schemeClr w14:val="tx1"/>
            </w14:solidFill>
          </w14:textFill>
        </w:rPr>
        <w:t>万元，未超预算，经济性较好。</w:t>
      </w:r>
    </w:p>
    <w:p>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bookmarkStart w:id="11"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1"/>
    </w:p>
    <w:p>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月完成。实际于日期202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w:t>
      </w:r>
      <w:r>
        <w:rPr>
          <w:rFonts w:hint="eastAsia" w:ascii="仿宋_GB2312" w:hAnsi="仿宋" w:eastAsia="仿宋_GB2312"/>
          <w:color w:val="000000" w:themeColor="text1"/>
          <w:sz w:val="32"/>
          <w:szCs w:val="32"/>
          <w:lang w:val="en-US" w:eastAsia="zh-CN"/>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月完成。</w:t>
      </w:r>
    </w:p>
    <w:p>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keepNext w:val="0"/>
        <w:keepLines w:val="0"/>
        <w:pageBreakBefore w:val="0"/>
        <w:kinsoku/>
        <w:wordWrap/>
        <w:overflowPunct/>
        <w:topLinePunct w:val="0"/>
        <w:autoSpaceDE/>
        <w:autoSpaceDN/>
        <w:bidi w:val="0"/>
        <w:adjustRightInd/>
        <w:snapToGrid w:val="0"/>
        <w:spacing w:line="560" w:lineRule="exact"/>
        <w:ind w:right="0" w:rightChars="0" w:firstLine="604" w:firstLineChars="189"/>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w:t>
      </w:r>
      <w:r>
        <w:rPr>
          <w:rFonts w:hint="eastAsia" w:ascii="仿宋_GB2312" w:hAnsi="仿宋" w:eastAsia="仿宋_GB2312"/>
          <w:color w:val="000000" w:themeColor="text1"/>
          <w:sz w:val="32"/>
          <w:szCs w:val="32"/>
          <w:lang w:eastAsia="zh-CN"/>
          <w14:textFill>
            <w14:solidFill>
              <w14:schemeClr w14:val="tx1"/>
            </w14:solidFill>
          </w14:textFill>
        </w:rPr>
        <w:t>原计划举办</w:t>
      </w:r>
      <w:r>
        <w:rPr>
          <w:rFonts w:hint="eastAsia" w:ascii="仿宋_GB2312" w:hAnsi="仿宋" w:eastAsia="仿宋_GB2312"/>
          <w:color w:val="000000" w:themeColor="text1"/>
          <w:sz w:val="32"/>
          <w:szCs w:val="32"/>
          <w:lang w:val="en-US" w:eastAsia="zh-CN"/>
          <w14:textFill>
            <w14:solidFill>
              <w14:schemeClr w14:val="tx1"/>
            </w14:solidFill>
          </w14:textFill>
        </w:rPr>
        <w:t>10场活动，实际</w:t>
      </w:r>
      <w:r>
        <w:rPr>
          <w:rFonts w:hint="eastAsia" w:ascii="仿宋_GB2312" w:hAnsi="仿宋" w:eastAsia="仿宋_GB2312"/>
          <w:color w:val="000000" w:themeColor="text1"/>
          <w:sz w:val="32"/>
          <w:szCs w:val="32"/>
          <w14:textFill>
            <w14:solidFill>
              <w14:schemeClr w14:val="tx1"/>
            </w14:solidFill>
          </w14:textFill>
        </w:rPr>
        <w:t>举办活动次数6次</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产出数量比预期少了4场。活动总参与人数达千人，反响良好，质量达到预期目标，活动安全、进度控制良好。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eastAsia="仿宋_GB2312" w:cs="Times New Roman"/>
          <w:sz w:val="32"/>
          <w:szCs w:val="32"/>
          <w:lang w:val="en-US" w:eastAsia="zh-CN"/>
        </w:rPr>
        <w:t>社会效益显著，主题关注度高，服务对象满意度高，有效提升了党群服务中心的服务效能和影响力。</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主要经验及做法、存在的问题及原因分析</w:t>
      </w:r>
      <w:r>
        <w:rPr>
          <w:rFonts w:hint="eastAsia" w:ascii="黑体" w:hAnsi="黑体" w:eastAsia="黑体" w:cs="黑体"/>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仿宋_GB2312" w:hAnsi="楷体_GB2312" w:eastAsia="仿宋_GB2312" w:cs="楷体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eastAsia="zh-CN"/>
        </w:rPr>
        <w:t>《北京市项目支出绩效评价管理办法》认真按步骤组织单位绩效自评、评价工作，</w:t>
      </w:r>
      <w:r>
        <w:rPr>
          <w:rFonts w:hint="eastAsia" w:ascii="仿宋_GB2312" w:hAnsi="仿宋" w:eastAsia="仿宋_GB2312"/>
          <w:sz w:val="32"/>
          <w:szCs w:val="32"/>
        </w:rPr>
        <w:t>订立评价流程</w:t>
      </w:r>
      <w:r>
        <w:rPr>
          <w:rFonts w:hint="eastAsia" w:ascii="仿宋_GB2312" w:hAnsi="仿宋" w:eastAsia="仿宋_GB2312"/>
          <w:sz w:val="32"/>
          <w:szCs w:val="32"/>
          <w:lang w:eastAsia="zh-CN"/>
        </w:rPr>
        <w:t>，</w:t>
      </w:r>
      <w:r>
        <w:rPr>
          <w:rFonts w:hint="eastAsia" w:ascii="仿宋_GB2312" w:eastAsia="仿宋_GB2312"/>
          <w:sz w:val="32"/>
          <w:szCs w:val="32"/>
        </w:rPr>
        <w:t>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年初设定的绩效目标填写《项目支出绩效自评表》，</w:t>
      </w:r>
      <w:r>
        <w:rPr>
          <w:rFonts w:hint="eastAsia" w:ascii="仿宋_GB2312" w:eastAsia="仿宋_GB2312"/>
          <w:sz w:val="32"/>
          <w:szCs w:val="32"/>
          <w:lang w:eastAsia="zh-CN"/>
        </w:rPr>
        <w:t>结合</w:t>
      </w:r>
      <w:r>
        <w:rPr>
          <w:rFonts w:hint="eastAsia" w:ascii="仿宋_GB2312" w:eastAsia="仿宋_GB2312"/>
          <w:sz w:val="32"/>
          <w:szCs w:val="32"/>
        </w:rPr>
        <w:t>实际</w:t>
      </w:r>
      <w:r>
        <w:rPr>
          <w:rFonts w:hint="eastAsia" w:ascii="仿宋_GB2312" w:eastAsia="仿宋_GB2312"/>
          <w:sz w:val="32"/>
          <w:szCs w:val="32"/>
          <w:lang w:eastAsia="zh-CN"/>
        </w:rPr>
        <w:t>项目实施情况</w:t>
      </w:r>
      <w:r>
        <w:rPr>
          <w:rFonts w:hint="eastAsia" w:ascii="仿宋_GB2312" w:eastAsia="仿宋_GB2312"/>
          <w:sz w:val="32"/>
          <w:szCs w:val="32"/>
        </w:rPr>
        <w:t>撰写绩效评价报告。</w:t>
      </w:r>
    </w:p>
    <w:p>
      <w:pPr>
        <w:keepNext w:val="0"/>
        <w:keepLines w:val="0"/>
        <w:pageBreakBefore w:val="0"/>
        <w:kinsoku/>
        <w:wordWrap/>
        <w:overflowPunct/>
        <w:topLinePunct w:val="0"/>
        <w:autoSpaceDE/>
        <w:autoSpaceDN/>
        <w:bidi w:val="0"/>
        <w:adjustRightInd/>
        <w:spacing w:line="560" w:lineRule="exact"/>
        <w:ind w:right="0" w:rightChars="0"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绩效自评工作与</w:t>
      </w:r>
      <w:r>
        <w:rPr>
          <w:rFonts w:hint="eastAsia" w:ascii="仿宋_GB2312" w:eastAsia="仿宋_GB2312"/>
          <w:color w:val="000000" w:themeColor="text1"/>
          <w:sz w:val="32"/>
          <w:szCs w:val="32"/>
          <w:lang w:eastAsia="zh-CN"/>
          <w14:textFill>
            <w14:solidFill>
              <w14:schemeClr w14:val="tx1"/>
            </w14:solidFill>
          </w14:textFill>
        </w:rPr>
        <w:t>财</w:t>
      </w:r>
      <w:r>
        <w:rPr>
          <w:rFonts w:hint="eastAsia" w:ascii="仿宋_GB2312" w:eastAsia="仿宋_GB2312"/>
          <w:color w:val="000000" w:themeColor="text1"/>
          <w:sz w:val="32"/>
          <w:szCs w:val="32"/>
          <w14:textFill>
            <w14:solidFill>
              <w14:schemeClr w14:val="tx1"/>
            </w14:solidFill>
          </w14:textFill>
        </w:rPr>
        <w:t>政局的要求仍有差距。工作人员根据自身认知水平进行评价</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评分表的设置也有一定的局限性和片面性，虽然能够做到定性与定量相结合的评价，但不能客观全面的反映科学地绩效评价体系。</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有关建议</w:t>
      </w:r>
      <w:r>
        <w:rPr>
          <w:rFonts w:hint="eastAsia" w:ascii="黑体" w:hAnsi="黑体" w:eastAsia="黑体" w:cs="黑体"/>
          <w:sz w:val="32"/>
          <w:szCs w:val="32"/>
          <w:lang w:val="en-US" w:eastAsia="zh-CN"/>
        </w:rPr>
        <w:t xml:space="preserve">  </w:t>
      </w:r>
    </w:p>
    <w:p>
      <w:pPr>
        <w:keepNext w:val="0"/>
        <w:keepLines w:val="0"/>
        <w:pageBreakBefore w:val="0"/>
        <w:numPr>
          <w:ilvl w:val="0"/>
          <w:numId w:val="8"/>
        </w:numPr>
        <w:kinsoku/>
        <w:wordWrap/>
        <w:overflowPunct/>
        <w:topLinePunct w:val="0"/>
        <w:autoSpaceDE/>
        <w:autoSpaceDN/>
        <w:bidi w:val="0"/>
        <w:adjustRightInd/>
        <w:snapToGrid w:val="0"/>
        <w:spacing w:line="560" w:lineRule="exact"/>
        <w:ind w:right="0" w:rightChars="0" w:firstLine="640" w:firstLineChars="200"/>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强化绩效意识，结合项目实施内容，科学填报项目绩效目标申报表，细化、量化绩效指标，增强绩效指标设置的可行性和可考量性</w:t>
      </w:r>
      <w:r>
        <w:rPr>
          <w:rFonts w:hint="eastAsia" w:ascii="仿宋_GB2312" w:hAnsi="宋体" w:eastAsia="仿宋_GB2312"/>
          <w:color w:val="000000" w:themeColor="text1"/>
          <w:sz w:val="32"/>
          <w:szCs w:val="32"/>
          <w:lang w:eastAsia="zh-CN"/>
          <w14:textFill>
            <w14:solidFill>
              <w14:schemeClr w14:val="tx1"/>
            </w14:solidFill>
          </w14:textFill>
        </w:rPr>
        <w:t>。</w:t>
      </w:r>
    </w:p>
    <w:p>
      <w:pPr>
        <w:keepNext w:val="0"/>
        <w:keepLines w:val="0"/>
        <w:pageBreakBefore w:val="0"/>
        <w:numPr>
          <w:ilvl w:val="0"/>
          <w:numId w:val="8"/>
        </w:numPr>
        <w:kinsoku/>
        <w:wordWrap/>
        <w:overflowPunct/>
        <w:topLinePunct w:val="0"/>
        <w:autoSpaceDE/>
        <w:autoSpaceDN/>
        <w:bidi w:val="0"/>
        <w:adjustRightInd/>
        <w:snapToGrid w:val="0"/>
        <w:spacing w:line="560" w:lineRule="exact"/>
        <w:ind w:right="0" w:rightChars="0"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kern w:val="44"/>
          <w:sz w:val="32"/>
          <w:szCs w:val="32"/>
          <w14:textFill>
            <w14:solidFill>
              <w14:schemeClr w14:val="tx1"/>
            </w14:solidFill>
          </w14:textFill>
        </w:rPr>
        <w:t>加强预算编制的规范性，做到细化、量化、可衡量，完善整体绩效目标管理体系，保证年度预算支出进度和项目完成程度同步。</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rPr>
          <w:rFonts w:ascii="仿宋_GB2312" w:eastAsia="仿宋_GB2312"/>
          <w:bCs/>
          <w:color w:val="000000" w:themeColor="text1"/>
          <w:kern w:val="44"/>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3.提升项目管理水平。重视项目前期准备，细化需求分析，进一步提升项目管理的规范性。</w:t>
      </w:r>
      <w:r>
        <w:rPr>
          <w:rFonts w:hint="eastAsia" w:ascii="仿宋_GB2312" w:eastAsia="仿宋_GB2312"/>
          <w:bCs/>
          <w:color w:val="000000" w:themeColor="text1"/>
          <w:kern w:val="44"/>
          <w:sz w:val="32"/>
          <w:szCs w:val="32"/>
          <w14:textFill>
            <w14:solidFill>
              <w14:schemeClr w14:val="tx1"/>
            </w14:solidFill>
          </w14:textFill>
        </w:rPr>
        <w:t>规范绩效资料归集管理，通过制度约束，及时、完整归集绩效信息资料。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无其他需要特别说明的问题。</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仿宋_GB2312" w:cs="Times New Roman"/>
          <w:sz w:val="32"/>
          <w:szCs w:val="32"/>
          <w:lang w:val="en-US" w:eastAsia="zh-CN"/>
        </w:rPr>
      </w:pPr>
      <w:bookmarkStart w:id="12" w:name="_GoBack"/>
      <w:bookmarkEnd w:id="12"/>
      <w:r>
        <w:rPr>
          <w:rFonts w:hint="eastAsia" w:eastAsia="仿宋_GB2312" w:cs="Times New Roman"/>
          <w:sz w:val="32"/>
          <w:szCs w:val="32"/>
          <w:lang w:val="en-US" w:eastAsia="zh-CN"/>
        </w:rPr>
        <w:t>“</w:t>
      </w:r>
      <w:r>
        <w:rPr>
          <w:rFonts w:hint="default" w:eastAsia="仿宋_GB2312" w:cs="Times New Roman"/>
          <w:sz w:val="32"/>
          <w:szCs w:val="32"/>
          <w:lang w:val="en-US" w:eastAsia="zh-CN"/>
        </w:rPr>
        <w:t>党群服务中心运行经费</w:t>
      </w:r>
      <w:r>
        <w:rPr>
          <w:rFonts w:hint="eastAsia" w:eastAsia="仿宋_GB2312" w:cs="Times New Roman"/>
          <w:sz w:val="32"/>
          <w:szCs w:val="32"/>
          <w:lang w:val="en-US" w:eastAsia="zh-CN"/>
        </w:rPr>
        <w:t>”项目绩效评价指标体系评分表</w:t>
      </w:r>
    </w:p>
    <w:tbl>
      <w:tblPr>
        <w:tblW w:w="8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9"/>
        <w:gridCol w:w="967"/>
        <w:gridCol w:w="1100"/>
        <w:gridCol w:w="790"/>
        <w:gridCol w:w="1669"/>
        <w:gridCol w:w="839"/>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w:t>
            </w:r>
          </w:p>
        </w:tc>
        <w:tc>
          <w:tcPr>
            <w:tcW w:w="9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w:t>
            </w:r>
          </w:p>
        </w:tc>
        <w:tc>
          <w:tcPr>
            <w:tcW w:w="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分值</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项目决策</w:t>
            </w:r>
          </w:p>
        </w:tc>
        <w:tc>
          <w:tcPr>
            <w:tcW w:w="9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绩效目标</w:t>
            </w:r>
          </w:p>
        </w:tc>
        <w:tc>
          <w:tcPr>
            <w:tcW w:w="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目标内容</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决策过程</w:t>
            </w:r>
          </w:p>
        </w:tc>
        <w:tc>
          <w:tcPr>
            <w:tcW w:w="7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决策程序</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w:t>
            </w:r>
          </w:p>
        </w:tc>
        <w:tc>
          <w:tcPr>
            <w:tcW w:w="9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w:t>
            </w:r>
          </w:p>
        </w:tc>
        <w:tc>
          <w:tcPr>
            <w:tcW w:w="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预算管理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财务管理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w:t>
            </w:r>
          </w:p>
        </w:tc>
        <w:tc>
          <w:tcPr>
            <w:tcW w:w="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组织机构</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制度建设</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过程控制</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项目绩效</w:t>
            </w:r>
          </w:p>
        </w:tc>
        <w:tc>
          <w:tcPr>
            <w:tcW w:w="9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项目产出</w:t>
            </w:r>
          </w:p>
        </w:tc>
        <w:tc>
          <w:tcPr>
            <w:tcW w:w="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产出数量</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产出质量</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产出时效</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产出成本 </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项目效果</w:t>
            </w:r>
          </w:p>
        </w:tc>
        <w:tc>
          <w:tcPr>
            <w:tcW w:w="7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trPr>
        <w:tc>
          <w:tcPr>
            <w:tcW w:w="56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综合得分</w:t>
            </w:r>
          </w:p>
        </w:tc>
        <w:tc>
          <w:tcPr>
            <w:tcW w:w="8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BDA48"/>
    <w:multiLevelType w:val="singleLevel"/>
    <w:tmpl w:val="65FBDA48"/>
    <w:lvl w:ilvl="0" w:tentative="0">
      <w:start w:val="1"/>
      <w:numFmt w:val="chineseCounting"/>
      <w:suff w:val="nothing"/>
      <w:lvlText w:val="%1、"/>
      <w:lvlJc w:val="left"/>
    </w:lvl>
  </w:abstractNum>
  <w:abstractNum w:abstractNumId="1">
    <w:nsid w:val="65FBE4C9"/>
    <w:multiLevelType w:val="singleLevel"/>
    <w:tmpl w:val="65FBE4C9"/>
    <w:lvl w:ilvl="0" w:tentative="0">
      <w:start w:val="1"/>
      <w:numFmt w:val="chineseCounting"/>
      <w:suff w:val="nothing"/>
      <w:lvlText w:val="（%1）"/>
      <w:lvlJc w:val="left"/>
    </w:lvl>
  </w:abstractNum>
  <w:abstractNum w:abstractNumId="2">
    <w:nsid w:val="65FBE50A"/>
    <w:multiLevelType w:val="singleLevel"/>
    <w:tmpl w:val="65FBE50A"/>
    <w:lvl w:ilvl="0" w:tentative="0">
      <w:start w:val="1"/>
      <w:numFmt w:val="decimal"/>
      <w:suff w:val="nothing"/>
      <w:lvlText w:val="%1."/>
      <w:lvlJc w:val="left"/>
    </w:lvl>
  </w:abstractNum>
  <w:abstractNum w:abstractNumId="3">
    <w:nsid w:val="65FCE9C5"/>
    <w:multiLevelType w:val="singleLevel"/>
    <w:tmpl w:val="65FCE9C5"/>
    <w:lvl w:ilvl="0" w:tentative="0">
      <w:start w:val="2"/>
      <w:numFmt w:val="chineseCounting"/>
      <w:suff w:val="nothing"/>
      <w:lvlText w:val="（%1）"/>
      <w:lvlJc w:val="left"/>
    </w:lvl>
  </w:abstractNum>
  <w:abstractNum w:abstractNumId="4">
    <w:nsid w:val="65FCEADD"/>
    <w:multiLevelType w:val="singleLevel"/>
    <w:tmpl w:val="65FCEADD"/>
    <w:lvl w:ilvl="0" w:tentative="0">
      <w:start w:val="2"/>
      <w:numFmt w:val="chineseCounting"/>
      <w:suff w:val="nothing"/>
      <w:lvlText w:val="（%1）"/>
      <w:lvlJc w:val="left"/>
    </w:lvl>
  </w:abstractNum>
  <w:abstractNum w:abstractNumId="5">
    <w:nsid w:val="65FCEC4B"/>
    <w:multiLevelType w:val="singleLevel"/>
    <w:tmpl w:val="65FCEC4B"/>
    <w:lvl w:ilvl="0" w:tentative="0">
      <w:start w:val="3"/>
      <w:numFmt w:val="chineseCounting"/>
      <w:suff w:val="nothing"/>
      <w:lvlText w:val="%1、"/>
      <w:lvlJc w:val="left"/>
    </w:lvl>
  </w:abstractNum>
  <w:abstractNum w:abstractNumId="6">
    <w:nsid w:val="65FD523E"/>
    <w:multiLevelType w:val="singleLevel"/>
    <w:tmpl w:val="65FD523E"/>
    <w:lvl w:ilvl="0" w:tentative="0">
      <w:start w:val="1"/>
      <w:numFmt w:val="decimal"/>
      <w:suff w:val="nothing"/>
      <w:lvlText w:val="%1."/>
      <w:lvlJc w:val="left"/>
    </w:lvl>
  </w:abstractNum>
  <w:abstractNum w:abstractNumId="7">
    <w:nsid w:val="65FDACC6"/>
    <w:multiLevelType w:val="singleLevel"/>
    <w:tmpl w:val="65FDACC6"/>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2C2731C"/>
    <w:rsid w:val="05163D5B"/>
    <w:rsid w:val="0ABD1CB0"/>
    <w:rsid w:val="0D2072BE"/>
    <w:rsid w:val="17F84998"/>
    <w:rsid w:val="273F6F84"/>
    <w:rsid w:val="292755D8"/>
    <w:rsid w:val="294D3E85"/>
    <w:rsid w:val="2A5D71C9"/>
    <w:rsid w:val="2E614D1A"/>
    <w:rsid w:val="2EFF36ED"/>
    <w:rsid w:val="34AA6D2B"/>
    <w:rsid w:val="37173543"/>
    <w:rsid w:val="39757FCA"/>
    <w:rsid w:val="3A8D4070"/>
    <w:rsid w:val="3C331A43"/>
    <w:rsid w:val="3CCC084C"/>
    <w:rsid w:val="3E6D60DB"/>
    <w:rsid w:val="3F550684"/>
    <w:rsid w:val="3FF76880"/>
    <w:rsid w:val="43744EF9"/>
    <w:rsid w:val="4A6E4F95"/>
    <w:rsid w:val="4CE554C8"/>
    <w:rsid w:val="4D4A15E7"/>
    <w:rsid w:val="50290C58"/>
    <w:rsid w:val="53136C5F"/>
    <w:rsid w:val="594823EE"/>
    <w:rsid w:val="5A6D4B9A"/>
    <w:rsid w:val="5B765D22"/>
    <w:rsid w:val="5C073259"/>
    <w:rsid w:val="60BA3574"/>
    <w:rsid w:val="62232B46"/>
    <w:rsid w:val="628725ED"/>
    <w:rsid w:val="69BB53D3"/>
    <w:rsid w:val="6E315DDA"/>
    <w:rsid w:val="6F1757BF"/>
    <w:rsid w:val="71AE6998"/>
    <w:rsid w:val="73BD6240"/>
    <w:rsid w:val="79A304E1"/>
    <w:rsid w:val="7AB7FF50"/>
    <w:rsid w:val="7BFEB0DB"/>
    <w:rsid w:val="7E040D1A"/>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 w:type="character" w:customStyle="1" w:styleId="8">
    <w:name w:val="font01"/>
    <w:basedOn w:val="5"/>
    <w:qFormat/>
    <w:uiPriority w:val="0"/>
    <w:rPr>
      <w:rFonts w:hint="eastAsia" w:ascii="仿宋_GB2312" w:eastAsia="仿宋_GB2312" w:cs="仿宋_GB2312"/>
      <w:color w:val="000000"/>
      <w:sz w:val="28"/>
      <w:szCs w:val="28"/>
      <w:u w:val="none"/>
    </w:rPr>
  </w:style>
  <w:style w:type="character" w:customStyle="1" w:styleId="9">
    <w:name w:val="font21"/>
    <w:basedOn w:val="5"/>
    <w:qFormat/>
    <w:uiPriority w:val="0"/>
    <w:rPr>
      <w:rFonts w:hint="default" w:ascii="Times New Roman" w:hAnsi="Times New Roman" w:cs="Times New Roman"/>
      <w:color w:val="000000"/>
      <w:sz w:val="28"/>
      <w:szCs w:val="28"/>
      <w:u w:val="none"/>
    </w:rPr>
  </w:style>
  <w:style w:type="character" w:customStyle="1" w:styleId="10">
    <w:name w:val="font31"/>
    <w:basedOn w:val="5"/>
    <w:qFormat/>
    <w:uiPriority w:val="0"/>
    <w:rPr>
      <w:rFonts w:hint="eastAsia" w:ascii="宋体" w:hAnsi="宋体" w:eastAsia="宋体" w:cs="宋体"/>
      <w:b/>
      <w:color w:val="000000"/>
      <w:sz w:val="22"/>
      <w:szCs w:val="22"/>
      <w:u w:val="none"/>
    </w:rPr>
  </w:style>
  <w:style w:type="character" w:customStyle="1" w:styleId="11">
    <w:name w:val="font121"/>
    <w:basedOn w:val="5"/>
    <w:qFormat/>
    <w:uiPriority w:val="0"/>
    <w:rPr>
      <w:rFonts w:hint="eastAsia" w:ascii="宋体" w:hAnsi="宋体" w:eastAsia="宋体" w:cs="宋体"/>
      <w:b/>
      <w:color w:val="000000"/>
      <w:sz w:val="18"/>
      <w:szCs w:val="18"/>
      <w:u w:val="none"/>
    </w:rPr>
  </w:style>
  <w:style w:type="character" w:customStyle="1" w:styleId="12">
    <w:name w:val="font51"/>
    <w:basedOn w:val="5"/>
    <w:qFormat/>
    <w:uiPriority w:val="0"/>
    <w:rPr>
      <w:rFonts w:hint="default" w:ascii="Times New Roman" w:hAnsi="Times New Roman" w:cs="Times New Roman"/>
      <w:b/>
      <w:color w:val="000000"/>
      <w:sz w:val="18"/>
      <w:szCs w:val="18"/>
      <w:u w:val="none"/>
    </w:rPr>
  </w:style>
  <w:style w:type="character" w:customStyle="1" w:styleId="13">
    <w:name w:val="font71"/>
    <w:basedOn w:val="5"/>
    <w:qFormat/>
    <w:uiPriority w:val="0"/>
    <w:rPr>
      <w:rFonts w:hint="eastAsia" w:ascii="宋体" w:hAnsi="宋体" w:eastAsia="宋体" w:cs="宋体"/>
      <w:b/>
      <w:color w:val="000000"/>
      <w:sz w:val="18"/>
      <w:szCs w:val="18"/>
      <w:u w:val="none"/>
    </w:rPr>
  </w:style>
  <w:style w:type="character" w:customStyle="1" w:styleId="14">
    <w:name w:val="font101"/>
    <w:basedOn w:val="5"/>
    <w:qFormat/>
    <w:uiPriority w:val="0"/>
    <w:rPr>
      <w:rFonts w:hint="default" w:ascii="Times New Roman" w:hAnsi="Times New Roman" w:cs="Times New Roman"/>
      <w:b/>
      <w:color w:val="000000"/>
      <w:sz w:val="18"/>
      <w:szCs w:val="18"/>
      <w:u w:val="none"/>
    </w:rPr>
  </w:style>
  <w:style w:type="character" w:customStyle="1" w:styleId="15">
    <w:name w:val="font61"/>
    <w:basedOn w:val="5"/>
    <w:qFormat/>
    <w:uiPriority w:val="0"/>
    <w:rPr>
      <w:rFonts w:hint="eastAsia" w:ascii="宋体" w:hAnsi="宋体" w:eastAsia="宋体" w:cs="宋体"/>
      <w:b/>
      <w:color w:val="000000"/>
      <w:sz w:val="18"/>
      <w:szCs w:val="18"/>
      <w:u w:val="none"/>
    </w:rPr>
  </w:style>
  <w:style w:type="character" w:customStyle="1" w:styleId="16">
    <w:name w:val="font91"/>
    <w:basedOn w:val="5"/>
    <w:uiPriority w:val="0"/>
    <w:rPr>
      <w:rFonts w:hint="default" w:ascii="Times New Roman" w:hAnsi="Times New Roman" w:cs="Times New Roman"/>
      <w:b/>
      <w:color w:val="000000"/>
      <w:sz w:val="18"/>
      <w:szCs w:val="18"/>
      <w:u w:val="none"/>
    </w:rPr>
  </w:style>
  <w:style w:type="character" w:customStyle="1" w:styleId="17">
    <w:name w:val="font41"/>
    <w:basedOn w:val="5"/>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john</cp:lastModifiedBy>
  <cp:lastPrinted>2024-03-22T06:29:00Z</cp:lastPrinted>
  <dcterms:modified xsi:type="dcterms:W3CDTF">2024-03-22T15:32:30Z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