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项目支出绩效评价报告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（朝阳区促进文化产业高质量发展引导资金）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8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（一）项目概况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推动区域文化产业高质量发展，朝阳区从2008年开始设立文化产业发展引导资金。2016年，为贯彻落实文化和旅游部（原文化部）、北京市的部署和要求，加快推进国家文化产业创新实验区（以下简称“文创实验区”）建设，在原有的文化产业发展引导资金的基础上，增设了促进文创实验区建设发展专项引导资金，两个资金总规模为1.5亿元。2021年，两个资金政策进行了合并和统一，全区实行统一的文化产业资金政策。2023年，按照全区的统一安排，进一步优化了文化产业发展引导资金政策，形成了《朝阳区促进文化产业高质量发展的若干措施》。政策合并统一执行三年来，通过奖励、贷款贴息等支持方式，全区共支持299个优质文化企业（项目），支持资金共计3.8亿元，支持企业形成区域综合贡献超过20.7亿元。</w:t>
      </w:r>
    </w:p>
    <w:p>
      <w:pPr>
        <w:spacing w:line="58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（二）项目绩效目标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通过文化产业发展引导资金政策，进一步推动朝阳区文化产业高质量发展，在促进文化产业集聚、构建高精尖经济结构等方面发挥专项资金的引导作用，持续增强文化产业对区域发展的贡献。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朝阳区促进文化产业高质量发展引导资金项目绩效自评工作，进一步推动年度总体目标顺利完成。本次绩效自评工作，主要从项目的产出指标（数量指标、质量指标、时效指标）、成本指标（经济成本指标）、效益指标（经济效益指标、社会效益指标）和满意度指标（服务对象满意度指标）等多个维度，通过项目自评的方式对项目进行综合评价，确保项目完成质量和水平。对项目完成情况进行自评，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朝阳区促进文化产业高质量发展引导资金项目自评打分为100分，项目整体评价为优。通过该项目的实施，朝阳区文化产业发展活力持续释放，产业发展质量稳步提升，各项指标不断攀升。</w:t>
      </w:r>
    </w:p>
    <w:tbl>
      <w:tblPr>
        <w:tblStyle w:val="5"/>
        <w:tblW w:w="9654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1"/>
        <w:gridCol w:w="1316"/>
        <w:gridCol w:w="692"/>
        <w:gridCol w:w="1984"/>
        <w:gridCol w:w="1276"/>
        <w:gridCol w:w="1843"/>
        <w:gridCol w:w="850"/>
        <w:gridCol w:w="99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支持优质文化企业项目数量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≥30家/年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全年支持文化企业84家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补贴对象合规率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≥</w:t>
            </w:r>
            <w:r>
              <w:rPr>
                <w:color w:val="000000"/>
                <w:kern w:val="0"/>
                <w:sz w:val="18"/>
              </w:rPr>
              <w:t>95%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按照全区产业专项资金统一进度要求完成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优，严格按照全区产业专项资金安排完成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控制在预算批复范围内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5"/>
        <w:tblW w:w="9654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1"/>
        <w:gridCol w:w="1316"/>
        <w:gridCol w:w="692"/>
        <w:gridCol w:w="1984"/>
        <w:gridCol w:w="1276"/>
        <w:gridCol w:w="1843"/>
        <w:gridCol w:w="850"/>
        <w:gridCol w:w="99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持续提高文化企业经济效益，引导区域文化产业集聚发展，促进朝阳区一般公共预算收入不断增加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优，在产业资金政策的带动下，朝阳区文化产业规模持续壮大，区域贡献显著增强，引领带动作用进一步提高。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文化产业园区的公共文化空间品质不断提升，文化产品日益丰富，产业事业融合发展积极推进，市民文化获得感不断提高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，深入实施“园区品质提升计划”，打造一批产业集聚、效益突出、贡献强劲的“百亿级示范园区”和一批特色鲜明、主题突出、内涵丰富的数字、消费、科技“特色园区”，引导园区提升公共文化配套功能、举办文化消费活动，促进文化产业与事业融合发展，不断提升市民的文化获得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  <w:t>满意度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  <w:t>指标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≥</w:t>
            </w:r>
            <w:r>
              <w:rPr>
                <w:color w:val="000000"/>
                <w:kern w:val="0"/>
                <w:sz w:val="18"/>
              </w:rPr>
              <w:t>90%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通过线上线下多种形式广泛开展政策宣传解读，进一步提高政策知晓率和参与率，加大对支持企业的走访服务力度，听取企业对政策的意见建议，获得支持企业满意度超过</w:t>
            </w:r>
            <w:r>
              <w:rPr>
                <w:color w:val="000000"/>
                <w:kern w:val="0"/>
                <w:sz w:val="18"/>
              </w:rPr>
              <w:t>90%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580" w:lineRule="exact"/>
        <w:ind w:firstLine="642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（一）项目决策情况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区产业转型升级领导小组综合办公室统一安排，该项目于2023年6月15日至7月12日公开进行项目征集，8月上旬进行评审并形成拟支持方案，拟支持方案先后经过8月16日联审会、8月25日区产业转型升级领导小组会、9月12日区政府常务会审议，并原则通过，后经9月21日区委常委会（十三届〔2023〕35号）正式审定通过。</w:t>
      </w:r>
    </w:p>
    <w:p>
      <w:pPr>
        <w:spacing w:line="580" w:lineRule="exact"/>
        <w:ind w:firstLine="642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（二）项目过程情况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化产业发展引导资金管理使用执行“十步法”的工作流程，即：公开征集项目→专家评审→部门联审（区发改、财政、审计、税务、市场监管局等）→管委会工委会研究拟支持方案→区主管领导审阅把关→区产业转型升级领导小组审议→区委区政府审定→公示→资金拨付→后期监管。</w:t>
      </w:r>
    </w:p>
    <w:p>
      <w:pPr>
        <w:spacing w:line="580" w:lineRule="exact"/>
        <w:ind w:firstLine="642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（三）项目产出情况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2023年度文化产业发展引导资金共支持优质文化企业84家，支持金额共计12171万元，被支持企业上一年度形成区域综合贡献合计6.2亿元。</w:t>
      </w:r>
    </w:p>
    <w:p>
      <w:pPr>
        <w:spacing w:line="580" w:lineRule="exact"/>
        <w:ind w:firstLine="642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（四）项目效益情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sz w:val="32"/>
          <w:szCs w:val="32"/>
        </w:rPr>
        <w:t>况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文化产业发展引导资金政策的带动下，2023年，朝阳区新增注册文化企业4704家，其中注册资本5000万元以上企业76家，1亿元以上企业21家。截至2023年底，全区规模以上文化产业单位数量达到2487家，居全市第一。2023年，朝阳区规模以上文化企业实现收入3145亿元，同比增长9.4%。其中，规模以上文化新业态特征较为明显的16个行业实现收入1212.0亿元，占全区规模以上文化产业比重为38.5%，同比增长3.0%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经验做法有三个方面，一是结合朝阳区产业发展整体方向和文化产业发展最新趋势，持续优化政策内容，强化政策引导作用；二是围绕政策条款制定实施细则，明确具体支持标准，保障后续执行有据可依；三是抓好项目评审重点环节，确保项目评审工作过程严格规范、结果客观公正；四是加强宣传，通过线上线下多种形式广泛开展政策宣传，持续提高政策知晓率和参与率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77F09F4"/>
    <w:rsid w:val="00001547"/>
    <w:rsid w:val="00077198"/>
    <w:rsid w:val="000A27AF"/>
    <w:rsid w:val="000B7700"/>
    <w:rsid w:val="000D293E"/>
    <w:rsid w:val="00110DFF"/>
    <w:rsid w:val="00126DC1"/>
    <w:rsid w:val="00161C76"/>
    <w:rsid w:val="00163482"/>
    <w:rsid w:val="00176992"/>
    <w:rsid w:val="00176EA3"/>
    <w:rsid w:val="001E7B7E"/>
    <w:rsid w:val="00231B3B"/>
    <w:rsid w:val="00235D1A"/>
    <w:rsid w:val="00285C86"/>
    <w:rsid w:val="00292EA9"/>
    <w:rsid w:val="002952AD"/>
    <w:rsid w:val="002B1040"/>
    <w:rsid w:val="002D7100"/>
    <w:rsid w:val="002E0842"/>
    <w:rsid w:val="002F38DC"/>
    <w:rsid w:val="00302591"/>
    <w:rsid w:val="003560B5"/>
    <w:rsid w:val="0037120C"/>
    <w:rsid w:val="003B2336"/>
    <w:rsid w:val="003D08F3"/>
    <w:rsid w:val="003D4012"/>
    <w:rsid w:val="003F08C2"/>
    <w:rsid w:val="003F7E71"/>
    <w:rsid w:val="004B2250"/>
    <w:rsid w:val="004C6234"/>
    <w:rsid w:val="0055136F"/>
    <w:rsid w:val="005529A4"/>
    <w:rsid w:val="005601BB"/>
    <w:rsid w:val="005678A8"/>
    <w:rsid w:val="005C15F9"/>
    <w:rsid w:val="005C444B"/>
    <w:rsid w:val="005F135B"/>
    <w:rsid w:val="00672885"/>
    <w:rsid w:val="006729CD"/>
    <w:rsid w:val="006F26A8"/>
    <w:rsid w:val="006F3BDA"/>
    <w:rsid w:val="006F4A2D"/>
    <w:rsid w:val="0075616A"/>
    <w:rsid w:val="007747C4"/>
    <w:rsid w:val="007836D9"/>
    <w:rsid w:val="007A26C4"/>
    <w:rsid w:val="007D52F3"/>
    <w:rsid w:val="008B4AA1"/>
    <w:rsid w:val="008C3D00"/>
    <w:rsid w:val="008D36F6"/>
    <w:rsid w:val="008D498C"/>
    <w:rsid w:val="00932ECF"/>
    <w:rsid w:val="00942BAE"/>
    <w:rsid w:val="00976DB5"/>
    <w:rsid w:val="009F06A7"/>
    <w:rsid w:val="00A06FAB"/>
    <w:rsid w:val="00A85737"/>
    <w:rsid w:val="00A919F8"/>
    <w:rsid w:val="00AC4D81"/>
    <w:rsid w:val="00AD6C96"/>
    <w:rsid w:val="00AE2FD3"/>
    <w:rsid w:val="00AE723E"/>
    <w:rsid w:val="00AF123F"/>
    <w:rsid w:val="00AF211F"/>
    <w:rsid w:val="00B04598"/>
    <w:rsid w:val="00B40A65"/>
    <w:rsid w:val="00B5478B"/>
    <w:rsid w:val="00B55758"/>
    <w:rsid w:val="00B71270"/>
    <w:rsid w:val="00B76A1B"/>
    <w:rsid w:val="00B82505"/>
    <w:rsid w:val="00B83F01"/>
    <w:rsid w:val="00B97CF5"/>
    <w:rsid w:val="00BA2D5B"/>
    <w:rsid w:val="00BB3BDA"/>
    <w:rsid w:val="00BE58D2"/>
    <w:rsid w:val="00C17E79"/>
    <w:rsid w:val="00C26C41"/>
    <w:rsid w:val="00C27477"/>
    <w:rsid w:val="00C27ED0"/>
    <w:rsid w:val="00C52788"/>
    <w:rsid w:val="00CA1DA9"/>
    <w:rsid w:val="00CB27C7"/>
    <w:rsid w:val="00CB4CC0"/>
    <w:rsid w:val="00CC3516"/>
    <w:rsid w:val="00CE359B"/>
    <w:rsid w:val="00CE4BCD"/>
    <w:rsid w:val="00D33560"/>
    <w:rsid w:val="00D52CF8"/>
    <w:rsid w:val="00D53767"/>
    <w:rsid w:val="00D65F53"/>
    <w:rsid w:val="00D66E7F"/>
    <w:rsid w:val="00D71F35"/>
    <w:rsid w:val="00DA525D"/>
    <w:rsid w:val="00DA672E"/>
    <w:rsid w:val="00DB169C"/>
    <w:rsid w:val="00EB4162"/>
    <w:rsid w:val="00EC1E67"/>
    <w:rsid w:val="00ED0E84"/>
    <w:rsid w:val="00ED1274"/>
    <w:rsid w:val="00EE32A5"/>
    <w:rsid w:val="00F6421E"/>
    <w:rsid w:val="00F84B2A"/>
    <w:rsid w:val="00FA4706"/>
    <w:rsid w:val="00FE7017"/>
    <w:rsid w:val="0D2072BE"/>
    <w:rsid w:val="37173543"/>
    <w:rsid w:val="3FF76880"/>
    <w:rsid w:val="43744EF9"/>
    <w:rsid w:val="50290C58"/>
    <w:rsid w:val="5C073259"/>
    <w:rsid w:val="71AE6998"/>
    <w:rsid w:val="73BD6240"/>
    <w:rsid w:val="75FBD51D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5B9BD5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1955</Characters>
  <Lines>16</Lines>
  <Paragraphs>4</Paragraphs>
  <TotalTime>434</TotalTime>
  <ScaleCrop>false</ScaleCrop>
  <LinksUpToDate>false</LinksUpToDate>
  <CharactersWithSpaces>2293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2022-03-10T11:16:00Z</dcterms:created>
  <dc:creator>user</dc:creator>
  <cp:lastModifiedBy>uos</cp:lastModifiedBy>
  <cp:lastPrinted>2024-08-14T17:27:42Z</cp:lastPrinted>
  <dcterms:modified xsi:type="dcterms:W3CDTF">2024-08-14T17:27:59Z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