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jc w:val="center"/>
        <w:rPr>
          <w:rFonts w:hint="eastAsia" w:ascii="方正小标宋简体" w:hAnsi="宋体" w:eastAsia="方正小标宋简体" w:cs="Arial"/>
          <w:bCs/>
          <w:sz w:val="36"/>
          <w:szCs w:val="36"/>
        </w:rPr>
      </w:pPr>
      <w:r>
        <w:rPr>
          <w:rFonts w:hint="eastAsia" w:ascii="方正小标宋简体" w:hAnsi="宋体" w:eastAsia="方正小标宋简体" w:cs="Arial"/>
          <w:bCs/>
          <w:sz w:val="36"/>
          <w:szCs w:val="36"/>
        </w:rPr>
        <w:t>南磨房乡政府2023年度病媒消杀</w:t>
      </w:r>
    </w:p>
    <w:p>
      <w:pPr>
        <w:suppressAutoHyphens/>
        <w:jc w:val="center"/>
        <w:rPr>
          <w:rFonts w:ascii="仿宋_GB2312" w:eastAsia="仿宋_GB2312"/>
          <w:b/>
          <w:color w:val="000000"/>
          <w:sz w:val="30"/>
          <w:szCs w:val="32"/>
        </w:rPr>
      </w:pPr>
      <w:r>
        <w:rPr>
          <w:rFonts w:hint="eastAsia" w:ascii="方正小标宋简体" w:hAnsi="宋体" w:eastAsia="方正小标宋简体" w:cs="Arial"/>
          <w:bCs/>
          <w:sz w:val="36"/>
          <w:szCs w:val="36"/>
        </w:rPr>
        <w:t>项目支出绩效评价报告</w:t>
      </w:r>
      <w:r>
        <w:rPr>
          <w:rFonts w:hint="eastAsia" w:ascii="仿宋_GB2312" w:eastAsia="仿宋_GB2312"/>
          <w:b/>
          <w:color w:val="000000"/>
          <w:sz w:val="30"/>
          <w:szCs w:val="32"/>
        </w:rPr>
        <w:t xml:space="preserve"> </w:t>
      </w:r>
    </w:p>
    <w:p>
      <w:pPr>
        <w:jc w:val="center"/>
        <w:rPr>
          <w:rFonts w:ascii="仿宋_GB2312"/>
          <w:szCs w:val="30"/>
        </w:rPr>
      </w:pPr>
    </w:p>
    <w:p>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一、基本情况</w:t>
      </w:r>
    </w:p>
    <w:p>
      <w:pPr>
        <w:spacing w:line="360" w:lineRule="auto"/>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（一）项目概况</w:t>
      </w:r>
    </w:p>
    <w:p>
      <w:pPr>
        <w:spacing w:line="360" w:lineRule="auto"/>
        <w:ind w:firstLine="640" w:firstLineChars="200"/>
        <w:outlineLvl w:val="0"/>
        <w:rPr>
          <w:rFonts w:ascii="仿宋_GB2312" w:hAnsi="楷体_GB2312" w:eastAsia="仿宋_GB2312" w:cs="楷体_GB2312"/>
          <w:sz w:val="32"/>
          <w:szCs w:val="32"/>
        </w:rPr>
      </w:pPr>
      <w:r>
        <w:rPr>
          <w:rFonts w:hint="eastAsia" w:ascii="仿宋_GB2312" w:hAnsi="楷体_GB2312" w:eastAsia="仿宋_GB2312" w:cs="楷体_GB2312"/>
          <w:sz w:val="32"/>
          <w:szCs w:val="32"/>
        </w:rPr>
        <w:t>1.项目背景</w:t>
      </w:r>
      <w:r>
        <w:rPr>
          <w:rFonts w:hint="eastAsia" w:ascii="仿宋_GB2312" w:hAnsi="楷体_GB2312" w:eastAsia="仿宋_GB2312" w:cs="楷体_GB2312"/>
          <w:sz w:val="32"/>
          <w:szCs w:val="32"/>
          <w:lang w:eastAsia="zh-CN"/>
        </w:rPr>
        <w:t>及</w:t>
      </w:r>
      <w:r>
        <w:rPr>
          <w:rFonts w:hint="eastAsia" w:ascii="仿宋_GB2312" w:hAnsi="宋体" w:eastAsia="仿宋_GB2312" w:cs="宋体"/>
          <w:color w:val="000000"/>
          <w:kern w:val="0"/>
          <w:sz w:val="32"/>
          <w:szCs w:val="32"/>
        </w:rPr>
        <w:t>主要内容</w:t>
      </w:r>
    </w:p>
    <w:p>
      <w:pPr>
        <w:autoSpaceDE w:val="0"/>
        <w:autoSpaceDN w:val="0"/>
        <w:adjustRightInd w:val="0"/>
        <w:ind w:firstLine="640" w:firstLineChars="200"/>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本项目业务主管部门为北京市朝阳区爱国卫生运动委员会办公室（以下简称“区爱卫会”），实施单位为南磨房乡政府</w:t>
      </w:r>
      <w:r>
        <w:rPr>
          <w:rFonts w:hint="eastAsia" w:ascii="仿宋_GB2312" w:hAnsi="宋体" w:eastAsia="仿宋_GB2312" w:cs="宋体"/>
          <w:kern w:val="0"/>
          <w:sz w:val="32"/>
          <w:szCs w:val="32"/>
        </w:rPr>
        <w:t>及朝阳区其它各街乡</w:t>
      </w:r>
      <w:r>
        <w:rPr>
          <w:rFonts w:hint="eastAsia" w:ascii="仿宋_GB2312" w:hAnsi="宋体" w:eastAsia="仿宋_GB2312" w:cs="宋体"/>
          <w:color w:val="000000"/>
          <w:kern w:val="0"/>
          <w:sz w:val="32"/>
          <w:szCs w:val="32"/>
        </w:rPr>
        <w:t>，根据</w:t>
      </w:r>
      <w:r>
        <w:rPr>
          <w:rFonts w:ascii="仿宋_GB2312" w:hAnsi="宋体" w:eastAsia="仿宋_GB2312" w:cs="宋体"/>
          <w:color w:val="000000"/>
          <w:kern w:val="0"/>
          <w:sz w:val="32"/>
          <w:szCs w:val="32"/>
        </w:rPr>
        <w:t>2019年12月24日</w:t>
      </w:r>
      <w:r>
        <w:rPr>
          <w:rFonts w:hint="eastAsia" w:ascii="仿宋_GB2312" w:hAnsi="宋体" w:eastAsia="仿宋_GB2312" w:cs="宋体"/>
          <w:color w:val="000000"/>
          <w:kern w:val="0"/>
          <w:sz w:val="32"/>
          <w:szCs w:val="32"/>
        </w:rPr>
        <w:t>区爱卫会发布的《关于进一步规范病媒生物防制关于印发工作的建议》（朝爱卫办发〔</w:t>
      </w:r>
      <w:r>
        <w:rPr>
          <w:rFonts w:ascii="仿宋_GB2312" w:hAnsi="宋体" w:eastAsia="仿宋_GB2312" w:cs="宋体"/>
          <w:color w:val="000000"/>
          <w:kern w:val="0"/>
          <w:sz w:val="32"/>
          <w:szCs w:val="32"/>
        </w:rPr>
        <w:t>2019〕22号）</w:t>
      </w:r>
      <w:r>
        <w:rPr>
          <w:rFonts w:hint="eastAsia" w:ascii="仿宋_GB2312" w:hAnsi="宋体" w:eastAsia="仿宋_GB2312" w:cs="宋体"/>
          <w:color w:val="000000"/>
          <w:kern w:val="0"/>
          <w:sz w:val="32"/>
          <w:szCs w:val="32"/>
        </w:rPr>
        <w:t>，其中规定病媒生物防制工作包括孳生地治理及本底的动态掌握、重点行业或环境的病媒生物密度监测、常态消杀工作、针对居民投诉或重大活动保障的应急防制、开展病媒生物防制和宣传等工作。</w:t>
      </w:r>
    </w:p>
    <w:p>
      <w:pPr>
        <w:spacing w:line="600" w:lineRule="exact"/>
        <w:ind w:firstLine="640" w:firstLineChars="200"/>
        <w:outlineLvl w:val="0"/>
        <w:rPr>
          <w:rFonts w:ascii="仿宋_GB2312" w:hAnsi="宋体" w:eastAsia="仿宋_GB2312" w:cs="宋体"/>
          <w:color w:val="000000"/>
          <w:kern w:val="0"/>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.实施情况</w:t>
      </w:r>
    </w:p>
    <w:p>
      <w:pPr>
        <w:autoSpaceDE w:val="0"/>
        <w:autoSpaceDN w:val="0"/>
        <w:adjustRightInd w:val="0"/>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通过咨询相关部门以及查阅所收集的资料，该项目业务主管部门区爱卫会主要负责安排每年全区统一的病媒消杀活动，以及对各街乡的病媒消杀工作进行验收。南磨房乡从</w:t>
      </w:r>
      <w:r>
        <w:rPr>
          <w:rFonts w:ascii="仿宋_GB2312" w:hAnsi="宋体" w:eastAsia="仿宋_GB2312" w:cs="宋体"/>
          <w:color w:val="000000"/>
          <w:kern w:val="0"/>
          <w:sz w:val="32"/>
          <w:szCs w:val="32"/>
        </w:rPr>
        <w:t>预算申报</w:t>
      </w:r>
      <w:r>
        <w:rPr>
          <w:rFonts w:hint="eastAsia" w:ascii="仿宋_GB2312" w:hAnsi="宋体" w:eastAsia="仿宋_GB2312" w:cs="宋体"/>
          <w:color w:val="000000"/>
          <w:kern w:val="0"/>
          <w:sz w:val="32"/>
          <w:szCs w:val="32"/>
        </w:rPr>
        <w:t>、过程管控</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总结验收</w:t>
      </w:r>
      <w:r>
        <w:rPr>
          <w:rFonts w:ascii="仿宋_GB2312" w:hAnsi="宋体" w:eastAsia="仿宋_GB2312" w:cs="宋体"/>
          <w:color w:val="000000"/>
          <w:kern w:val="0"/>
          <w:sz w:val="32"/>
          <w:szCs w:val="32"/>
        </w:rPr>
        <w:t>等方面</w:t>
      </w:r>
      <w:r>
        <w:rPr>
          <w:rFonts w:hint="eastAsia" w:ascii="仿宋_GB2312" w:hAnsi="宋体" w:eastAsia="仿宋_GB2312" w:cs="宋体"/>
          <w:color w:val="000000"/>
          <w:kern w:val="0"/>
          <w:sz w:val="32"/>
          <w:szCs w:val="32"/>
        </w:rPr>
        <w:t>实施监督管理，明确了职责分工。服务商按照</w:t>
      </w:r>
      <w:r>
        <w:rPr>
          <w:rFonts w:ascii="仿宋_GB2312" w:hAnsi="宋体" w:eastAsia="仿宋_GB2312" w:cs="宋体"/>
          <w:color w:val="000000"/>
          <w:kern w:val="0"/>
          <w:sz w:val="32"/>
          <w:szCs w:val="32"/>
        </w:rPr>
        <w:t>合同要求</w:t>
      </w:r>
      <w:r>
        <w:rPr>
          <w:rFonts w:hint="eastAsia" w:ascii="仿宋_GB2312" w:hAnsi="宋体" w:eastAsia="仿宋_GB2312" w:cs="宋体"/>
          <w:color w:val="000000"/>
          <w:kern w:val="0"/>
          <w:sz w:val="32"/>
          <w:szCs w:val="32"/>
        </w:rPr>
        <w:t>开展</w:t>
      </w:r>
      <w:r>
        <w:rPr>
          <w:rFonts w:ascii="仿宋_GB2312" w:hAnsi="宋体" w:eastAsia="仿宋_GB2312" w:cs="宋体"/>
          <w:color w:val="000000"/>
          <w:kern w:val="0"/>
          <w:sz w:val="32"/>
          <w:szCs w:val="32"/>
        </w:rPr>
        <w:t>工作，</w:t>
      </w:r>
      <w:r>
        <w:rPr>
          <w:rFonts w:hint="eastAsia" w:ascii="仿宋_GB2312" w:hAnsi="宋体" w:eastAsia="仿宋_GB2312" w:cs="宋体"/>
          <w:color w:val="000000"/>
          <w:kern w:val="0"/>
          <w:sz w:val="32"/>
          <w:szCs w:val="32"/>
        </w:rPr>
        <w:t>确保病媒生物防制水平符合国家、行业有关标准。</w:t>
      </w:r>
    </w:p>
    <w:p>
      <w:pPr>
        <w:spacing w:line="600" w:lineRule="exact"/>
        <w:ind w:firstLine="640" w:firstLineChars="200"/>
        <w:outlineLvl w:val="0"/>
        <w:rPr>
          <w:rFonts w:ascii="仿宋_GB2312" w:hAnsi="宋体" w:eastAsia="仿宋_GB2312" w:cs="宋体"/>
          <w:color w:val="000000"/>
          <w:kern w:val="0"/>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.资金投入和使用情况</w:t>
      </w:r>
    </w:p>
    <w:p>
      <w:pPr>
        <w:snapToGrid w:val="0"/>
        <w:spacing w:line="360" w:lineRule="auto"/>
        <w:ind w:firstLine="640" w:firstLineChars="200"/>
        <w:outlineLvl w:val="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项目名称：“病媒消杀工作经费”，年初预算金额573169.28元。</w:t>
      </w:r>
    </w:p>
    <w:p>
      <w:pPr>
        <w:snapToGrid w:val="0"/>
        <w:spacing w:line="360" w:lineRule="auto"/>
        <w:ind w:firstLine="640" w:firstLineChars="200"/>
        <w:outlineLvl w:val="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项目起止时间：202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日-202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年12月31日</w:t>
      </w:r>
    </w:p>
    <w:p>
      <w:pPr>
        <w:snapToGrid w:val="0"/>
        <w:spacing w:line="360" w:lineRule="auto"/>
        <w:ind w:firstLine="640" w:firstLineChars="200"/>
        <w:outlineLvl w:val="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年年初预算批复573169.28元</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年实际支出金额为573140元，结余</w:t>
      </w:r>
      <w:r>
        <w:rPr>
          <w:rFonts w:hint="eastAsia" w:ascii="仿宋_GB2312" w:hAnsi="仿宋_GB2312" w:eastAsia="仿宋_GB2312" w:cs="仿宋_GB2312"/>
          <w:sz w:val="32"/>
          <w:szCs w:val="32"/>
          <w:highlight w:val="none"/>
          <w:lang w:val="en-US" w:eastAsia="zh-CN"/>
        </w:rPr>
        <w:t>29.28</w:t>
      </w:r>
      <w:r>
        <w:rPr>
          <w:rFonts w:hint="eastAsia" w:ascii="仿宋_GB2312" w:hAnsi="仿宋_GB2312" w:eastAsia="仿宋_GB2312" w:cs="仿宋_GB2312"/>
          <w:sz w:val="32"/>
          <w:szCs w:val="32"/>
          <w:highlight w:val="none"/>
        </w:rPr>
        <w:t>元，预算完成率</w:t>
      </w:r>
      <w:r>
        <w:rPr>
          <w:rFonts w:hint="eastAsia" w:ascii="仿宋_GB2312" w:hAnsi="仿宋_GB2312" w:eastAsia="仿宋_GB2312" w:cs="仿宋_GB2312"/>
          <w:sz w:val="32"/>
          <w:szCs w:val="32"/>
          <w:highlight w:val="none"/>
          <w:lang w:val="en-US" w:eastAsia="zh-CN"/>
        </w:rPr>
        <w:t>99.99</w:t>
      </w:r>
      <w:r>
        <w:rPr>
          <w:rFonts w:hint="eastAsia" w:ascii="仿宋_GB2312" w:hAnsi="仿宋_GB2312" w:eastAsia="仿宋_GB2312" w:cs="仿宋_GB2312"/>
          <w:sz w:val="32"/>
          <w:szCs w:val="32"/>
          <w:highlight w:val="none"/>
        </w:rPr>
        <w:t>%。</w:t>
      </w:r>
    </w:p>
    <w:p>
      <w:pPr>
        <w:autoSpaceDE w:val="0"/>
        <w:autoSpaceDN w:val="0"/>
        <w:adjustRightInd w:val="0"/>
        <w:ind w:left="-2" w:leftChars="-1" w:firstLine="707" w:firstLineChars="221"/>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资金由朝阳区财政拨款，2</w:t>
      </w:r>
      <w:r>
        <w:rPr>
          <w:rFonts w:ascii="仿宋_GB2312" w:hAnsi="宋体" w:eastAsia="仿宋_GB2312" w:cs="宋体"/>
          <w:color w:val="000000"/>
          <w:kern w:val="0"/>
          <w:sz w:val="32"/>
          <w:szCs w:val="32"/>
        </w:rPr>
        <w:t>023</w:t>
      </w:r>
      <w:r>
        <w:rPr>
          <w:rFonts w:hint="eastAsia" w:ascii="仿宋_GB2312" w:hAnsi="宋体" w:eastAsia="仿宋_GB2312" w:cs="宋体"/>
          <w:color w:val="000000"/>
          <w:kern w:val="0"/>
          <w:sz w:val="32"/>
          <w:szCs w:val="32"/>
        </w:rPr>
        <w:t>年拨款规模5</w:t>
      </w:r>
      <w:r>
        <w:rPr>
          <w:rFonts w:ascii="仿宋_GB2312" w:hAnsi="宋体" w:eastAsia="仿宋_GB2312" w:cs="宋体"/>
          <w:color w:val="000000"/>
          <w:kern w:val="0"/>
          <w:sz w:val="32"/>
          <w:szCs w:val="32"/>
        </w:rPr>
        <w:t>73169.28</w:t>
      </w:r>
      <w:r>
        <w:rPr>
          <w:rFonts w:hint="eastAsia" w:ascii="仿宋_GB2312" w:hAnsi="宋体" w:eastAsia="仿宋_GB2312" w:cs="宋体"/>
          <w:color w:val="000000"/>
          <w:kern w:val="0"/>
          <w:sz w:val="32"/>
          <w:szCs w:val="32"/>
        </w:rPr>
        <w:t>元。</w:t>
      </w:r>
    </w:p>
    <w:p>
      <w:pPr>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（二）项目绩效目标</w:t>
      </w:r>
      <w:bookmarkStart w:id="13" w:name="_GoBack"/>
      <w:bookmarkEnd w:id="13"/>
    </w:p>
    <w:p>
      <w:pPr>
        <w:spacing w:line="360" w:lineRule="auto"/>
        <w:ind w:firstLine="640" w:firstLineChars="200"/>
        <w:rPr>
          <w:rFonts w:ascii="仿宋_GB2312" w:hAnsi="楷体_GB2312" w:eastAsia="仿宋_GB2312" w:cs="楷体_GB2312"/>
          <w:sz w:val="32"/>
          <w:szCs w:val="32"/>
        </w:rPr>
      </w:pPr>
      <w:r>
        <w:rPr>
          <w:rFonts w:hint="eastAsia" w:ascii="仿宋_GB2312" w:hAnsi="仿宋" w:eastAsia="仿宋_GB2312"/>
          <w:sz w:val="32"/>
          <w:szCs w:val="32"/>
        </w:rPr>
        <w:t>1.项目绩效总体目标</w:t>
      </w:r>
    </w:p>
    <w:p>
      <w:pPr>
        <w:snapToGrid w:val="0"/>
        <w:spacing w:line="360" w:lineRule="auto"/>
        <w:ind w:firstLine="640"/>
        <w:rPr>
          <w:rFonts w:hint="eastAsia" w:ascii="仿宋_GB2312" w:hAnsi="仿宋" w:eastAsia="仿宋_GB2312"/>
          <w:sz w:val="32"/>
          <w:szCs w:val="32"/>
        </w:rPr>
      </w:pPr>
      <w:r>
        <w:rPr>
          <w:rFonts w:hint="eastAsia" w:ascii="仿宋_GB2312" w:hAnsi="仿宋" w:eastAsia="仿宋_GB2312"/>
          <w:sz w:val="32"/>
          <w:szCs w:val="32"/>
        </w:rPr>
        <w:t>按照上级工作部署，开展春冬季灭鼠和夏季灭蟑灭蚊蝇统一行动，病媒消杀范围覆盖所有社区公共区域，放置鼠饵站、捕蝇笼等防制设备，投放消杀药品。</w:t>
      </w:r>
    </w:p>
    <w:p>
      <w:pPr>
        <w:snapToGrid w:val="0"/>
        <w:spacing w:line="360" w:lineRule="auto"/>
        <w:ind w:firstLine="640"/>
        <w:rPr>
          <w:rFonts w:ascii="仿宋_GB2312" w:hAnsi="仿宋" w:eastAsia="仿宋_GB2312"/>
          <w:sz w:val="32"/>
          <w:szCs w:val="32"/>
        </w:rPr>
      </w:pPr>
      <w:r>
        <w:rPr>
          <w:rFonts w:hint="eastAsia" w:ascii="仿宋_GB2312" w:hAnsi="仿宋" w:eastAsia="仿宋_GB2312"/>
          <w:sz w:val="32"/>
          <w:szCs w:val="32"/>
        </w:rPr>
        <w:t>2.项目绩效具体指标</w:t>
      </w:r>
    </w:p>
    <w:p>
      <w:pPr>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（1）数量指标：</w:t>
      </w:r>
    </w:p>
    <w:p>
      <w:pPr>
        <w:snapToGrid w:val="0"/>
        <w:spacing w:line="360" w:lineRule="auto"/>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社区及公共区域数量≥</w:t>
      </w:r>
      <w:r>
        <w:rPr>
          <w:rFonts w:hint="eastAsia" w:ascii="仿宋_GB2312" w:hAnsi="仿宋" w:eastAsia="仿宋_GB2312"/>
          <w:sz w:val="32"/>
          <w:szCs w:val="32"/>
          <w:lang w:val="en-US" w:eastAsia="zh-CN"/>
        </w:rPr>
        <w:t>25</w:t>
      </w:r>
      <w:r>
        <w:rPr>
          <w:rFonts w:hint="eastAsia" w:ascii="仿宋_GB2312" w:hAnsi="仿宋" w:eastAsia="仿宋_GB2312"/>
          <w:sz w:val="32"/>
          <w:szCs w:val="32"/>
          <w:lang w:eastAsia="zh-CN"/>
        </w:rPr>
        <w:t>个</w:t>
      </w:r>
    </w:p>
    <w:p>
      <w:pPr>
        <w:snapToGrid w:val="0"/>
        <w:spacing w:line="360" w:lineRule="auto"/>
        <w:ind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rPr>
        <w:t>（2）质量指标：按照合同完成规定任务量</w:t>
      </w:r>
      <w:r>
        <w:rPr>
          <w:rFonts w:hint="eastAsia" w:ascii="仿宋_GB2312" w:hAnsi="仿宋" w:eastAsia="仿宋_GB2312"/>
          <w:sz w:val="32"/>
          <w:szCs w:val="32"/>
          <w:lang w:val="en-US" w:eastAsia="zh-CN"/>
        </w:rPr>
        <w:t>=100%</w:t>
      </w:r>
    </w:p>
    <w:p>
      <w:pPr>
        <w:snapToGrid w:val="0"/>
        <w:spacing w:line="360" w:lineRule="auto"/>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（3）</w:t>
      </w:r>
      <w:r>
        <w:rPr>
          <w:rFonts w:hint="eastAsia" w:ascii="仿宋_GB2312" w:hAnsi="仿宋" w:eastAsia="仿宋_GB2312"/>
          <w:sz w:val="32"/>
          <w:szCs w:val="32"/>
          <w:lang w:eastAsia="zh-CN"/>
        </w:rPr>
        <w:t>时效</w:t>
      </w:r>
      <w:r>
        <w:rPr>
          <w:rFonts w:hint="eastAsia" w:ascii="仿宋_GB2312" w:hAnsi="仿宋" w:eastAsia="仿宋_GB2312"/>
          <w:sz w:val="32"/>
          <w:szCs w:val="32"/>
        </w:rPr>
        <w:t>指标：</w:t>
      </w:r>
      <w:r>
        <w:rPr>
          <w:rFonts w:hint="eastAsia" w:ascii="仿宋_GB2312" w:hAnsi="仿宋" w:eastAsia="仿宋_GB2312"/>
          <w:sz w:val="32"/>
          <w:szCs w:val="32"/>
          <w:lang w:eastAsia="zh-CN"/>
        </w:rPr>
        <w:t>支出进度：优良中低差</w:t>
      </w:r>
    </w:p>
    <w:p>
      <w:pPr>
        <w:snapToGrid w:val="0"/>
        <w:spacing w:line="360" w:lineRule="auto"/>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4</w:t>
      </w:r>
      <w:r>
        <w:rPr>
          <w:rFonts w:hint="eastAsia" w:ascii="仿宋_GB2312" w:hAnsi="仿宋" w:eastAsia="仿宋_GB2312"/>
          <w:sz w:val="32"/>
          <w:szCs w:val="32"/>
        </w:rPr>
        <w:t>）</w:t>
      </w:r>
      <w:r>
        <w:rPr>
          <w:rFonts w:hint="eastAsia" w:ascii="仿宋_GB2312" w:hAnsi="仿宋" w:eastAsia="仿宋_GB2312"/>
          <w:sz w:val="32"/>
          <w:szCs w:val="32"/>
          <w:lang w:eastAsia="zh-CN"/>
        </w:rPr>
        <w:t>社会效益</w:t>
      </w:r>
      <w:r>
        <w:rPr>
          <w:rFonts w:hint="eastAsia" w:ascii="仿宋_GB2312" w:hAnsi="仿宋" w:eastAsia="仿宋_GB2312"/>
          <w:sz w:val="32"/>
          <w:szCs w:val="32"/>
        </w:rPr>
        <w:t>指标：</w:t>
      </w:r>
      <w:r>
        <w:rPr>
          <w:rFonts w:hint="eastAsia" w:ascii="仿宋_GB2312" w:hAnsi="仿宋" w:eastAsia="仿宋_GB2312"/>
          <w:sz w:val="32"/>
          <w:szCs w:val="32"/>
          <w:lang w:eastAsia="zh-CN"/>
        </w:rPr>
        <w:t>减少病媒传播途径：优良中低差</w:t>
      </w:r>
    </w:p>
    <w:p>
      <w:pPr>
        <w:snapToGrid w:val="0"/>
        <w:spacing w:line="360" w:lineRule="auto"/>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5</w:t>
      </w:r>
      <w:r>
        <w:rPr>
          <w:rFonts w:hint="eastAsia" w:ascii="仿宋_GB2312" w:hAnsi="仿宋" w:eastAsia="仿宋_GB2312"/>
          <w:sz w:val="32"/>
          <w:szCs w:val="32"/>
        </w:rPr>
        <w:t>）</w:t>
      </w:r>
      <w:r>
        <w:rPr>
          <w:rFonts w:hint="eastAsia" w:ascii="仿宋_GB2312" w:hAnsi="仿宋" w:eastAsia="仿宋_GB2312"/>
          <w:sz w:val="32"/>
          <w:szCs w:val="32"/>
          <w:lang w:eastAsia="zh-CN"/>
        </w:rPr>
        <w:t>服务对象满意度指标</w:t>
      </w:r>
      <w:r>
        <w:rPr>
          <w:rFonts w:hint="eastAsia" w:ascii="仿宋_GB2312" w:hAnsi="仿宋" w:eastAsia="仿宋_GB2312"/>
          <w:sz w:val="32"/>
          <w:szCs w:val="32"/>
        </w:rPr>
        <w:t>：</w:t>
      </w:r>
      <w:r>
        <w:rPr>
          <w:rFonts w:hint="eastAsia" w:ascii="仿宋_GB2312" w:hAnsi="仿宋" w:eastAsia="仿宋_GB2312"/>
          <w:sz w:val="32"/>
          <w:szCs w:val="32"/>
          <w:lang w:eastAsia="zh-CN"/>
        </w:rPr>
        <w:t>服务对象满意度：优良中低差</w:t>
      </w:r>
    </w:p>
    <w:p>
      <w:pPr>
        <w:snapToGrid w:val="0"/>
        <w:spacing w:line="360" w:lineRule="auto"/>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6</w:t>
      </w:r>
      <w:r>
        <w:rPr>
          <w:rFonts w:hint="eastAsia" w:ascii="仿宋_GB2312" w:hAnsi="仿宋" w:eastAsia="仿宋_GB2312"/>
          <w:sz w:val="32"/>
          <w:szCs w:val="32"/>
        </w:rPr>
        <w:t>）</w:t>
      </w:r>
      <w:r>
        <w:rPr>
          <w:rFonts w:hint="eastAsia" w:ascii="仿宋_GB2312" w:hAnsi="仿宋" w:eastAsia="仿宋_GB2312"/>
          <w:sz w:val="32"/>
          <w:szCs w:val="32"/>
          <w:lang w:eastAsia="zh-CN"/>
        </w:rPr>
        <w:t>经济成本指标</w:t>
      </w:r>
      <w:r>
        <w:rPr>
          <w:rFonts w:hint="eastAsia" w:ascii="仿宋_GB2312" w:hAnsi="仿宋" w:eastAsia="仿宋_GB2312"/>
          <w:sz w:val="32"/>
          <w:szCs w:val="32"/>
        </w:rPr>
        <w:t>指标：</w:t>
      </w:r>
      <w:r>
        <w:rPr>
          <w:rFonts w:hint="eastAsia" w:ascii="仿宋_GB2312" w:hAnsi="仿宋" w:eastAsia="仿宋_GB2312"/>
          <w:sz w:val="32"/>
          <w:szCs w:val="32"/>
          <w:lang w:eastAsia="zh-CN"/>
        </w:rPr>
        <w:t>控制在预算成本内≤1000000元</w:t>
      </w:r>
      <w:r>
        <w:rPr>
          <w:rFonts w:hint="eastAsia" w:ascii="仿宋_GB2312" w:hAnsi="仿宋" w:eastAsia="仿宋_GB2312"/>
          <w:sz w:val="32"/>
          <w:szCs w:val="32"/>
          <w:lang w:val="en-US" w:eastAsia="zh-CN"/>
        </w:rPr>
        <w:t>/年</w:t>
      </w:r>
    </w:p>
    <w:p>
      <w:pPr>
        <w:pStyle w:val="2"/>
        <w:rPr>
          <w:rFonts w:hint="eastAsia"/>
          <w:lang w:eastAsia="zh-CN"/>
        </w:rPr>
      </w:pPr>
    </w:p>
    <w:p>
      <w:pPr>
        <w:pStyle w:val="2"/>
        <w:rPr>
          <w:rFonts w:hint="eastAsia"/>
          <w:lang w:eastAsia="zh-CN"/>
        </w:rPr>
      </w:pPr>
    </w:p>
    <w:p>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二、绩效评价工作开展情况</w:t>
      </w:r>
    </w:p>
    <w:p>
      <w:pPr>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（一）绩效评价目的、对象和范围</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1.评价目的</w:t>
      </w:r>
    </w:p>
    <w:p>
      <w:pPr>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项目绩效评价工作主要是运用科学、合理的绩效评价指标、评价标准和评价方法对项目财政支出进行绩效评价。一是促进单位强化绩效理念，加强对财政预算资金的管理和监督，强化支出责任，提高财政资金使用效益，保证财政资金使用的规范性、安全性和有效性；二是进一步总结和分析财政资金的支出效果，了解、分析、检验财政资金项目支出是否达到预期目标，考核财政资金项目支出效率和综合效果；三是为指导预算编制、设定绩效目标、优化财政支出结构、提高公共服务水平提供决策依据；四是为部门预算绩效管理工作积累经验，探索更加适用于北京市黄埔军校同学会项目支出的绩效管理工作方式。</w:t>
      </w:r>
    </w:p>
    <w:p>
      <w:pPr>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2.评价对象</w:t>
      </w:r>
    </w:p>
    <w:p>
      <w:pPr>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本次绩效评价的对象为“</w:t>
      </w:r>
      <w:r>
        <w:rPr>
          <w:rFonts w:hint="eastAsia" w:ascii="仿宋_GB2312" w:hAnsi="仿宋_GB2312" w:eastAsia="仿宋_GB2312" w:cs="仿宋_GB2312"/>
          <w:sz w:val="32"/>
          <w:szCs w:val="32"/>
          <w:highlight w:val="none"/>
        </w:rPr>
        <w:t>病媒消杀工作</w:t>
      </w:r>
      <w:r>
        <w:rPr>
          <w:rFonts w:hint="eastAsia" w:ascii="仿宋_GB2312" w:hAnsi="仿宋" w:eastAsia="仿宋_GB2312"/>
          <w:sz w:val="32"/>
          <w:szCs w:val="32"/>
        </w:rPr>
        <w:t>”项目经费，该项目执行期限为一年。</w:t>
      </w:r>
    </w:p>
    <w:p>
      <w:pPr>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3.评价范围</w:t>
      </w:r>
    </w:p>
    <w:p>
      <w:pPr>
        <w:snapToGrid w:val="0"/>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本次绩效评价的范围是：绩效目标与工作方案的适应性；财政资金使用情况，财务管理状况；为加强管理所制定或完善的相关制度，采取的措施；绩效目标的实现程度，包括是否达到预定产出和效果等需要评价的其他内容。</w:t>
      </w:r>
    </w:p>
    <w:p>
      <w:pPr>
        <w:snapToGrid w:val="0"/>
        <w:spacing w:line="360" w:lineRule="auto"/>
        <w:ind w:firstLine="640" w:firstLineChars="200"/>
        <w:rPr>
          <w:rFonts w:ascii="楷体_GB2312" w:eastAsia="楷体_GB2312"/>
          <w:sz w:val="32"/>
          <w:szCs w:val="32"/>
        </w:rPr>
      </w:pPr>
      <w:r>
        <w:rPr>
          <w:rFonts w:hint="eastAsia" w:ascii="楷体_GB2312" w:eastAsia="楷体_GB2312"/>
          <w:sz w:val="32"/>
          <w:szCs w:val="32"/>
        </w:rPr>
        <w:t>（二）绩效评价原则和评价方法</w:t>
      </w:r>
    </w:p>
    <w:p>
      <w:pPr>
        <w:snapToGrid w:val="0"/>
        <w:spacing w:line="360" w:lineRule="auto"/>
        <w:ind w:firstLine="640"/>
        <w:rPr>
          <w:rFonts w:ascii="仿宋_GB2312" w:hAnsi="仿宋" w:eastAsia="仿宋_GB2312"/>
          <w:sz w:val="32"/>
          <w:szCs w:val="32"/>
        </w:rPr>
      </w:pPr>
      <w:r>
        <w:rPr>
          <w:rFonts w:hint="eastAsia" w:ascii="仿宋_GB2312" w:hAnsi="仿宋" w:eastAsia="仿宋_GB2312"/>
          <w:sz w:val="32"/>
          <w:szCs w:val="32"/>
        </w:rPr>
        <w:t>1.科学规范原则</w:t>
      </w:r>
    </w:p>
    <w:p>
      <w:pPr>
        <w:snapToGrid w:val="0"/>
        <w:spacing w:line="360" w:lineRule="auto"/>
        <w:ind w:firstLine="640"/>
        <w:rPr>
          <w:rFonts w:ascii="仿宋_GB2312" w:hAnsi="仿宋" w:eastAsia="仿宋_GB2312"/>
          <w:sz w:val="32"/>
          <w:szCs w:val="32"/>
        </w:rPr>
      </w:pPr>
      <w:r>
        <w:rPr>
          <w:rFonts w:hint="eastAsia" w:ascii="仿宋_GB2312" w:hAnsi="仿宋" w:eastAsia="仿宋_GB2312"/>
          <w:sz w:val="32"/>
          <w:szCs w:val="32"/>
        </w:rPr>
        <w:t>绩效评价严格执行规定的程序，按照科学可行的要求，采用定量与定性分析相结合的方法。</w:t>
      </w:r>
    </w:p>
    <w:p>
      <w:pPr>
        <w:snapToGrid w:val="0"/>
        <w:spacing w:line="360" w:lineRule="auto"/>
        <w:ind w:firstLine="640"/>
        <w:rPr>
          <w:rFonts w:ascii="仿宋_GB2312" w:hAnsi="仿宋" w:eastAsia="仿宋_GB2312"/>
          <w:sz w:val="32"/>
          <w:szCs w:val="32"/>
        </w:rPr>
      </w:pPr>
      <w:r>
        <w:rPr>
          <w:rFonts w:hint="eastAsia" w:ascii="仿宋_GB2312" w:hAnsi="仿宋" w:eastAsia="仿宋_GB2312"/>
          <w:sz w:val="32"/>
          <w:szCs w:val="32"/>
        </w:rPr>
        <w:t>2.公正公开原则</w:t>
      </w:r>
    </w:p>
    <w:p>
      <w:pPr>
        <w:snapToGrid w:val="0"/>
        <w:spacing w:line="360" w:lineRule="auto"/>
        <w:ind w:firstLine="640"/>
        <w:rPr>
          <w:rFonts w:ascii="仿宋_GB2312" w:hAnsi="仿宋" w:eastAsia="仿宋_GB2312"/>
          <w:sz w:val="32"/>
          <w:szCs w:val="32"/>
        </w:rPr>
      </w:pPr>
      <w:r>
        <w:rPr>
          <w:rFonts w:hint="eastAsia" w:ascii="仿宋_GB2312" w:hAnsi="仿宋" w:eastAsia="仿宋_GB2312"/>
          <w:sz w:val="32"/>
          <w:szCs w:val="32"/>
        </w:rPr>
        <w:t>绩效评价符合真实、客观、公正的要求，依法公开并接受监督。</w:t>
      </w:r>
    </w:p>
    <w:p>
      <w:pPr>
        <w:snapToGrid w:val="0"/>
        <w:spacing w:line="360" w:lineRule="auto"/>
        <w:ind w:firstLine="640"/>
        <w:rPr>
          <w:rFonts w:ascii="仿宋_GB2312" w:hAnsi="仿宋" w:eastAsia="仿宋_GB2312"/>
          <w:sz w:val="32"/>
          <w:szCs w:val="32"/>
        </w:rPr>
      </w:pPr>
      <w:r>
        <w:rPr>
          <w:rFonts w:hint="eastAsia" w:ascii="仿宋_GB2312" w:hAnsi="仿宋" w:eastAsia="仿宋_GB2312"/>
          <w:sz w:val="32"/>
          <w:szCs w:val="32"/>
        </w:rPr>
        <w:t>3.分级分类原则</w:t>
      </w:r>
    </w:p>
    <w:p>
      <w:pPr>
        <w:snapToGrid w:val="0"/>
        <w:spacing w:line="360" w:lineRule="auto"/>
        <w:ind w:firstLine="640"/>
        <w:rPr>
          <w:rFonts w:ascii="仿宋_GB2312" w:hAnsi="仿宋" w:eastAsia="仿宋_GB2312"/>
          <w:sz w:val="32"/>
          <w:szCs w:val="32"/>
        </w:rPr>
      </w:pPr>
      <w:r>
        <w:rPr>
          <w:rFonts w:hint="eastAsia" w:ascii="仿宋_GB2312" w:hAnsi="仿宋" w:eastAsia="仿宋_GB2312"/>
          <w:sz w:val="32"/>
          <w:szCs w:val="32"/>
        </w:rPr>
        <w:t>绩效评价由绩效评价领导小组根据评价对象的特点分类组织实施。</w:t>
      </w:r>
    </w:p>
    <w:p>
      <w:pPr>
        <w:snapToGrid w:val="0"/>
        <w:spacing w:line="360" w:lineRule="auto"/>
        <w:ind w:firstLine="640"/>
        <w:rPr>
          <w:rFonts w:ascii="仿宋_GB2312" w:hAnsi="仿宋" w:eastAsia="仿宋_GB2312"/>
          <w:sz w:val="32"/>
          <w:szCs w:val="32"/>
        </w:rPr>
      </w:pPr>
      <w:r>
        <w:rPr>
          <w:rFonts w:hint="eastAsia" w:ascii="仿宋_GB2312" w:hAnsi="仿宋" w:eastAsia="仿宋_GB2312"/>
          <w:sz w:val="32"/>
          <w:szCs w:val="32"/>
        </w:rPr>
        <w:t>4.绩效相关原则</w:t>
      </w:r>
    </w:p>
    <w:p>
      <w:pPr>
        <w:snapToGrid w:val="0"/>
        <w:spacing w:line="360" w:lineRule="auto"/>
        <w:ind w:firstLine="640"/>
        <w:rPr>
          <w:rFonts w:ascii="仿宋_GB2312" w:hAnsi="仿宋" w:eastAsia="仿宋_GB2312"/>
          <w:sz w:val="32"/>
          <w:szCs w:val="32"/>
        </w:rPr>
      </w:pPr>
      <w:r>
        <w:rPr>
          <w:rFonts w:hint="eastAsia" w:ascii="仿宋_GB2312" w:hAnsi="仿宋" w:eastAsia="仿宋_GB2312"/>
          <w:sz w:val="32"/>
          <w:szCs w:val="32"/>
        </w:rPr>
        <w:t>绩效评价针对具体支出及其产出绩效进行评价，结果清晰反映产出和绩效之间的紧密对应关系。</w:t>
      </w:r>
    </w:p>
    <w:p>
      <w:pPr>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（三）绩效评价工作过程</w:t>
      </w:r>
    </w:p>
    <w:p>
      <w:pPr>
        <w:spacing w:line="360" w:lineRule="auto"/>
        <w:ind w:firstLine="640" w:firstLineChars="200"/>
        <w:rPr>
          <w:rFonts w:ascii="仿宋_GB2312" w:hAnsi="楷体_GB2312" w:eastAsia="仿宋_GB2312" w:cs="楷体_GB2312"/>
          <w:sz w:val="32"/>
          <w:szCs w:val="32"/>
        </w:rPr>
      </w:pPr>
      <w:r>
        <w:rPr>
          <w:rFonts w:hint="eastAsia" w:ascii="仿宋_GB2312" w:hAnsi="仿宋" w:eastAsia="仿宋_GB2312"/>
          <w:sz w:val="32"/>
          <w:szCs w:val="32"/>
        </w:rPr>
        <w:t>成立</w:t>
      </w:r>
      <w:r>
        <w:rPr>
          <w:rFonts w:hint="eastAsia" w:ascii="仿宋_GB2312" w:hAnsi="仿宋" w:eastAsia="仿宋_GB2312"/>
          <w:sz w:val="32"/>
          <w:szCs w:val="32"/>
          <w:lang w:eastAsia="zh-CN"/>
        </w:rPr>
        <w:t>该项目</w:t>
      </w:r>
      <w:r>
        <w:rPr>
          <w:rFonts w:hint="eastAsia" w:ascii="仿宋_GB2312" w:hAnsi="仿宋" w:eastAsia="仿宋_GB2312"/>
          <w:sz w:val="32"/>
          <w:szCs w:val="32"/>
        </w:rPr>
        <w:t>绩效评价领导小组，订立评价流程。</w:t>
      </w:r>
      <w:r>
        <w:rPr>
          <w:rFonts w:hint="eastAsia" w:ascii="仿宋_GB2312" w:eastAsia="仿宋_GB2312"/>
          <w:sz w:val="32"/>
          <w:szCs w:val="32"/>
        </w:rPr>
        <w:t>由</w:t>
      </w:r>
      <w:r>
        <w:rPr>
          <w:rFonts w:hint="eastAsia" w:ascii="仿宋_GB2312" w:hAnsi="仿宋" w:eastAsia="仿宋_GB2312"/>
          <w:sz w:val="32"/>
          <w:szCs w:val="32"/>
        </w:rPr>
        <w:t>“</w:t>
      </w:r>
      <w:r>
        <w:rPr>
          <w:rFonts w:hint="eastAsia" w:ascii="仿宋_GB2312" w:hAnsi="仿宋_GB2312" w:eastAsia="仿宋_GB2312" w:cs="仿宋_GB2312"/>
          <w:sz w:val="32"/>
          <w:szCs w:val="32"/>
          <w:highlight w:val="none"/>
        </w:rPr>
        <w:t>病媒消杀工作</w:t>
      </w:r>
      <w:r>
        <w:rPr>
          <w:rFonts w:hint="eastAsia" w:ascii="仿宋_GB2312" w:hAnsi="仿宋" w:eastAsia="仿宋_GB2312"/>
          <w:sz w:val="32"/>
          <w:szCs w:val="32"/>
        </w:rPr>
        <w:t>”</w:t>
      </w:r>
      <w:r>
        <w:rPr>
          <w:rFonts w:hint="eastAsia" w:ascii="仿宋_GB2312" w:eastAsia="仿宋_GB2312"/>
          <w:sz w:val="32"/>
          <w:szCs w:val="32"/>
        </w:rPr>
        <w:t>的项目负责人提交</w:t>
      </w:r>
      <w:r>
        <w:rPr>
          <w:rFonts w:ascii="仿宋_GB2312" w:eastAsia="仿宋_GB2312"/>
          <w:sz w:val="32"/>
          <w:szCs w:val="32"/>
        </w:rPr>
        <w:t>项目</w:t>
      </w:r>
      <w:r>
        <w:rPr>
          <w:rFonts w:hint="eastAsia" w:ascii="仿宋_GB2312" w:eastAsia="仿宋_GB2312"/>
          <w:sz w:val="32"/>
          <w:szCs w:val="32"/>
        </w:rPr>
        <w:t>总</w:t>
      </w:r>
      <w:r>
        <w:rPr>
          <w:rFonts w:ascii="仿宋_GB2312" w:eastAsia="仿宋_GB2312"/>
          <w:sz w:val="32"/>
          <w:szCs w:val="32"/>
        </w:rPr>
        <w:t>结，并</w:t>
      </w:r>
      <w:r>
        <w:rPr>
          <w:rFonts w:hint="eastAsia" w:ascii="仿宋_GB2312" w:eastAsia="仿宋_GB2312"/>
          <w:sz w:val="32"/>
          <w:szCs w:val="32"/>
        </w:rPr>
        <w:t>对照202</w:t>
      </w:r>
      <w:r>
        <w:rPr>
          <w:rFonts w:hint="eastAsia" w:ascii="仿宋_GB2312" w:eastAsia="仿宋_GB2312"/>
          <w:sz w:val="32"/>
          <w:szCs w:val="32"/>
          <w:lang w:val="en-US" w:eastAsia="zh-CN"/>
        </w:rPr>
        <w:t>3</w:t>
      </w:r>
      <w:r>
        <w:rPr>
          <w:rFonts w:hint="eastAsia" w:ascii="仿宋_GB2312" w:eastAsia="仿宋_GB2312"/>
          <w:sz w:val="32"/>
          <w:szCs w:val="32"/>
        </w:rPr>
        <w:t>年初设定的绩效目标</w:t>
      </w:r>
      <w:r>
        <w:rPr>
          <w:rFonts w:ascii="仿宋_GB2312" w:eastAsia="仿宋_GB2312"/>
          <w:sz w:val="32"/>
          <w:szCs w:val="32"/>
        </w:rPr>
        <w:t>，</w:t>
      </w:r>
      <w:r>
        <w:rPr>
          <w:rFonts w:hint="eastAsia" w:ascii="仿宋_GB2312" w:eastAsia="仿宋_GB2312"/>
          <w:sz w:val="32"/>
          <w:szCs w:val="32"/>
        </w:rPr>
        <w:t>填写《项目支出绩效自评表》，财务人员结合实际经费支出情况，撰写《项目</w:t>
      </w:r>
      <w:r>
        <w:rPr>
          <w:rFonts w:ascii="仿宋_GB2312" w:eastAsia="仿宋_GB2312"/>
          <w:sz w:val="32"/>
          <w:szCs w:val="32"/>
        </w:rPr>
        <w:t>支出</w:t>
      </w:r>
      <w:r>
        <w:rPr>
          <w:rFonts w:hint="eastAsia" w:ascii="仿宋_GB2312" w:eastAsia="仿宋_GB2312"/>
          <w:sz w:val="32"/>
          <w:szCs w:val="32"/>
        </w:rPr>
        <w:t>绩效评价报告》。</w:t>
      </w:r>
    </w:p>
    <w:p>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三、综合评价情况及评价结论</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该项目总体绩效目标比较明确，绩效指标设定基本清晰、合理；项目预算编制基本合理；财务管理制度比较健全。经评价，该项目综合得分</w:t>
      </w:r>
      <w:r>
        <w:rPr>
          <w:rFonts w:hint="eastAsia" w:ascii="仿宋_GB2312" w:hAnsi="仿宋" w:eastAsia="仿宋_GB2312"/>
          <w:color w:val="000000" w:themeColor="text1"/>
          <w:sz w:val="32"/>
          <w:szCs w:val="32"/>
          <w:lang w:val="en-US" w:eastAsia="zh-CN"/>
          <w14:textFill>
            <w14:solidFill>
              <w14:schemeClr w14:val="tx1"/>
            </w14:solidFill>
          </w14:textFill>
        </w:rPr>
        <w:t>100</w:t>
      </w:r>
      <w:r>
        <w:rPr>
          <w:rFonts w:hint="eastAsia" w:ascii="仿宋_GB2312" w:hAnsi="仿宋" w:eastAsia="仿宋_GB2312"/>
          <w:sz w:val="32"/>
          <w:szCs w:val="32"/>
        </w:rPr>
        <w:t>分。</w:t>
      </w:r>
    </w:p>
    <w:p>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四、绩效评价指标分析</w:t>
      </w:r>
    </w:p>
    <w:p>
      <w:pPr>
        <w:spacing w:line="360" w:lineRule="auto"/>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（一）项目决策情况</w:t>
      </w:r>
    </w:p>
    <w:p>
      <w:pPr>
        <w:snapToGrid w:val="0"/>
        <w:spacing w:line="360" w:lineRule="auto"/>
        <w:ind w:firstLine="640"/>
        <w:rPr>
          <w:rFonts w:ascii="仿宋_GB2312" w:eastAsia="仿宋_GB2312"/>
          <w:bCs/>
          <w:sz w:val="32"/>
          <w:szCs w:val="32"/>
        </w:rPr>
      </w:pPr>
      <w:bookmarkStart w:id="0" w:name="_Toc462125903"/>
      <w:bookmarkStart w:id="1" w:name="_Toc40971717"/>
      <w:r>
        <w:rPr>
          <w:rFonts w:hint="eastAsia" w:ascii="仿宋_GB2312" w:eastAsia="仿宋_GB2312"/>
          <w:bCs/>
          <w:sz w:val="32"/>
          <w:szCs w:val="32"/>
        </w:rPr>
        <w:t>1.目标明确性分析</w:t>
      </w:r>
      <w:bookmarkEnd w:id="0"/>
      <w:bookmarkEnd w:id="1"/>
    </w:p>
    <w:p>
      <w:pPr>
        <w:snapToGrid w:val="0"/>
        <w:spacing w:line="360" w:lineRule="auto"/>
        <w:ind w:firstLine="640"/>
        <w:rPr>
          <w:rFonts w:ascii="仿宋_GB2312" w:hAnsi="宋体" w:eastAsia="仿宋_GB2312"/>
          <w:sz w:val="32"/>
          <w:szCs w:val="32"/>
        </w:rPr>
      </w:pPr>
      <w:bookmarkStart w:id="2" w:name="_Toc40971718"/>
      <w:r>
        <w:rPr>
          <w:rFonts w:hint="eastAsia" w:ascii="仿宋_GB2312" w:eastAsia="仿宋_GB2312"/>
          <w:bCs/>
          <w:sz w:val="32"/>
          <w:szCs w:val="32"/>
        </w:rPr>
        <w:t>项目</w:t>
      </w:r>
      <w:r>
        <w:rPr>
          <w:rFonts w:hint="eastAsia" w:ascii="仿宋_GB2312" w:hAnsi="宋体" w:eastAsia="仿宋_GB2312"/>
          <w:bCs/>
          <w:sz w:val="32"/>
          <w:szCs w:val="32"/>
        </w:rPr>
        <w:t>绩效目标基本科学、清晰，能够明确反应目标。</w:t>
      </w:r>
      <w:bookmarkEnd w:id="2"/>
      <w:r>
        <w:rPr>
          <w:rFonts w:hint="eastAsia" w:ascii="仿宋_GB2312" w:hAnsi="宋体" w:eastAsia="仿宋_GB2312"/>
          <w:sz w:val="32"/>
          <w:szCs w:val="32"/>
        </w:rPr>
        <w:t xml:space="preserve"> </w:t>
      </w:r>
    </w:p>
    <w:p>
      <w:pPr>
        <w:snapToGrid w:val="0"/>
        <w:spacing w:line="360" w:lineRule="auto"/>
        <w:ind w:firstLine="640"/>
        <w:rPr>
          <w:rFonts w:ascii="仿宋_GB2312" w:eastAsia="仿宋_GB2312"/>
          <w:bCs/>
          <w:sz w:val="32"/>
          <w:szCs w:val="32"/>
        </w:rPr>
      </w:pPr>
      <w:bookmarkStart w:id="3" w:name="_Toc462125904"/>
      <w:bookmarkStart w:id="4" w:name="_Toc40971719"/>
      <w:r>
        <w:rPr>
          <w:rFonts w:hint="eastAsia" w:ascii="仿宋_GB2312" w:eastAsia="仿宋_GB2312"/>
          <w:bCs/>
          <w:sz w:val="32"/>
          <w:szCs w:val="32"/>
        </w:rPr>
        <w:t>2.目标合理性分析</w:t>
      </w:r>
      <w:bookmarkEnd w:id="3"/>
      <w:bookmarkEnd w:id="4"/>
    </w:p>
    <w:p>
      <w:pPr>
        <w:snapToGrid w:val="0"/>
        <w:spacing w:line="360" w:lineRule="auto"/>
        <w:ind w:firstLine="640"/>
        <w:rPr>
          <w:rFonts w:ascii="仿宋_GB2312" w:eastAsia="仿宋_GB2312"/>
          <w:bCs/>
          <w:sz w:val="32"/>
          <w:szCs w:val="32"/>
        </w:rPr>
      </w:pPr>
      <w:bookmarkStart w:id="5" w:name="_Toc40971720"/>
      <w:r>
        <w:rPr>
          <w:rFonts w:hint="eastAsia" w:ascii="仿宋_GB2312" w:eastAsia="仿宋_GB2312"/>
          <w:bCs/>
          <w:sz w:val="32"/>
          <w:szCs w:val="32"/>
        </w:rPr>
        <w:t>项目目标制定较为合理。符合国家法律法规，符合北京市黄埔军校同学会的职能要求。</w:t>
      </w:r>
      <w:bookmarkEnd w:id="5"/>
    </w:p>
    <w:p>
      <w:pPr>
        <w:snapToGrid w:val="0"/>
        <w:spacing w:line="360" w:lineRule="auto"/>
        <w:ind w:firstLine="640"/>
        <w:rPr>
          <w:rFonts w:ascii="仿宋_GB2312" w:eastAsia="仿宋_GB2312"/>
          <w:bCs/>
          <w:sz w:val="32"/>
          <w:szCs w:val="32"/>
        </w:rPr>
      </w:pPr>
      <w:bookmarkStart w:id="6" w:name="_Toc462125905"/>
      <w:bookmarkStart w:id="7" w:name="_Toc40971721"/>
      <w:r>
        <w:rPr>
          <w:rFonts w:hint="eastAsia" w:ascii="仿宋_GB2312" w:eastAsia="仿宋_GB2312"/>
          <w:bCs/>
          <w:sz w:val="32"/>
          <w:szCs w:val="32"/>
        </w:rPr>
        <w:t>3.目标细化程度分析</w:t>
      </w:r>
      <w:bookmarkEnd w:id="6"/>
      <w:bookmarkEnd w:id="7"/>
    </w:p>
    <w:p>
      <w:pPr>
        <w:snapToGrid w:val="0"/>
        <w:spacing w:line="360" w:lineRule="auto"/>
        <w:ind w:firstLine="640"/>
        <w:rPr>
          <w:rFonts w:ascii="仿宋_GB2312" w:eastAsia="仿宋_GB2312"/>
          <w:bCs/>
          <w:color w:val="000000" w:themeColor="text1"/>
          <w:sz w:val="32"/>
          <w:szCs w:val="32"/>
          <w14:textFill>
            <w14:solidFill>
              <w14:schemeClr w14:val="tx1"/>
            </w14:solidFill>
          </w14:textFill>
        </w:rPr>
      </w:pPr>
      <w:bookmarkStart w:id="8" w:name="_Toc40971722"/>
      <w:r>
        <w:rPr>
          <w:rFonts w:hint="eastAsia" w:ascii="仿宋_GB2312" w:eastAsia="仿宋_GB2312"/>
          <w:bCs/>
          <w:sz w:val="32"/>
          <w:szCs w:val="32"/>
        </w:rPr>
        <w:t>依据项目内容，从项目产出数量、质量、社会效益等方面设定了具体</w:t>
      </w:r>
      <w:r>
        <w:rPr>
          <w:rFonts w:hint="eastAsia" w:ascii="仿宋_GB2312" w:eastAsia="仿宋_GB2312"/>
          <w:bCs/>
          <w:color w:val="000000" w:themeColor="text1"/>
          <w:sz w:val="32"/>
          <w:szCs w:val="32"/>
          <w14:textFill>
            <w14:solidFill>
              <w14:schemeClr w14:val="tx1"/>
            </w14:solidFill>
          </w14:textFill>
        </w:rPr>
        <w:t>指标，目标细化程度基本符合项目内容。</w:t>
      </w:r>
      <w:bookmarkEnd w:id="8"/>
    </w:p>
    <w:p>
      <w:pPr>
        <w:spacing w:line="360" w:lineRule="auto"/>
        <w:ind w:firstLine="640" w:firstLineChars="200"/>
        <w:outlineLvl w:val="0"/>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（二）项目过程情况</w:t>
      </w:r>
      <w:bookmarkStart w:id="9" w:name="_Toc462125907"/>
      <w:bookmarkStart w:id="10" w:name="_Toc40971724"/>
    </w:p>
    <w:bookmarkEnd w:id="9"/>
    <w:bookmarkEnd w:id="10"/>
    <w:p>
      <w:pPr>
        <w:spacing w:line="360" w:lineRule="auto"/>
        <w:ind w:firstLine="640" w:firstLineChars="200"/>
        <w:outlineLvl w:val="0"/>
        <w:rPr>
          <w:rFonts w:ascii="仿宋_GB2312" w:hAnsi="仿宋" w:eastAsia="仿宋_GB2312"/>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202</w:t>
      </w:r>
      <w:r>
        <w:rPr>
          <w:rFonts w:hint="eastAsia" w:ascii="仿宋_GB2312" w:eastAsia="仿宋_GB2312"/>
          <w:bCs/>
          <w:color w:val="000000" w:themeColor="text1"/>
          <w:sz w:val="32"/>
          <w:szCs w:val="32"/>
          <w:lang w:val="en-US" w:eastAsia="zh-CN"/>
          <w14:textFill>
            <w14:solidFill>
              <w14:schemeClr w14:val="tx1"/>
            </w14:solidFill>
          </w14:textFill>
        </w:rPr>
        <w:t>3</w:t>
      </w:r>
      <w:r>
        <w:rPr>
          <w:rFonts w:hint="eastAsia" w:ascii="仿宋_GB2312" w:eastAsia="仿宋_GB2312"/>
          <w:bCs/>
          <w:color w:val="000000" w:themeColor="text1"/>
          <w:sz w:val="32"/>
          <w:szCs w:val="32"/>
          <w14:textFill>
            <w14:solidFill>
              <w14:schemeClr w14:val="tx1"/>
            </w14:solidFill>
          </w14:textFill>
        </w:rPr>
        <w:t>年收到财政拨付款项</w:t>
      </w:r>
      <w:r>
        <w:rPr>
          <w:rFonts w:hint="eastAsia" w:ascii="仿宋_GB2312" w:hAnsi="仿宋_GB2312" w:eastAsia="仿宋_GB2312" w:cs="仿宋_GB2312"/>
          <w:sz w:val="32"/>
          <w:szCs w:val="32"/>
          <w:highlight w:val="none"/>
        </w:rPr>
        <w:t>573169.28</w:t>
      </w:r>
      <w:r>
        <w:rPr>
          <w:rFonts w:hint="eastAsia" w:ascii="仿宋_GB2312" w:eastAsia="仿宋_GB2312"/>
          <w:bCs/>
          <w:color w:val="000000" w:themeColor="text1"/>
          <w:sz w:val="32"/>
          <w:szCs w:val="32"/>
          <w14:textFill>
            <w14:solidFill>
              <w14:schemeClr w14:val="tx1"/>
            </w14:solidFill>
          </w14:textFill>
        </w:rPr>
        <w:t>元，资金已足额到位，项目资金实施统一集中管理，</w:t>
      </w:r>
      <w:r>
        <w:rPr>
          <w:rFonts w:hint="eastAsia" w:ascii="仿宋_GB2312" w:hAnsi="仿宋" w:eastAsia="仿宋_GB2312"/>
          <w:color w:val="000000" w:themeColor="text1"/>
          <w:sz w:val="32"/>
          <w:szCs w:val="32"/>
          <w14:textFill>
            <w14:solidFill>
              <w14:schemeClr w14:val="tx1"/>
            </w14:solidFill>
          </w14:textFill>
        </w:rPr>
        <w:t>资金的使用和拨付，基本上按照《财务管理制度》等规定执行，保证了资金的合理有效使用，截至202</w:t>
      </w:r>
      <w:r>
        <w:rPr>
          <w:rFonts w:hint="eastAsia" w:ascii="仿宋_GB2312" w:hAnsi="仿宋" w:eastAsia="仿宋_GB2312"/>
          <w:color w:val="000000" w:themeColor="text1"/>
          <w:sz w:val="32"/>
          <w:szCs w:val="32"/>
          <w:lang w:val="en-US" w:eastAsia="zh-CN"/>
          <w14:textFill>
            <w14:solidFill>
              <w14:schemeClr w14:val="tx1"/>
            </w14:solidFill>
          </w14:textFill>
        </w:rPr>
        <w:t>3</w:t>
      </w:r>
      <w:r>
        <w:rPr>
          <w:rFonts w:hint="eastAsia" w:ascii="仿宋_GB2312" w:hAnsi="仿宋" w:eastAsia="仿宋_GB2312"/>
          <w:color w:val="000000" w:themeColor="text1"/>
          <w:sz w:val="32"/>
          <w:szCs w:val="32"/>
          <w14:textFill>
            <w14:solidFill>
              <w14:schemeClr w14:val="tx1"/>
            </w14:solidFill>
          </w14:textFill>
        </w:rPr>
        <w:t>年12月31日，上述款项</w:t>
      </w:r>
      <w:r>
        <w:rPr>
          <w:rFonts w:hint="eastAsia" w:ascii="仿宋_GB2312" w:hAnsi="仿宋_GB2312" w:eastAsia="仿宋_GB2312" w:cs="仿宋_GB2312"/>
          <w:sz w:val="32"/>
          <w:szCs w:val="32"/>
          <w:highlight w:val="none"/>
        </w:rPr>
        <w:t>573140元</w:t>
      </w:r>
      <w:r>
        <w:rPr>
          <w:rFonts w:hint="eastAsia" w:ascii="仿宋_GB2312" w:hAnsi="仿宋" w:eastAsia="仿宋_GB2312"/>
          <w:color w:val="000000" w:themeColor="text1"/>
          <w:sz w:val="32"/>
          <w:szCs w:val="32"/>
          <w14:textFill>
            <w14:solidFill>
              <w14:schemeClr w14:val="tx1"/>
            </w14:solidFill>
          </w14:textFill>
        </w:rPr>
        <w:t>用于项目支出</w:t>
      </w:r>
      <w:r>
        <w:rPr>
          <w:rFonts w:hint="eastAsia" w:ascii="仿宋_GB2312" w:hAnsi="仿宋_GB2312" w:eastAsia="仿宋_GB2312" w:cs="仿宋_GB2312"/>
          <w:sz w:val="32"/>
          <w:szCs w:val="32"/>
          <w:highlight w:val="none"/>
        </w:rPr>
        <w:t>，结余</w:t>
      </w:r>
      <w:r>
        <w:rPr>
          <w:rFonts w:hint="eastAsia" w:ascii="仿宋_GB2312" w:hAnsi="仿宋_GB2312" w:eastAsia="仿宋_GB2312" w:cs="仿宋_GB2312"/>
          <w:sz w:val="32"/>
          <w:szCs w:val="32"/>
          <w:highlight w:val="none"/>
          <w:lang w:val="en-US" w:eastAsia="zh-CN"/>
        </w:rPr>
        <w:t>29.28</w:t>
      </w:r>
      <w:r>
        <w:rPr>
          <w:rFonts w:hint="eastAsia" w:ascii="仿宋_GB2312" w:hAnsi="仿宋_GB2312" w:eastAsia="仿宋_GB2312" w:cs="仿宋_GB2312"/>
          <w:sz w:val="32"/>
          <w:szCs w:val="32"/>
          <w:highlight w:val="none"/>
        </w:rPr>
        <w:t>元</w:t>
      </w:r>
      <w:r>
        <w:rPr>
          <w:rFonts w:hint="eastAsia" w:ascii="仿宋_GB2312" w:hAnsi="仿宋" w:eastAsia="仿宋_GB2312"/>
          <w:color w:val="000000" w:themeColor="text1"/>
          <w:sz w:val="32"/>
          <w:szCs w:val="32"/>
          <w14:textFill>
            <w14:solidFill>
              <w14:schemeClr w14:val="tx1"/>
            </w14:solidFill>
          </w14:textFill>
        </w:rPr>
        <w:t>，未出现超计划支出的情况。该项目在组织管理上，基本上符合财政项目管理规定。</w:t>
      </w:r>
    </w:p>
    <w:p>
      <w:pPr>
        <w:spacing w:line="360" w:lineRule="auto"/>
        <w:ind w:firstLine="640" w:firstLineChars="200"/>
        <w:outlineLvl w:val="0"/>
        <w:rPr>
          <w:rFonts w:ascii="楷体_GB2312" w:hAnsi="楷体_GB2312" w:eastAsia="楷体_GB2312" w:cs="楷体_GB2312"/>
          <w:sz w:val="32"/>
          <w:szCs w:val="32"/>
        </w:rPr>
      </w:pPr>
      <w:r>
        <w:rPr>
          <w:rFonts w:hint="eastAsia" w:ascii="楷体_GB2312" w:hAnsi="楷体_GB2312" w:eastAsia="楷体_GB2312" w:cs="楷体_GB2312"/>
          <w:sz w:val="32"/>
          <w:szCs w:val="32"/>
        </w:rPr>
        <w:t>（三）项目产出情况</w:t>
      </w:r>
      <w:bookmarkStart w:id="11" w:name="_Toc462125911"/>
    </w:p>
    <w:p>
      <w:pPr>
        <w:spacing w:line="360" w:lineRule="auto"/>
        <w:ind w:firstLine="640" w:firstLineChars="200"/>
        <w:outlineLvl w:val="0"/>
        <w:rPr>
          <w:rFonts w:ascii="楷体_GB2312" w:hAnsi="楷体_GB2312" w:eastAsia="楷体_GB2312" w:cs="楷体_GB2312"/>
          <w:sz w:val="32"/>
          <w:szCs w:val="32"/>
        </w:rPr>
      </w:pPr>
      <w:r>
        <w:rPr>
          <w:rFonts w:hint="eastAsia" w:ascii="仿宋_GB2312" w:eastAsia="仿宋_GB2312"/>
          <w:color w:val="000000" w:themeColor="text1"/>
          <w:sz w:val="32"/>
          <w:szCs w:val="32"/>
          <w14:textFill>
            <w14:solidFill>
              <w14:schemeClr w14:val="tx1"/>
            </w14:solidFill>
          </w14:textFill>
        </w:rPr>
        <w:t>1.</w:t>
      </w:r>
      <w:r>
        <w:rPr>
          <w:rFonts w:hint="eastAsia" w:ascii="仿宋_GB2312" w:hAnsi="仿宋" w:eastAsia="仿宋_GB2312"/>
          <w:color w:val="000000" w:themeColor="text1"/>
          <w:sz w:val="32"/>
          <w:szCs w:val="32"/>
          <w14:textFill>
            <w14:solidFill>
              <w14:schemeClr w14:val="tx1"/>
            </w14:solidFill>
          </w14:textFill>
        </w:rPr>
        <w:t>项目经济性分析</w:t>
      </w:r>
      <w:bookmarkEnd w:id="11"/>
    </w:p>
    <w:p>
      <w:pPr>
        <w:spacing w:line="360" w:lineRule="auto"/>
        <w:ind w:firstLine="640" w:firstLineChars="200"/>
        <w:outlineLvl w:val="0"/>
        <w:rPr>
          <w:rFonts w:ascii="楷体_GB2312" w:hAnsi="楷体_GB2312" w:eastAsia="楷体_GB2312" w:cs="楷体_GB2312"/>
          <w:sz w:val="32"/>
          <w:szCs w:val="32"/>
        </w:rPr>
      </w:pPr>
      <w:r>
        <w:rPr>
          <w:rFonts w:hint="eastAsia" w:ascii="仿宋_GB2312" w:hAnsi="仿宋" w:eastAsia="仿宋_GB2312"/>
          <w:color w:val="000000" w:themeColor="text1"/>
          <w:sz w:val="32"/>
          <w:szCs w:val="32"/>
          <w14:textFill>
            <w14:solidFill>
              <w14:schemeClr w14:val="tx1"/>
            </w14:solidFill>
          </w14:textFill>
        </w:rPr>
        <w:t>该项目实际总投资金额为</w:t>
      </w:r>
      <w:r>
        <w:rPr>
          <w:rFonts w:hint="eastAsia" w:ascii="仿宋_GB2312" w:hAnsi="仿宋_GB2312" w:eastAsia="仿宋_GB2312" w:cs="仿宋_GB2312"/>
          <w:sz w:val="32"/>
          <w:szCs w:val="32"/>
          <w:highlight w:val="none"/>
        </w:rPr>
        <w:t>573140</w:t>
      </w:r>
      <w:r>
        <w:rPr>
          <w:rFonts w:hint="eastAsia" w:ascii="仿宋_GB2312" w:hAnsi="仿宋" w:eastAsia="仿宋_GB2312"/>
          <w:color w:val="000000" w:themeColor="text1"/>
          <w:sz w:val="32"/>
          <w:szCs w:val="32"/>
          <w14:textFill>
            <w14:solidFill>
              <w14:schemeClr w14:val="tx1"/>
            </w14:solidFill>
          </w14:textFill>
        </w:rPr>
        <w:t>元，未超预算，经济性较好。</w:t>
      </w:r>
    </w:p>
    <w:p>
      <w:pPr>
        <w:snapToGrid w:val="0"/>
        <w:spacing w:line="360" w:lineRule="auto"/>
        <w:ind w:firstLine="604" w:firstLineChars="189"/>
        <w:rPr>
          <w:rFonts w:ascii="仿宋_GB2312" w:hAnsi="仿宋" w:eastAsia="仿宋_GB2312"/>
          <w:color w:val="000000" w:themeColor="text1"/>
          <w:sz w:val="32"/>
          <w:szCs w:val="32"/>
          <w14:textFill>
            <w14:solidFill>
              <w14:schemeClr w14:val="tx1"/>
            </w14:solidFill>
          </w14:textFill>
        </w:rPr>
      </w:pPr>
      <w:bookmarkStart w:id="12" w:name="_Toc462125912"/>
      <w:r>
        <w:rPr>
          <w:rFonts w:hint="eastAsia" w:ascii="仿宋_GB2312" w:hAnsi="仿宋" w:eastAsia="仿宋_GB2312"/>
          <w:color w:val="000000" w:themeColor="text1"/>
          <w:sz w:val="32"/>
          <w:szCs w:val="32"/>
          <w14:textFill>
            <w14:solidFill>
              <w14:schemeClr w14:val="tx1"/>
            </w14:solidFill>
          </w14:textFill>
        </w:rPr>
        <w:t>2.项目效率性分析</w:t>
      </w:r>
      <w:bookmarkEnd w:id="12"/>
    </w:p>
    <w:p>
      <w:pPr>
        <w:snapToGrid w:val="0"/>
        <w:spacing w:line="360" w:lineRule="auto"/>
        <w:ind w:firstLine="604" w:firstLineChars="189"/>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（1）项目的实施进度</w:t>
      </w:r>
    </w:p>
    <w:p>
      <w:pPr>
        <w:snapToGrid w:val="0"/>
        <w:spacing w:line="360" w:lineRule="auto"/>
        <w:ind w:firstLine="604" w:firstLineChars="189"/>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该项目计划于202</w:t>
      </w:r>
      <w:r>
        <w:rPr>
          <w:rFonts w:hint="eastAsia" w:ascii="仿宋_GB2312" w:hAnsi="仿宋" w:eastAsia="仿宋_GB2312"/>
          <w:color w:val="000000" w:themeColor="text1"/>
          <w:sz w:val="32"/>
          <w:szCs w:val="32"/>
          <w:lang w:val="en-US" w:eastAsia="zh-CN"/>
          <w14:textFill>
            <w14:solidFill>
              <w14:schemeClr w14:val="tx1"/>
            </w14:solidFill>
          </w14:textFill>
        </w:rPr>
        <w:t>3</w:t>
      </w:r>
      <w:r>
        <w:rPr>
          <w:rFonts w:hint="eastAsia" w:ascii="仿宋_GB2312" w:hAnsi="仿宋" w:eastAsia="仿宋_GB2312"/>
          <w:color w:val="000000" w:themeColor="text1"/>
          <w:sz w:val="32"/>
          <w:szCs w:val="32"/>
          <w14:textFill>
            <w14:solidFill>
              <w14:schemeClr w14:val="tx1"/>
            </w14:solidFill>
          </w14:textFill>
        </w:rPr>
        <w:t>年12月完成。实际于日期202</w:t>
      </w:r>
      <w:r>
        <w:rPr>
          <w:rFonts w:hint="eastAsia" w:ascii="仿宋_GB2312" w:hAnsi="仿宋" w:eastAsia="仿宋_GB2312"/>
          <w:color w:val="000000" w:themeColor="text1"/>
          <w:sz w:val="32"/>
          <w:szCs w:val="32"/>
          <w:lang w:val="en-US" w:eastAsia="zh-CN"/>
          <w14:textFill>
            <w14:solidFill>
              <w14:schemeClr w14:val="tx1"/>
            </w14:solidFill>
          </w14:textFill>
        </w:rPr>
        <w:t>3</w:t>
      </w:r>
      <w:r>
        <w:rPr>
          <w:rFonts w:hint="eastAsia" w:ascii="仿宋_GB2312" w:hAnsi="仿宋" w:eastAsia="仿宋_GB2312"/>
          <w:color w:val="000000" w:themeColor="text1"/>
          <w:sz w:val="32"/>
          <w:szCs w:val="32"/>
          <w14:textFill>
            <w14:solidFill>
              <w14:schemeClr w14:val="tx1"/>
            </w14:solidFill>
          </w14:textFill>
        </w:rPr>
        <w:t>年12月31日前完成。</w:t>
      </w:r>
    </w:p>
    <w:p>
      <w:pPr>
        <w:snapToGrid w:val="0"/>
        <w:spacing w:line="360" w:lineRule="auto"/>
        <w:ind w:firstLine="604" w:firstLineChars="189"/>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（2）项目完成质量</w:t>
      </w:r>
    </w:p>
    <w:p>
      <w:pPr>
        <w:pStyle w:val="2"/>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宋体" w:eastAsia="仿宋_GB2312" w:cs="宋体"/>
          <w:color w:val="000000"/>
          <w:kern w:val="0"/>
          <w:sz w:val="32"/>
          <w:szCs w:val="32"/>
        </w:rPr>
        <w:t>由于本项目具备较强的公益性，且病媒消杀项目提供的是公共物品，并无严格的经济价值，因此无法采用传统的经济绩效评价机制来评级绩效成本之间的关系。本项目本质上提供的是生态价值和社会价值。</w:t>
      </w:r>
      <w:r>
        <w:rPr>
          <w:rFonts w:hint="eastAsia" w:ascii="仿宋_GB2312" w:hAnsi="仿宋" w:eastAsia="仿宋_GB2312"/>
          <w:color w:val="000000" w:themeColor="text1"/>
          <w:sz w:val="32"/>
          <w:szCs w:val="32"/>
          <w14:textFill>
            <w14:solidFill>
              <w14:schemeClr w14:val="tx1"/>
            </w14:solidFill>
          </w14:textFill>
        </w:rPr>
        <w:t>仅根据填报的绩效目标与实际完成情况进行参照评价。</w:t>
      </w:r>
    </w:p>
    <w:p>
      <w:pPr>
        <w:snapToGrid w:val="0"/>
        <w:spacing w:line="360" w:lineRule="auto"/>
        <w:ind w:firstLine="640" w:firstLineChars="200"/>
        <w:outlineLvl w:val="0"/>
        <w:rPr>
          <w:rFonts w:ascii="楷体_GB2312" w:eastAsia="楷体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（四）项目效益情况</w:t>
      </w:r>
    </w:p>
    <w:p>
      <w:pPr>
        <w:pStyle w:val="2"/>
        <w:ind w:firstLine="64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根据病媒密度检测报告显示，经过持续消杀和孳生地治理，南磨房乡25个社区病媒密度显著降低。社区地井鼠类阳性率平均降低</w:t>
      </w:r>
      <w:r>
        <w:rPr>
          <w:rFonts w:ascii="仿宋_GB2312" w:hAnsi="宋体" w:eastAsia="仿宋_GB2312" w:cs="宋体"/>
          <w:color w:val="000000"/>
          <w:kern w:val="0"/>
          <w:sz w:val="32"/>
          <w:szCs w:val="32"/>
        </w:rPr>
        <w:t>60</w:t>
      </w:r>
      <w:r>
        <w:rPr>
          <w:rFonts w:hint="eastAsia" w:ascii="仿宋_GB2312" w:hAnsi="宋体" w:eastAsia="仿宋_GB2312" w:cs="宋体"/>
          <w:color w:val="000000"/>
          <w:kern w:val="0"/>
          <w:sz w:val="32"/>
          <w:szCs w:val="32"/>
        </w:rPr>
        <w:t>%，蟑螂及蚊虫环境密度也符合国家C类标准，部分达到国家A类标准。生态价值及社会价值巨大。</w:t>
      </w:r>
    </w:p>
    <w:p>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五、主要经验及做法、存在的问题及原因分析</w:t>
      </w:r>
    </w:p>
    <w:p>
      <w:pPr>
        <w:spacing w:line="600" w:lineRule="exact"/>
        <w:ind w:firstLine="640" w:firstLineChars="200"/>
        <w:rPr>
          <w:rFonts w:ascii="楷体_GB2312" w:hAnsi="黑体" w:eastAsia="楷体_GB2312" w:cs="宋体"/>
          <w:color w:val="000000"/>
          <w:kern w:val="0"/>
          <w:sz w:val="32"/>
          <w:szCs w:val="32"/>
        </w:rPr>
      </w:pPr>
      <w:r>
        <w:rPr>
          <w:rFonts w:hint="eastAsia" w:ascii="楷体_GB2312" w:eastAsia="楷体_GB2312"/>
          <w:color w:val="000000" w:themeColor="text1"/>
          <w:sz w:val="32"/>
          <w:szCs w:val="32"/>
          <w14:textFill>
            <w14:solidFill>
              <w14:schemeClr w14:val="tx1"/>
            </w14:solidFill>
          </w14:textFill>
        </w:rPr>
        <w:t>（一）主要经验和做法</w:t>
      </w:r>
    </w:p>
    <w:p>
      <w:pPr>
        <w:autoSpaceDE w:val="0"/>
        <w:autoSpaceDN w:val="0"/>
        <w:adjustRightInd w:val="0"/>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南磨房乡以建立健全病媒生物防制工作长效机制为抓手，强化组织领导，夯实工作责任，坚持宣传与检查相结合、治本与治标相结合、日常防制与突击消杀相结合、专业消杀与群众防治相结合的原则，以举办各类宣传活动为抓手，发动群众，开展周末大扫除活动，清理病媒孳生地和卫生死角；督促门店，紧抓病媒生物防护设施建设；以政府购买服务的形式，引入专业消杀公司对重点场所进行集中消杀、病媒生物孳生地调查与治理及春夏季和秋冬季的大型病媒生物集中消杀活动。</w:t>
      </w:r>
    </w:p>
    <w:p>
      <w:pPr>
        <w:spacing w:line="360" w:lineRule="auto"/>
        <w:ind w:firstLine="640" w:firstLineChars="200"/>
        <w:rPr>
          <w:rFonts w:ascii="仿宋_GB2312" w:hAnsi="楷体_GB2312" w:eastAsia="仿宋_GB2312" w:cs="楷体_GB2312"/>
          <w:sz w:val="32"/>
          <w:szCs w:val="32"/>
        </w:rPr>
      </w:pPr>
      <w:r>
        <w:rPr>
          <w:rFonts w:hint="eastAsia" w:ascii="楷体_GB2312" w:eastAsia="楷体_GB2312"/>
          <w:color w:val="000000" w:themeColor="text1"/>
          <w:sz w:val="32"/>
          <w:szCs w:val="32"/>
          <w14:textFill>
            <w14:solidFill>
              <w14:schemeClr w14:val="tx1"/>
            </w14:solidFill>
          </w14:textFill>
        </w:rPr>
        <w:t>（二）存在的问题及原因分析</w:t>
      </w:r>
    </w:p>
    <w:p>
      <w:pPr>
        <w:pStyle w:val="2"/>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产出和效益方面存在的问题主要是缺乏直观的效益度量。病媒消杀主要提供的是整洁卫生的生存环境，本质上是一种公共物品，它最直接的效益是作用在环境内的人身上的。我们现在通过度量病媒密度，只能对项目效益进行定性描述，无法进行定量度量。应采用住户满意度调查的方式对病媒消杀工作的效益进行直观度量，方便进行绩效评价。</w:t>
      </w:r>
    </w:p>
    <w:p>
      <w:pPr>
        <w:snapToGrid w:val="0"/>
        <w:spacing w:line="360" w:lineRule="auto"/>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s="宋体"/>
          <w:color w:val="000000"/>
          <w:kern w:val="0"/>
          <w:sz w:val="32"/>
          <w:szCs w:val="32"/>
        </w:rPr>
        <w:t>六、有关建议</w:t>
      </w:r>
    </w:p>
    <w:p>
      <w:pPr>
        <w:pStyle w:val="2"/>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1.加强成本管控的措施。应建立供应商绩效评价制度，对供应商项目实施效果进行评价，择优选择供应商建立白名单。明确病媒消杀服务标准，完善具体方案，简化实施措施，提高边际效益。持续优化</w:t>
      </w:r>
      <w:r>
        <w:rPr>
          <w:rFonts w:hint="eastAsia" w:ascii="仿宋_GB2312" w:hAnsi="宋体" w:eastAsia="仿宋_GB2312" w:cs="宋体"/>
          <w:color w:val="000000"/>
          <w:kern w:val="0"/>
          <w:sz w:val="32"/>
          <w:szCs w:val="32"/>
        </w:rPr>
        <w:t>项目方案，大胆探索新的工艺流程或技术改进，加强项目管理。</w:t>
      </w:r>
    </w:p>
    <w:p>
      <w:pPr>
        <w:pStyle w:val="2"/>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提高产出和效益效果方面的措施。建立病媒消杀项目群众集体评价制度，对每年的消杀效果进行集体评价。将评价结果与供应商评价机制、成本核算机制挂钩，对供应商进行综合打分，选出最优供应商承担项目的实施工作。</w:t>
      </w:r>
    </w:p>
    <w:p>
      <w:pPr>
        <w:pStyle w:val="2"/>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3.其他方面的措施。核定项目作业区域面积，建立项目后评价制度、成本核算机制，综合评价供应商项目实施效益。</w:t>
      </w:r>
    </w:p>
    <w:p>
      <w:pPr>
        <w:snapToGrid w:val="0"/>
        <w:spacing w:line="360" w:lineRule="auto"/>
        <w:ind w:firstLine="320" w:firstLineChars="1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七</w:t>
      </w:r>
      <w:r>
        <w:rPr>
          <w:rFonts w:ascii="黑体" w:hAnsi="黑体" w:eastAsia="黑体"/>
          <w:color w:val="000000" w:themeColor="text1"/>
          <w:sz w:val="32"/>
          <w:szCs w:val="32"/>
          <w14:textFill>
            <w14:solidFill>
              <w14:schemeClr w14:val="tx1"/>
            </w14:solidFill>
          </w14:textFill>
        </w:rPr>
        <w:t>、</w:t>
      </w:r>
      <w:r>
        <w:rPr>
          <w:rFonts w:hint="eastAsia" w:ascii="黑体" w:hAnsi="黑体" w:eastAsia="黑体"/>
          <w:color w:val="000000" w:themeColor="text1"/>
          <w:sz w:val="32"/>
          <w:szCs w:val="32"/>
          <w14:textFill>
            <w14:solidFill>
              <w14:schemeClr w14:val="tx1"/>
            </w14:solidFill>
          </w14:textFill>
        </w:rPr>
        <w:t>附件</w:t>
      </w:r>
    </w:p>
    <w:p>
      <w:pPr>
        <w:snapToGrid w:val="0"/>
        <w:spacing w:line="360" w:lineRule="auto"/>
        <w:ind w:firstLine="604" w:firstLineChars="189"/>
        <w:rPr>
          <w:rFonts w:ascii="黑体" w:hAnsi="黑体" w:eastAsia="黑体"/>
          <w:sz w:val="32"/>
          <w:szCs w:val="32"/>
        </w:rPr>
        <w:sectPr>
          <w:footerReference r:id="rId3" w:type="default"/>
          <w:pgSz w:w="11906" w:h="16838"/>
          <w:pgMar w:top="1440" w:right="1800" w:bottom="1440" w:left="1800" w:header="851" w:footer="992" w:gutter="0"/>
          <w:pgNumType w:fmt="numberInDash" w:start="1"/>
          <w:cols w:space="425" w:num="1"/>
          <w:docGrid w:type="lines" w:linePitch="312" w:charSpace="0"/>
        </w:sectPr>
      </w:pPr>
    </w:p>
    <w:p>
      <w:pPr>
        <w:widowControl/>
        <w:jc w:val="center"/>
        <w:textAlignment w:val="center"/>
        <w:rPr>
          <w:rFonts w:hint="eastAsia" w:ascii="方正小标宋简体" w:hAnsi="方正小标宋简体" w:eastAsia="方正小标宋简体" w:cs="方正小标宋简体"/>
          <w:color w:val="000000"/>
          <w:kern w:val="0"/>
          <w:sz w:val="36"/>
          <w:szCs w:val="36"/>
          <w:lang w:bidi="ar"/>
        </w:rPr>
      </w:pPr>
      <w:r>
        <w:rPr>
          <w:rFonts w:hint="eastAsia" w:ascii="方正小标宋简体" w:hAnsi="方正小标宋简体" w:eastAsia="方正小标宋简体" w:cs="方正小标宋简体"/>
          <w:color w:val="000000"/>
          <w:kern w:val="0"/>
          <w:sz w:val="36"/>
          <w:szCs w:val="36"/>
          <w:lang w:bidi="ar"/>
        </w:rPr>
        <w:t>南磨房乡政府病媒消杀项目成本绩效分析</w:t>
      </w:r>
    </w:p>
    <w:p>
      <w:pPr>
        <w:widowControl/>
        <w:jc w:val="center"/>
        <w:textAlignment w:val="center"/>
        <w:rPr>
          <w:rFonts w:hint="eastAsia" w:ascii="方正小标宋简体" w:hAnsi="方正小标宋简体" w:eastAsia="方正小标宋简体" w:cs="方正小标宋简体"/>
          <w:color w:val="000000"/>
          <w:kern w:val="0"/>
          <w:sz w:val="36"/>
          <w:szCs w:val="36"/>
          <w:lang w:bidi="ar"/>
        </w:rPr>
      </w:pPr>
      <w:r>
        <w:rPr>
          <w:rFonts w:hint="eastAsia" w:ascii="方正小标宋简体" w:hAnsi="方正小标宋简体" w:eastAsia="方正小标宋简体" w:cs="方正小标宋简体"/>
          <w:color w:val="000000"/>
          <w:kern w:val="0"/>
          <w:sz w:val="36"/>
          <w:szCs w:val="36"/>
          <w:lang w:bidi="ar"/>
        </w:rPr>
        <w:t>指标体系表</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597"/>
        <w:gridCol w:w="1678"/>
        <w:gridCol w:w="1262"/>
        <w:gridCol w:w="1113"/>
        <w:gridCol w:w="1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trPr>
        <w:tc>
          <w:tcPr>
            <w:tcW w:w="1243" w:type="dxa"/>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一级指标</w:t>
            </w:r>
          </w:p>
        </w:tc>
        <w:tc>
          <w:tcPr>
            <w:tcW w:w="1597" w:type="dxa"/>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二级指标</w:t>
            </w:r>
          </w:p>
        </w:tc>
        <w:tc>
          <w:tcPr>
            <w:tcW w:w="1678" w:type="dxa"/>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三级指标</w:t>
            </w:r>
          </w:p>
        </w:tc>
        <w:tc>
          <w:tcPr>
            <w:tcW w:w="1262" w:type="dxa"/>
            <w:vAlign w:val="center"/>
          </w:tcPr>
          <w:p>
            <w:pPr>
              <w:widowControl/>
              <w:jc w:val="center"/>
              <w:textAlignment w:val="center"/>
              <w:rPr>
                <w:rFonts w:hint="eastAsia" w:ascii="宋体" w:hAnsi="宋体" w:cs="宋体"/>
                <w:b/>
                <w:color w:val="000000"/>
                <w:kern w:val="0"/>
                <w:sz w:val="20"/>
                <w:szCs w:val="20"/>
                <w:lang w:bidi="ar"/>
              </w:rPr>
            </w:pPr>
            <w:r>
              <w:rPr>
                <w:rFonts w:hint="eastAsia" w:ascii="宋体" w:hAnsi="宋体" w:cs="宋体"/>
                <w:b/>
                <w:color w:val="000000"/>
                <w:kern w:val="0"/>
                <w:sz w:val="20"/>
                <w:szCs w:val="20"/>
                <w:lang w:bidi="ar"/>
              </w:rPr>
              <w:t>指标</w:t>
            </w:r>
          </w:p>
          <w:p>
            <w:pPr>
              <w:widowControl/>
              <w:jc w:val="center"/>
              <w:textAlignment w:val="center"/>
              <w:rPr>
                <w:rFonts w:hint="eastAsia" w:ascii="宋体" w:hAnsi="宋体" w:cs="宋体"/>
                <w:b/>
                <w:color w:val="000000"/>
                <w:sz w:val="20"/>
                <w:szCs w:val="20"/>
              </w:rPr>
            </w:pPr>
            <w:r>
              <w:rPr>
                <w:rFonts w:hint="eastAsia" w:ascii="宋体" w:hAnsi="宋体" w:cs="宋体"/>
                <w:b/>
                <w:color w:val="000000"/>
                <w:kern w:val="0"/>
                <w:sz w:val="20"/>
                <w:szCs w:val="20"/>
                <w:lang w:bidi="ar"/>
              </w:rPr>
              <w:t>历史值</w:t>
            </w:r>
          </w:p>
        </w:tc>
        <w:tc>
          <w:tcPr>
            <w:tcW w:w="1113" w:type="dxa"/>
            <w:vAlign w:val="center"/>
          </w:tcPr>
          <w:p>
            <w:pPr>
              <w:widowControl/>
              <w:jc w:val="center"/>
              <w:textAlignment w:val="center"/>
              <w:rPr>
                <w:rFonts w:hint="eastAsia" w:ascii="宋体" w:hAnsi="宋体" w:cs="宋体"/>
                <w:b/>
                <w:color w:val="000000"/>
                <w:sz w:val="20"/>
                <w:szCs w:val="20"/>
              </w:rPr>
            </w:pPr>
            <w:r>
              <w:rPr>
                <w:rFonts w:hint="eastAsia" w:ascii="宋体" w:hAnsi="宋体" w:cs="宋体"/>
                <w:b/>
                <w:color w:val="000000"/>
                <w:sz w:val="20"/>
                <w:szCs w:val="20"/>
              </w:rPr>
              <w:t>指标</w:t>
            </w:r>
          </w:p>
          <w:p>
            <w:pPr>
              <w:widowControl/>
              <w:jc w:val="center"/>
              <w:textAlignment w:val="center"/>
              <w:rPr>
                <w:rFonts w:hint="eastAsia" w:ascii="宋体" w:hAnsi="宋体" w:cs="宋体"/>
                <w:b/>
                <w:color w:val="000000"/>
                <w:sz w:val="20"/>
                <w:szCs w:val="20"/>
              </w:rPr>
            </w:pPr>
            <w:r>
              <w:rPr>
                <w:rFonts w:hint="eastAsia" w:ascii="宋体" w:hAnsi="宋体" w:cs="宋体"/>
                <w:b/>
                <w:color w:val="000000"/>
                <w:sz w:val="20"/>
                <w:szCs w:val="20"/>
              </w:rPr>
              <w:t>目标值</w:t>
            </w:r>
          </w:p>
        </w:tc>
        <w:tc>
          <w:tcPr>
            <w:tcW w:w="1629" w:type="dxa"/>
            <w:vAlign w:val="center"/>
          </w:tcPr>
          <w:p>
            <w:pPr>
              <w:jc w:val="center"/>
              <w:rPr>
                <w:rFonts w:hint="eastAsia" w:ascii="仿宋_GB2312" w:hAnsi="仿宋_GB2312" w:eastAsia="仿宋_GB2312" w:cs="仿宋_GB2312"/>
                <w:color w:val="000000"/>
                <w:sz w:val="20"/>
                <w:szCs w:val="20"/>
              </w:rPr>
            </w:pPr>
            <w:r>
              <w:rPr>
                <w:rFonts w:hint="eastAsia" w:ascii="宋体" w:hAnsi="宋体" w:cs="宋体"/>
                <w:b/>
                <w:color w:val="000000"/>
                <w:kern w:val="0"/>
                <w:sz w:val="20"/>
                <w:szCs w:val="20"/>
                <w:lang w:bidi="ar"/>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1243" w:type="dxa"/>
            <w:vMerge w:val="restart"/>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宋体" w:hAnsi="宋体" w:cs="宋体"/>
                <w:b/>
                <w:color w:val="000000"/>
                <w:kern w:val="0"/>
                <w:sz w:val="18"/>
                <w:szCs w:val="18"/>
                <w:lang w:bidi="ar"/>
              </w:rPr>
              <w:t>直接成本</w:t>
            </w:r>
          </w:p>
        </w:tc>
        <w:tc>
          <w:tcPr>
            <w:tcW w:w="1597" w:type="dxa"/>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宋体" w:hAnsi="宋体" w:cs="宋体"/>
                <w:b/>
                <w:color w:val="000000"/>
                <w:kern w:val="0"/>
                <w:sz w:val="18"/>
                <w:szCs w:val="18"/>
                <w:lang w:bidi="ar"/>
              </w:rPr>
              <w:t>人力支出</w:t>
            </w:r>
          </w:p>
        </w:tc>
        <w:tc>
          <w:tcPr>
            <w:tcW w:w="1678" w:type="dxa"/>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人力成本及管理费用</w:t>
            </w:r>
          </w:p>
        </w:tc>
        <w:tc>
          <w:tcPr>
            <w:tcW w:w="1262" w:type="dxa"/>
            <w:vAlign w:val="center"/>
          </w:tcPr>
          <w:p>
            <w:pPr>
              <w:jc w:val="center"/>
              <w:rPr>
                <w:rFonts w:hint="eastAsia" w:ascii="仿宋_GB2312" w:hAnsi="仿宋_GB2312" w:eastAsia="仿宋_GB2312" w:cs="仿宋_GB2312"/>
                <w:color w:val="000000"/>
                <w:sz w:val="20"/>
                <w:szCs w:val="20"/>
              </w:rPr>
            </w:pPr>
            <w:r>
              <w:rPr>
                <w:rFonts w:ascii="仿宋_GB2312" w:hAnsi="仿宋_GB2312" w:eastAsia="仿宋_GB2312" w:cs="仿宋_GB2312"/>
                <w:color w:val="000000"/>
                <w:sz w:val="20"/>
                <w:szCs w:val="20"/>
              </w:rPr>
              <w:t>426519.64</w:t>
            </w:r>
          </w:p>
        </w:tc>
        <w:tc>
          <w:tcPr>
            <w:tcW w:w="1113" w:type="dxa"/>
            <w:vAlign w:val="center"/>
          </w:tcPr>
          <w:p>
            <w:pPr>
              <w:jc w:val="center"/>
              <w:rPr>
                <w:rFonts w:hint="eastAsia" w:ascii="仿宋_GB2312" w:hAnsi="仿宋_GB2312" w:eastAsia="仿宋_GB2312" w:cs="仿宋_GB2312"/>
                <w:color w:val="000000"/>
                <w:sz w:val="20"/>
                <w:szCs w:val="20"/>
              </w:rPr>
            </w:pPr>
            <w:r>
              <w:rPr>
                <w:rFonts w:ascii="仿宋_GB2312" w:hAnsi="仿宋_GB2312" w:eastAsia="仿宋_GB2312" w:cs="仿宋_GB2312"/>
                <w:color w:val="000000"/>
                <w:sz w:val="20"/>
                <w:szCs w:val="20"/>
              </w:rPr>
              <w:t>328235</w:t>
            </w:r>
          </w:p>
        </w:tc>
        <w:tc>
          <w:tcPr>
            <w:tcW w:w="1629" w:type="dxa"/>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18"/>
                <w:szCs w:val="18"/>
                <w:lang w:bidi="ar"/>
              </w:rPr>
              <w:t>反映各类人员劳务报酬，以及各项社会保险费用。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3" w:type="dxa"/>
            <w:vMerge w:val="continue"/>
            <w:vAlign w:val="center"/>
          </w:tcPr>
          <w:p>
            <w:pPr>
              <w:widowControl/>
              <w:jc w:val="center"/>
              <w:textAlignment w:val="center"/>
              <w:rPr>
                <w:rFonts w:hint="eastAsia" w:ascii="仿宋_GB2312" w:hAnsi="仿宋_GB2312" w:eastAsia="仿宋_GB2312" w:cs="仿宋_GB2312"/>
                <w:color w:val="000000"/>
                <w:sz w:val="20"/>
                <w:szCs w:val="20"/>
              </w:rPr>
            </w:pPr>
          </w:p>
        </w:tc>
        <w:tc>
          <w:tcPr>
            <w:tcW w:w="1597" w:type="dxa"/>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宋体" w:hAnsi="宋体" w:cs="宋体"/>
                <w:b/>
                <w:color w:val="000000"/>
                <w:kern w:val="0"/>
                <w:sz w:val="18"/>
                <w:szCs w:val="18"/>
                <w:lang w:bidi="ar"/>
              </w:rPr>
              <w:t>商品和服务支出</w:t>
            </w:r>
          </w:p>
        </w:tc>
        <w:tc>
          <w:tcPr>
            <w:tcW w:w="1678" w:type="dxa"/>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药物</w:t>
            </w:r>
          </w:p>
        </w:tc>
        <w:tc>
          <w:tcPr>
            <w:tcW w:w="1262" w:type="dxa"/>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w:t>
            </w:r>
            <w:r>
              <w:rPr>
                <w:rFonts w:ascii="仿宋_GB2312" w:hAnsi="仿宋_GB2312" w:eastAsia="仿宋_GB2312" w:cs="仿宋_GB2312"/>
                <w:color w:val="000000"/>
                <w:sz w:val="20"/>
                <w:szCs w:val="20"/>
              </w:rPr>
              <w:t>12485</w:t>
            </w:r>
          </w:p>
        </w:tc>
        <w:tc>
          <w:tcPr>
            <w:tcW w:w="1113" w:type="dxa"/>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w:t>
            </w:r>
            <w:r>
              <w:rPr>
                <w:rFonts w:ascii="仿宋_GB2312" w:hAnsi="仿宋_GB2312" w:eastAsia="仿宋_GB2312" w:cs="仿宋_GB2312"/>
                <w:color w:val="000000"/>
                <w:sz w:val="20"/>
                <w:szCs w:val="20"/>
              </w:rPr>
              <w:t>25135</w:t>
            </w:r>
          </w:p>
        </w:tc>
        <w:tc>
          <w:tcPr>
            <w:tcW w:w="1629" w:type="dxa"/>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18"/>
                <w:szCs w:val="18"/>
                <w:lang w:bidi="ar"/>
              </w:rPr>
              <w:t>反映单位购买商品和服务支出（不包括用于购置固定资产的支出等）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3" w:type="dxa"/>
            <w:vMerge w:val="continue"/>
            <w:vAlign w:val="center"/>
          </w:tcPr>
          <w:p>
            <w:pPr>
              <w:widowControl/>
              <w:jc w:val="center"/>
              <w:textAlignment w:val="center"/>
              <w:rPr>
                <w:rFonts w:hint="eastAsia" w:ascii="仿宋_GB2312" w:hAnsi="仿宋_GB2312" w:eastAsia="仿宋_GB2312" w:cs="仿宋_GB2312"/>
                <w:color w:val="000000"/>
                <w:sz w:val="20"/>
                <w:szCs w:val="20"/>
              </w:rPr>
            </w:pPr>
          </w:p>
        </w:tc>
        <w:tc>
          <w:tcPr>
            <w:tcW w:w="1597" w:type="dxa"/>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宋体" w:hAnsi="宋体" w:cs="宋体"/>
                <w:b/>
                <w:color w:val="000000"/>
                <w:kern w:val="0"/>
                <w:sz w:val="18"/>
                <w:szCs w:val="18"/>
                <w:lang w:bidi="ar"/>
              </w:rPr>
              <w:t>资本性支出</w:t>
            </w:r>
          </w:p>
        </w:tc>
        <w:tc>
          <w:tcPr>
            <w:tcW w:w="1678" w:type="dxa"/>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利润</w:t>
            </w:r>
          </w:p>
        </w:tc>
        <w:tc>
          <w:tcPr>
            <w:tcW w:w="1262" w:type="dxa"/>
            <w:vAlign w:val="center"/>
          </w:tcPr>
          <w:p>
            <w:pPr>
              <w:jc w:val="center"/>
              <w:rPr>
                <w:rFonts w:hint="eastAsia" w:ascii="仿宋_GB2312" w:hAnsi="仿宋_GB2312" w:eastAsia="仿宋_GB2312" w:cs="仿宋_GB2312"/>
                <w:color w:val="000000"/>
                <w:sz w:val="20"/>
                <w:szCs w:val="20"/>
              </w:rPr>
            </w:pPr>
            <w:r>
              <w:rPr>
                <w:rFonts w:ascii="仿宋_GB2312" w:hAnsi="仿宋_GB2312" w:eastAsia="仿宋_GB2312" w:cs="仿宋_GB2312"/>
                <w:color w:val="000000"/>
                <w:sz w:val="20"/>
                <w:szCs w:val="20"/>
              </w:rPr>
              <w:t>39984.42</w:t>
            </w:r>
          </w:p>
        </w:tc>
        <w:tc>
          <w:tcPr>
            <w:tcW w:w="1113" w:type="dxa"/>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w:t>
            </w:r>
            <w:r>
              <w:rPr>
                <w:rFonts w:ascii="仿宋_GB2312" w:hAnsi="仿宋_GB2312" w:eastAsia="仿宋_GB2312" w:cs="仿宋_GB2312"/>
                <w:color w:val="000000"/>
                <w:sz w:val="20"/>
                <w:szCs w:val="20"/>
              </w:rPr>
              <w:t>6398</w:t>
            </w:r>
          </w:p>
        </w:tc>
        <w:tc>
          <w:tcPr>
            <w:tcW w:w="1629" w:type="dxa"/>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18"/>
                <w:szCs w:val="18"/>
                <w:lang w:bidi="ar"/>
              </w:rPr>
              <w:t>反映用于购买固定资产、以及构建基础设施、大型修缮和改造等支出。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3" w:type="dxa"/>
            <w:vMerge w:val="continue"/>
            <w:vAlign w:val="center"/>
          </w:tcPr>
          <w:p>
            <w:pPr>
              <w:widowControl/>
              <w:jc w:val="center"/>
              <w:textAlignment w:val="center"/>
              <w:rPr>
                <w:rFonts w:hint="eastAsia" w:ascii="仿宋_GB2312" w:hAnsi="仿宋_GB2312" w:eastAsia="仿宋_GB2312" w:cs="仿宋_GB2312"/>
                <w:color w:val="000000"/>
                <w:sz w:val="20"/>
                <w:szCs w:val="20"/>
              </w:rPr>
            </w:pPr>
          </w:p>
        </w:tc>
        <w:tc>
          <w:tcPr>
            <w:tcW w:w="1597" w:type="dxa"/>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宋体" w:hAnsi="宋体" w:cs="宋体"/>
                <w:b/>
                <w:color w:val="000000"/>
                <w:kern w:val="0"/>
                <w:sz w:val="18"/>
                <w:szCs w:val="18"/>
                <w:lang w:bidi="ar"/>
              </w:rPr>
              <w:t>债务利息和费用支出</w:t>
            </w:r>
          </w:p>
        </w:tc>
        <w:tc>
          <w:tcPr>
            <w:tcW w:w="1678" w:type="dxa"/>
            <w:vAlign w:val="center"/>
          </w:tcPr>
          <w:p>
            <w:pPr>
              <w:jc w:val="center"/>
              <w:rPr>
                <w:rFonts w:hint="eastAsia" w:ascii="仿宋_GB2312" w:hAnsi="仿宋_GB2312" w:eastAsia="仿宋_GB2312" w:cs="仿宋_GB2312"/>
                <w:color w:val="000000"/>
                <w:sz w:val="20"/>
                <w:szCs w:val="20"/>
              </w:rPr>
            </w:pPr>
          </w:p>
        </w:tc>
        <w:tc>
          <w:tcPr>
            <w:tcW w:w="1262" w:type="dxa"/>
            <w:vAlign w:val="center"/>
          </w:tcPr>
          <w:p>
            <w:pPr>
              <w:jc w:val="center"/>
              <w:rPr>
                <w:rFonts w:hint="eastAsia" w:ascii="仿宋_GB2312" w:hAnsi="仿宋_GB2312" w:eastAsia="仿宋_GB2312" w:cs="仿宋_GB2312"/>
                <w:color w:val="000000"/>
                <w:sz w:val="20"/>
                <w:szCs w:val="20"/>
              </w:rPr>
            </w:pPr>
          </w:p>
        </w:tc>
        <w:tc>
          <w:tcPr>
            <w:tcW w:w="1113" w:type="dxa"/>
            <w:vAlign w:val="center"/>
          </w:tcPr>
          <w:p>
            <w:pPr>
              <w:jc w:val="center"/>
              <w:rPr>
                <w:rFonts w:hint="eastAsia" w:ascii="仿宋_GB2312" w:hAnsi="仿宋_GB2312" w:eastAsia="仿宋_GB2312" w:cs="仿宋_GB2312"/>
                <w:color w:val="000000"/>
                <w:sz w:val="20"/>
                <w:szCs w:val="20"/>
              </w:rPr>
            </w:pPr>
          </w:p>
        </w:tc>
        <w:tc>
          <w:tcPr>
            <w:tcW w:w="1629" w:type="dxa"/>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18"/>
                <w:szCs w:val="18"/>
                <w:lang w:bidi="ar"/>
              </w:rPr>
              <w:t>反映偿还债务利息的支出。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3" w:type="dxa"/>
            <w:vMerge w:val="continue"/>
            <w:vAlign w:val="center"/>
          </w:tcPr>
          <w:p>
            <w:pPr>
              <w:widowControl/>
              <w:jc w:val="center"/>
              <w:textAlignment w:val="center"/>
              <w:rPr>
                <w:rFonts w:hint="eastAsia" w:ascii="仿宋_GB2312" w:hAnsi="仿宋_GB2312" w:eastAsia="仿宋_GB2312" w:cs="仿宋_GB2312"/>
                <w:color w:val="000000"/>
                <w:sz w:val="20"/>
                <w:szCs w:val="20"/>
              </w:rPr>
            </w:pPr>
          </w:p>
        </w:tc>
        <w:tc>
          <w:tcPr>
            <w:tcW w:w="1597" w:type="dxa"/>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宋体" w:hAnsi="宋体" w:cs="宋体"/>
                <w:b/>
                <w:color w:val="000000"/>
                <w:kern w:val="0"/>
                <w:sz w:val="18"/>
                <w:szCs w:val="18"/>
                <w:lang w:bidi="ar"/>
              </w:rPr>
              <w:t>对企业补助</w:t>
            </w:r>
          </w:p>
        </w:tc>
        <w:tc>
          <w:tcPr>
            <w:tcW w:w="1678" w:type="dxa"/>
            <w:vAlign w:val="center"/>
          </w:tcPr>
          <w:p>
            <w:pPr>
              <w:jc w:val="center"/>
              <w:rPr>
                <w:rFonts w:hint="eastAsia" w:ascii="仿宋_GB2312" w:hAnsi="仿宋_GB2312" w:eastAsia="仿宋_GB2312" w:cs="仿宋_GB2312"/>
                <w:color w:val="000000"/>
                <w:sz w:val="20"/>
                <w:szCs w:val="20"/>
              </w:rPr>
            </w:pPr>
          </w:p>
        </w:tc>
        <w:tc>
          <w:tcPr>
            <w:tcW w:w="1262" w:type="dxa"/>
            <w:vAlign w:val="center"/>
          </w:tcPr>
          <w:p>
            <w:pPr>
              <w:jc w:val="center"/>
              <w:rPr>
                <w:rFonts w:hint="eastAsia" w:ascii="仿宋_GB2312" w:hAnsi="仿宋_GB2312" w:eastAsia="仿宋_GB2312" w:cs="仿宋_GB2312"/>
                <w:color w:val="000000"/>
                <w:sz w:val="20"/>
                <w:szCs w:val="20"/>
              </w:rPr>
            </w:pPr>
          </w:p>
        </w:tc>
        <w:tc>
          <w:tcPr>
            <w:tcW w:w="1113" w:type="dxa"/>
            <w:vAlign w:val="center"/>
          </w:tcPr>
          <w:p>
            <w:pPr>
              <w:jc w:val="center"/>
              <w:rPr>
                <w:rFonts w:hint="eastAsia" w:ascii="仿宋_GB2312" w:hAnsi="仿宋_GB2312" w:eastAsia="仿宋_GB2312" w:cs="仿宋_GB2312"/>
                <w:color w:val="000000"/>
                <w:sz w:val="20"/>
                <w:szCs w:val="20"/>
              </w:rPr>
            </w:pPr>
          </w:p>
        </w:tc>
        <w:tc>
          <w:tcPr>
            <w:tcW w:w="1629" w:type="dxa"/>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18"/>
                <w:szCs w:val="18"/>
                <w:lang w:bidi="ar"/>
              </w:rPr>
              <w:t>反映对各类企事业及民间非营利组织的补贴。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3" w:type="dxa"/>
            <w:vMerge w:val="continue"/>
            <w:vAlign w:val="center"/>
          </w:tcPr>
          <w:p>
            <w:pPr>
              <w:widowControl/>
              <w:jc w:val="center"/>
              <w:textAlignment w:val="center"/>
              <w:rPr>
                <w:rFonts w:hint="eastAsia" w:ascii="仿宋_GB2312" w:hAnsi="仿宋_GB2312" w:eastAsia="仿宋_GB2312" w:cs="仿宋_GB2312"/>
                <w:color w:val="000000"/>
                <w:sz w:val="20"/>
                <w:szCs w:val="20"/>
              </w:rPr>
            </w:pPr>
          </w:p>
        </w:tc>
        <w:tc>
          <w:tcPr>
            <w:tcW w:w="1597" w:type="dxa"/>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宋体" w:hAnsi="宋体" w:cs="宋体"/>
                <w:b/>
                <w:color w:val="000000"/>
                <w:kern w:val="0"/>
                <w:sz w:val="18"/>
                <w:szCs w:val="18"/>
                <w:lang w:bidi="ar"/>
              </w:rPr>
              <w:t>其他支出</w:t>
            </w:r>
          </w:p>
        </w:tc>
        <w:tc>
          <w:tcPr>
            <w:tcW w:w="1678" w:type="dxa"/>
            <w:vAlign w:val="center"/>
          </w:tcPr>
          <w:p>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其他支出</w:t>
            </w:r>
          </w:p>
        </w:tc>
        <w:tc>
          <w:tcPr>
            <w:tcW w:w="1262" w:type="dxa"/>
            <w:vAlign w:val="center"/>
          </w:tcPr>
          <w:p>
            <w:pPr>
              <w:jc w:val="center"/>
              <w:rPr>
                <w:rFonts w:hint="eastAsia" w:ascii="仿宋_GB2312" w:hAnsi="仿宋_GB2312" w:eastAsia="仿宋_GB2312" w:cs="仿宋_GB2312"/>
                <w:color w:val="000000"/>
                <w:sz w:val="20"/>
                <w:szCs w:val="20"/>
              </w:rPr>
            </w:pPr>
            <w:r>
              <w:rPr>
                <w:rFonts w:ascii="仿宋_GB2312" w:hAnsi="仿宋_GB2312" w:eastAsia="仿宋_GB2312" w:cs="仿宋_GB2312"/>
                <w:color w:val="000000"/>
                <w:sz w:val="20"/>
                <w:szCs w:val="20"/>
              </w:rPr>
              <w:t>142028.02</w:t>
            </w:r>
          </w:p>
        </w:tc>
        <w:tc>
          <w:tcPr>
            <w:tcW w:w="1113" w:type="dxa"/>
            <w:vAlign w:val="center"/>
          </w:tcPr>
          <w:p>
            <w:pPr>
              <w:jc w:val="center"/>
              <w:rPr>
                <w:rFonts w:hint="eastAsia" w:ascii="仿宋_GB2312" w:hAnsi="仿宋_GB2312" w:eastAsia="仿宋_GB2312" w:cs="仿宋_GB2312"/>
                <w:color w:val="000000"/>
                <w:sz w:val="20"/>
                <w:szCs w:val="20"/>
              </w:rPr>
            </w:pPr>
            <w:r>
              <w:rPr>
                <w:rFonts w:ascii="仿宋_GB2312" w:hAnsi="仿宋_GB2312" w:eastAsia="仿宋_GB2312" w:cs="仿宋_GB2312"/>
                <w:color w:val="000000"/>
                <w:sz w:val="20"/>
                <w:szCs w:val="20"/>
              </w:rPr>
              <w:t>83401.28</w:t>
            </w:r>
          </w:p>
        </w:tc>
        <w:tc>
          <w:tcPr>
            <w:tcW w:w="1629" w:type="dxa"/>
            <w:vAlign w:val="center"/>
          </w:tcPr>
          <w:p>
            <w:pPr>
              <w:widowControl/>
              <w:jc w:val="center"/>
              <w:textAlignment w:val="center"/>
              <w:rPr>
                <w:rFonts w:hint="eastAsia" w:ascii="仿宋_GB2312" w:hAnsi="仿宋_GB2312" w:eastAsia="仿宋_GB2312" w:cs="仿宋_GB2312"/>
                <w:color w:val="000000"/>
                <w:sz w:val="20"/>
                <w:szCs w:val="20"/>
              </w:rPr>
            </w:pPr>
            <w:r>
              <w:rPr>
                <w:rFonts w:hint="eastAsia" w:ascii="宋体" w:hAnsi="宋体" w:cs="宋体"/>
                <w:color w:val="000000"/>
                <w:kern w:val="0"/>
                <w:sz w:val="18"/>
                <w:szCs w:val="18"/>
                <w:lang w:bidi="ar"/>
              </w:rPr>
              <w:t>反映不能反映上述经济科目的其他支出。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3" w:type="dxa"/>
            <w:vMerge w:val="restart"/>
            <w:vAlign w:val="center"/>
          </w:tcPr>
          <w:p>
            <w:pPr>
              <w:jc w:val="center"/>
              <w:rPr>
                <w:rFonts w:hint="eastAsia" w:ascii="仿宋_GB2312" w:hAnsi="仿宋_GB2312" w:eastAsia="仿宋_GB2312" w:cs="仿宋_GB2312"/>
                <w:color w:val="000000"/>
                <w:sz w:val="20"/>
                <w:szCs w:val="20"/>
              </w:rPr>
            </w:pPr>
            <w:r>
              <w:rPr>
                <w:rFonts w:hint="eastAsia" w:ascii="宋体" w:hAnsi="宋体" w:cs="宋体"/>
                <w:b/>
                <w:color w:val="000000"/>
                <w:kern w:val="0"/>
                <w:sz w:val="18"/>
                <w:szCs w:val="18"/>
                <w:lang w:bidi="ar"/>
              </w:rPr>
              <w:t>间接成本</w:t>
            </w:r>
          </w:p>
        </w:tc>
        <w:tc>
          <w:tcPr>
            <w:tcW w:w="1597" w:type="dxa"/>
            <w:vAlign w:val="center"/>
          </w:tcPr>
          <w:p>
            <w:pPr>
              <w:jc w:val="center"/>
              <w:rPr>
                <w:rFonts w:hint="eastAsia" w:ascii="仿宋_GB2312" w:hAnsi="仿宋_GB2312" w:eastAsia="仿宋_GB2312" w:cs="仿宋_GB2312"/>
                <w:color w:val="000000"/>
                <w:sz w:val="20"/>
                <w:szCs w:val="20"/>
              </w:rPr>
            </w:pPr>
            <w:r>
              <w:rPr>
                <w:rFonts w:hint="eastAsia" w:ascii="宋体" w:hAnsi="宋体" w:cs="宋体"/>
                <w:b/>
                <w:color w:val="000000"/>
                <w:kern w:val="0"/>
                <w:sz w:val="18"/>
                <w:szCs w:val="18"/>
                <w:lang w:bidi="ar"/>
              </w:rPr>
              <w:t>人力支出</w:t>
            </w:r>
          </w:p>
        </w:tc>
        <w:tc>
          <w:tcPr>
            <w:tcW w:w="1678" w:type="dxa"/>
            <w:vAlign w:val="top"/>
          </w:tcPr>
          <w:p>
            <w:pPr>
              <w:rPr>
                <w:rFonts w:hint="eastAsia" w:ascii="仿宋_GB2312" w:hAnsi="仿宋_GB2312" w:eastAsia="仿宋_GB2312" w:cs="仿宋_GB2312"/>
                <w:color w:val="000000"/>
                <w:sz w:val="20"/>
                <w:szCs w:val="20"/>
              </w:rPr>
            </w:pPr>
          </w:p>
        </w:tc>
        <w:tc>
          <w:tcPr>
            <w:tcW w:w="1262" w:type="dxa"/>
            <w:vAlign w:val="top"/>
          </w:tcPr>
          <w:p>
            <w:pPr>
              <w:rPr>
                <w:rFonts w:hint="eastAsia" w:ascii="仿宋_GB2312" w:hAnsi="仿宋_GB2312" w:eastAsia="仿宋_GB2312" w:cs="仿宋_GB2312"/>
                <w:color w:val="000000"/>
                <w:sz w:val="20"/>
                <w:szCs w:val="20"/>
              </w:rPr>
            </w:pPr>
          </w:p>
        </w:tc>
        <w:tc>
          <w:tcPr>
            <w:tcW w:w="1113" w:type="dxa"/>
            <w:vAlign w:val="top"/>
          </w:tcPr>
          <w:p>
            <w:pPr>
              <w:rPr>
                <w:rFonts w:hint="eastAsia" w:ascii="仿宋_GB2312" w:hAnsi="仿宋_GB2312" w:eastAsia="仿宋_GB2312" w:cs="仿宋_GB2312"/>
                <w:color w:val="000000"/>
                <w:sz w:val="20"/>
                <w:szCs w:val="20"/>
              </w:rPr>
            </w:pPr>
          </w:p>
        </w:tc>
        <w:tc>
          <w:tcPr>
            <w:tcW w:w="1629" w:type="dxa"/>
            <w:vAlign w:val="top"/>
          </w:tcPr>
          <w:p>
            <w:pPr>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243" w:type="dxa"/>
            <w:vMerge w:val="continue"/>
            <w:vAlign w:val="top"/>
          </w:tcPr>
          <w:p>
            <w:pPr>
              <w:jc w:val="center"/>
              <w:rPr>
                <w:rFonts w:hint="eastAsia" w:ascii="仿宋_GB2312" w:hAnsi="仿宋_GB2312" w:eastAsia="仿宋_GB2312" w:cs="仿宋_GB2312"/>
                <w:color w:val="000000"/>
                <w:sz w:val="20"/>
                <w:szCs w:val="20"/>
              </w:rPr>
            </w:pPr>
          </w:p>
        </w:tc>
        <w:tc>
          <w:tcPr>
            <w:tcW w:w="1597" w:type="dxa"/>
            <w:vAlign w:val="top"/>
          </w:tcPr>
          <w:p>
            <w:pPr>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1678" w:type="dxa"/>
            <w:vAlign w:val="top"/>
          </w:tcPr>
          <w:p>
            <w:pPr>
              <w:rPr>
                <w:rFonts w:hint="eastAsia" w:ascii="仿宋_GB2312" w:hAnsi="仿宋_GB2312" w:eastAsia="仿宋_GB2312" w:cs="仿宋_GB2312"/>
                <w:color w:val="000000"/>
                <w:sz w:val="20"/>
                <w:szCs w:val="20"/>
              </w:rPr>
            </w:pPr>
          </w:p>
        </w:tc>
        <w:tc>
          <w:tcPr>
            <w:tcW w:w="1262" w:type="dxa"/>
            <w:vAlign w:val="top"/>
          </w:tcPr>
          <w:p>
            <w:pPr>
              <w:rPr>
                <w:rFonts w:hint="eastAsia" w:ascii="仿宋_GB2312" w:hAnsi="仿宋_GB2312" w:eastAsia="仿宋_GB2312" w:cs="仿宋_GB2312"/>
                <w:color w:val="000000"/>
                <w:sz w:val="20"/>
                <w:szCs w:val="20"/>
              </w:rPr>
            </w:pPr>
          </w:p>
        </w:tc>
        <w:tc>
          <w:tcPr>
            <w:tcW w:w="1113" w:type="dxa"/>
            <w:vAlign w:val="top"/>
          </w:tcPr>
          <w:p>
            <w:pPr>
              <w:rPr>
                <w:rFonts w:hint="eastAsia" w:ascii="仿宋_GB2312" w:hAnsi="仿宋_GB2312" w:eastAsia="仿宋_GB2312" w:cs="仿宋_GB2312"/>
                <w:color w:val="000000"/>
                <w:sz w:val="20"/>
                <w:szCs w:val="20"/>
              </w:rPr>
            </w:pPr>
          </w:p>
        </w:tc>
        <w:tc>
          <w:tcPr>
            <w:tcW w:w="1629" w:type="dxa"/>
            <w:vAlign w:val="top"/>
          </w:tcPr>
          <w:p>
            <w:pPr>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3" w:type="dxa"/>
            <w:vMerge w:val="continue"/>
            <w:vAlign w:val="top"/>
          </w:tcPr>
          <w:p>
            <w:pPr>
              <w:jc w:val="center"/>
              <w:rPr>
                <w:rFonts w:hint="eastAsia" w:ascii="仿宋_GB2312" w:hAnsi="仿宋_GB2312" w:eastAsia="仿宋_GB2312" w:cs="仿宋_GB2312"/>
                <w:color w:val="000000"/>
                <w:sz w:val="20"/>
                <w:szCs w:val="20"/>
              </w:rPr>
            </w:pPr>
          </w:p>
        </w:tc>
        <w:tc>
          <w:tcPr>
            <w:tcW w:w="1597" w:type="dxa"/>
            <w:vAlign w:val="top"/>
          </w:tcPr>
          <w:p>
            <w:pPr>
              <w:rPr>
                <w:rFonts w:hint="eastAsia" w:ascii="仿宋_GB2312" w:hAnsi="仿宋_GB2312" w:eastAsia="仿宋_GB2312" w:cs="仿宋_GB2312"/>
                <w:color w:val="000000"/>
                <w:sz w:val="20"/>
                <w:szCs w:val="20"/>
              </w:rPr>
            </w:pPr>
          </w:p>
        </w:tc>
        <w:tc>
          <w:tcPr>
            <w:tcW w:w="1678" w:type="dxa"/>
            <w:vAlign w:val="top"/>
          </w:tcPr>
          <w:p>
            <w:pPr>
              <w:rPr>
                <w:rFonts w:hint="eastAsia" w:ascii="仿宋_GB2312" w:hAnsi="仿宋_GB2312" w:eastAsia="仿宋_GB2312" w:cs="仿宋_GB2312"/>
                <w:color w:val="000000"/>
                <w:sz w:val="20"/>
                <w:szCs w:val="20"/>
              </w:rPr>
            </w:pPr>
          </w:p>
        </w:tc>
        <w:tc>
          <w:tcPr>
            <w:tcW w:w="1262" w:type="dxa"/>
            <w:vAlign w:val="top"/>
          </w:tcPr>
          <w:p>
            <w:pPr>
              <w:rPr>
                <w:rFonts w:hint="eastAsia" w:ascii="仿宋_GB2312" w:hAnsi="仿宋_GB2312" w:eastAsia="仿宋_GB2312" w:cs="仿宋_GB2312"/>
                <w:color w:val="000000"/>
                <w:sz w:val="20"/>
                <w:szCs w:val="20"/>
              </w:rPr>
            </w:pPr>
          </w:p>
        </w:tc>
        <w:tc>
          <w:tcPr>
            <w:tcW w:w="1113" w:type="dxa"/>
            <w:vAlign w:val="top"/>
          </w:tcPr>
          <w:p>
            <w:pPr>
              <w:rPr>
                <w:rFonts w:hint="eastAsia" w:ascii="仿宋_GB2312" w:hAnsi="仿宋_GB2312" w:eastAsia="仿宋_GB2312" w:cs="仿宋_GB2312"/>
                <w:color w:val="000000"/>
                <w:sz w:val="20"/>
                <w:szCs w:val="20"/>
              </w:rPr>
            </w:pPr>
          </w:p>
        </w:tc>
        <w:tc>
          <w:tcPr>
            <w:tcW w:w="1629" w:type="dxa"/>
            <w:vAlign w:val="top"/>
          </w:tcPr>
          <w:p>
            <w:pPr>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3" w:type="dxa"/>
            <w:vMerge w:val="continue"/>
            <w:vAlign w:val="top"/>
          </w:tcPr>
          <w:p>
            <w:pPr>
              <w:jc w:val="center"/>
              <w:rPr>
                <w:rFonts w:hint="eastAsia" w:ascii="仿宋_GB2312" w:hAnsi="仿宋_GB2312" w:eastAsia="仿宋_GB2312" w:cs="仿宋_GB2312"/>
                <w:color w:val="000000"/>
                <w:sz w:val="20"/>
                <w:szCs w:val="20"/>
              </w:rPr>
            </w:pPr>
          </w:p>
        </w:tc>
        <w:tc>
          <w:tcPr>
            <w:tcW w:w="1597" w:type="dxa"/>
            <w:vAlign w:val="top"/>
          </w:tcPr>
          <w:p>
            <w:pPr>
              <w:rPr>
                <w:rFonts w:hint="eastAsia" w:ascii="仿宋_GB2312" w:hAnsi="仿宋_GB2312" w:eastAsia="仿宋_GB2312" w:cs="仿宋_GB2312"/>
                <w:color w:val="000000"/>
                <w:sz w:val="20"/>
                <w:szCs w:val="20"/>
              </w:rPr>
            </w:pPr>
          </w:p>
        </w:tc>
        <w:tc>
          <w:tcPr>
            <w:tcW w:w="1678" w:type="dxa"/>
            <w:vAlign w:val="top"/>
          </w:tcPr>
          <w:p>
            <w:pPr>
              <w:rPr>
                <w:rFonts w:hint="eastAsia" w:ascii="仿宋_GB2312" w:hAnsi="仿宋_GB2312" w:eastAsia="仿宋_GB2312" w:cs="仿宋_GB2312"/>
                <w:color w:val="000000"/>
                <w:sz w:val="20"/>
                <w:szCs w:val="20"/>
              </w:rPr>
            </w:pPr>
          </w:p>
        </w:tc>
        <w:tc>
          <w:tcPr>
            <w:tcW w:w="1262" w:type="dxa"/>
            <w:vAlign w:val="top"/>
          </w:tcPr>
          <w:p>
            <w:pPr>
              <w:rPr>
                <w:rFonts w:hint="eastAsia" w:ascii="仿宋_GB2312" w:hAnsi="仿宋_GB2312" w:eastAsia="仿宋_GB2312" w:cs="仿宋_GB2312"/>
                <w:color w:val="000000"/>
                <w:sz w:val="20"/>
                <w:szCs w:val="20"/>
              </w:rPr>
            </w:pPr>
          </w:p>
        </w:tc>
        <w:tc>
          <w:tcPr>
            <w:tcW w:w="1113" w:type="dxa"/>
            <w:vAlign w:val="top"/>
          </w:tcPr>
          <w:p>
            <w:pPr>
              <w:rPr>
                <w:rFonts w:hint="eastAsia" w:ascii="仿宋_GB2312" w:hAnsi="仿宋_GB2312" w:eastAsia="仿宋_GB2312" w:cs="仿宋_GB2312"/>
                <w:color w:val="000000"/>
                <w:sz w:val="20"/>
                <w:szCs w:val="20"/>
              </w:rPr>
            </w:pPr>
          </w:p>
        </w:tc>
        <w:tc>
          <w:tcPr>
            <w:tcW w:w="1629" w:type="dxa"/>
            <w:vAlign w:val="top"/>
          </w:tcPr>
          <w:p>
            <w:pPr>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3" w:type="dxa"/>
            <w:vMerge w:val="restart"/>
            <w:vAlign w:val="center"/>
          </w:tcPr>
          <w:p>
            <w:pPr>
              <w:jc w:val="center"/>
              <w:rPr>
                <w:rFonts w:ascii="宋体" w:hAnsi="宋体" w:cs="宋体"/>
                <w:b/>
                <w:color w:val="000000"/>
                <w:kern w:val="0"/>
                <w:sz w:val="18"/>
                <w:szCs w:val="18"/>
                <w:lang w:bidi="ar"/>
              </w:rPr>
            </w:pPr>
            <w:r>
              <w:rPr>
                <w:rFonts w:hint="eastAsia" w:ascii="宋体" w:hAnsi="宋体" w:cs="宋体"/>
                <w:b/>
                <w:color w:val="000000"/>
                <w:kern w:val="0"/>
                <w:sz w:val="18"/>
                <w:szCs w:val="18"/>
                <w:lang w:bidi="ar"/>
              </w:rPr>
              <w:t>产出指标</w:t>
            </w:r>
          </w:p>
        </w:tc>
        <w:tc>
          <w:tcPr>
            <w:tcW w:w="1597" w:type="dxa"/>
            <w:vAlign w:val="center"/>
          </w:tcPr>
          <w:p>
            <w:pPr>
              <w:jc w:val="center"/>
              <w:rPr>
                <w:rFonts w:hint="eastAsia" w:ascii="宋体" w:hAnsi="宋体" w:cs="宋体"/>
                <w:b/>
                <w:color w:val="000000"/>
                <w:kern w:val="0"/>
                <w:sz w:val="18"/>
                <w:szCs w:val="18"/>
                <w:lang w:bidi="ar"/>
              </w:rPr>
            </w:pPr>
            <w:r>
              <w:rPr>
                <w:rFonts w:hint="eastAsia" w:ascii="宋体" w:hAnsi="宋体" w:cs="宋体"/>
                <w:b/>
                <w:color w:val="000000"/>
                <w:kern w:val="0"/>
                <w:sz w:val="18"/>
                <w:szCs w:val="18"/>
                <w:lang w:bidi="ar"/>
              </w:rPr>
              <w:t>数量指标</w:t>
            </w:r>
          </w:p>
        </w:tc>
        <w:tc>
          <w:tcPr>
            <w:tcW w:w="1678" w:type="dxa"/>
            <w:vAlign w:val="top"/>
          </w:tcPr>
          <w:p>
            <w:pPr>
              <w:rPr>
                <w:rFonts w:hint="eastAsia" w:ascii="仿宋_GB2312" w:hAnsi="仿宋_GB2312" w:eastAsia="仿宋_GB2312" w:cs="仿宋_GB2312"/>
                <w:color w:val="000000"/>
                <w:sz w:val="20"/>
                <w:szCs w:val="20"/>
              </w:rPr>
            </w:pPr>
          </w:p>
        </w:tc>
        <w:tc>
          <w:tcPr>
            <w:tcW w:w="1262" w:type="dxa"/>
            <w:vAlign w:val="top"/>
          </w:tcPr>
          <w:p>
            <w:pPr>
              <w:rPr>
                <w:rFonts w:hint="eastAsia" w:ascii="仿宋_GB2312" w:hAnsi="仿宋_GB2312" w:eastAsia="仿宋_GB2312" w:cs="仿宋_GB2312"/>
                <w:color w:val="000000"/>
                <w:sz w:val="20"/>
                <w:szCs w:val="20"/>
              </w:rPr>
            </w:pPr>
          </w:p>
        </w:tc>
        <w:tc>
          <w:tcPr>
            <w:tcW w:w="1113" w:type="dxa"/>
            <w:vAlign w:val="top"/>
          </w:tcPr>
          <w:p>
            <w:pPr>
              <w:rPr>
                <w:rFonts w:hint="eastAsia" w:ascii="仿宋_GB2312" w:hAnsi="仿宋_GB2312" w:eastAsia="仿宋_GB2312" w:cs="仿宋_GB2312"/>
                <w:color w:val="000000"/>
                <w:sz w:val="20"/>
                <w:szCs w:val="20"/>
              </w:rPr>
            </w:pPr>
          </w:p>
        </w:tc>
        <w:tc>
          <w:tcPr>
            <w:tcW w:w="1629" w:type="dxa"/>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反映预期提供的公共产品和服务数量。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3" w:type="dxa"/>
            <w:vMerge w:val="continue"/>
            <w:vAlign w:val="center"/>
          </w:tcPr>
          <w:p>
            <w:pPr>
              <w:jc w:val="center"/>
              <w:rPr>
                <w:rFonts w:hint="eastAsia" w:ascii="仿宋_GB2312" w:hAnsi="仿宋_GB2312" w:eastAsia="仿宋_GB2312" w:cs="仿宋_GB2312"/>
                <w:color w:val="000000"/>
                <w:sz w:val="20"/>
                <w:szCs w:val="20"/>
              </w:rPr>
            </w:pPr>
          </w:p>
        </w:tc>
        <w:tc>
          <w:tcPr>
            <w:tcW w:w="1597" w:type="dxa"/>
            <w:vAlign w:val="center"/>
          </w:tcPr>
          <w:p>
            <w:pPr>
              <w:jc w:val="center"/>
              <w:rPr>
                <w:rFonts w:hint="eastAsia" w:ascii="宋体" w:hAnsi="宋体" w:cs="宋体"/>
                <w:b/>
                <w:color w:val="000000"/>
                <w:kern w:val="0"/>
                <w:sz w:val="18"/>
                <w:szCs w:val="18"/>
                <w:lang w:bidi="ar"/>
              </w:rPr>
            </w:pPr>
            <w:r>
              <w:rPr>
                <w:rFonts w:hint="eastAsia" w:ascii="宋体" w:hAnsi="宋体" w:cs="宋体"/>
                <w:b/>
                <w:color w:val="000000"/>
                <w:kern w:val="0"/>
                <w:sz w:val="18"/>
                <w:szCs w:val="18"/>
                <w:lang w:bidi="ar"/>
              </w:rPr>
              <w:t>质量指标</w:t>
            </w:r>
          </w:p>
        </w:tc>
        <w:tc>
          <w:tcPr>
            <w:tcW w:w="1678" w:type="dxa"/>
            <w:vAlign w:val="top"/>
          </w:tcPr>
          <w:p>
            <w:pPr>
              <w:rPr>
                <w:rFonts w:hint="eastAsia" w:ascii="仿宋_GB2312" w:hAnsi="仿宋_GB2312" w:eastAsia="仿宋_GB2312" w:cs="仿宋_GB2312"/>
                <w:color w:val="000000"/>
                <w:sz w:val="20"/>
                <w:szCs w:val="20"/>
              </w:rPr>
            </w:pPr>
          </w:p>
        </w:tc>
        <w:tc>
          <w:tcPr>
            <w:tcW w:w="1262" w:type="dxa"/>
            <w:vAlign w:val="top"/>
          </w:tcPr>
          <w:p>
            <w:pPr>
              <w:rPr>
                <w:rFonts w:hint="eastAsia" w:ascii="仿宋_GB2312" w:hAnsi="仿宋_GB2312" w:eastAsia="仿宋_GB2312" w:cs="仿宋_GB2312"/>
                <w:color w:val="000000"/>
                <w:sz w:val="20"/>
                <w:szCs w:val="20"/>
              </w:rPr>
            </w:pPr>
          </w:p>
        </w:tc>
        <w:tc>
          <w:tcPr>
            <w:tcW w:w="1113" w:type="dxa"/>
            <w:vAlign w:val="top"/>
          </w:tcPr>
          <w:p>
            <w:pPr>
              <w:rPr>
                <w:rFonts w:hint="eastAsia" w:ascii="仿宋_GB2312" w:hAnsi="仿宋_GB2312" w:eastAsia="仿宋_GB2312" w:cs="仿宋_GB2312"/>
                <w:color w:val="000000"/>
                <w:sz w:val="20"/>
                <w:szCs w:val="20"/>
              </w:rPr>
            </w:pPr>
          </w:p>
        </w:tc>
        <w:tc>
          <w:tcPr>
            <w:tcW w:w="1629" w:type="dxa"/>
            <w:vAlign w:val="top"/>
          </w:tcPr>
          <w:p>
            <w:pPr>
              <w:rPr>
                <w:rFonts w:hint="eastAsia" w:ascii="仿宋_GB2312" w:hAnsi="仿宋_GB2312" w:eastAsia="仿宋_GB2312" w:cs="仿宋_GB2312"/>
                <w:color w:val="000000"/>
                <w:sz w:val="20"/>
                <w:szCs w:val="20"/>
              </w:rPr>
            </w:pPr>
            <w:r>
              <w:rPr>
                <w:rFonts w:hint="eastAsia" w:ascii="宋体" w:hAnsi="宋体" w:cs="宋体"/>
                <w:color w:val="000000"/>
                <w:kern w:val="0"/>
                <w:sz w:val="18"/>
                <w:szCs w:val="18"/>
                <w:lang w:bidi="ar"/>
              </w:rPr>
              <w:t>反映预期提供的公共产品和服务达到的标准、水平和质量。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3" w:type="dxa"/>
            <w:vMerge w:val="continue"/>
            <w:vAlign w:val="center"/>
          </w:tcPr>
          <w:p>
            <w:pPr>
              <w:jc w:val="center"/>
              <w:rPr>
                <w:rFonts w:hint="eastAsia" w:ascii="仿宋_GB2312" w:hAnsi="仿宋_GB2312" w:eastAsia="仿宋_GB2312" w:cs="仿宋_GB2312"/>
                <w:color w:val="000000"/>
                <w:sz w:val="20"/>
                <w:szCs w:val="20"/>
              </w:rPr>
            </w:pPr>
          </w:p>
        </w:tc>
        <w:tc>
          <w:tcPr>
            <w:tcW w:w="1597" w:type="dxa"/>
            <w:vAlign w:val="center"/>
          </w:tcPr>
          <w:p>
            <w:pPr>
              <w:jc w:val="center"/>
              <w:rPr>
                <w:rFonts w:hint="eastAsia" w:ascii="宋体" w:hAnsi="宋体" w:cs="宋体"/>
                <w:b/>
                <w:color w:val="000000"/>
                <w:kern w:val="0"/>
                <w:sz w:val="18"/>
                <w:szCs w:val="18"/>
                <w:lang w:bidi="ar"/>
              </w:rPr>
            </w:pPr>
            <w:r>
              <w:rPr>
                <w:rFonts w:hint="eastAsia" w:ascii="宋体" w:hAnsi="宋体" w:cs="宋体"/>
                <w:b/>
                <w:color w:val="000000"/>
                <w:kern w:val="0"/>
                <w:sz w:val="18"/>
                <w:szCs w:val="18"/>
                <w:lang w:bidi="ar"/>
              </w:rPr>
              <w:t>时效指标</w:t>
            </w:r>
          </w:p>
        </w:tc>
        <w:tc>
          <w:tcPr>
            <w:tcW w:w="1678" w:type="dxa"/>
            <w:vAlign w:val="top"/>
          </w:tcPr>
          <w:p>
            <w:pPr>
              <w:rPr>
                <w:rFonts w:hint="eastAsia" w:ascii="仿宋_GB2312" w:hAnsi="仿宋_GB2312" w:eastAsia="仿宋_GB2312" w:cs="仿宋_GB2312"/>
                <w:color w:val="000000"/>
                <w:sz w:val="20"/>
                <w:szCs w:val="20"/>
              </w:rPr>
            </w:pPr>
          </w:p>
        </w:tc>
        <w:tc>
          <w:tcPr>
            <w:tcW w:w="1262" w:type="dxa"/>
            <w:vAlign w:val="top"/>
          </w:tcPr>
          <w:p>
            <w:pPr>
              <w:rPr>
                <w:rFonts w:hint="eastAsia" w:ascii="仿宋_GB2312" w:hAnsi="仿宋_GB2312" w:eastAsia="仿宋_GB2312" w:cs="仿宋_GB2312"/>
                <w:color w:val="000000"/>
                <w:sz w:val="20"/>
                <w:szCs w:val="20"/>
              </w:rPr>
            </w:pPr>
          </w:p>
        </w:tc>
        <w:tc>
          <w:tcPr>
            <w:tcW w:w="1113" w:type="dxa"/>
            <w:vAlign w:val="top"/>
          </w:tcPr>
          <w:p>
            <w:pPr>
              <w:rPr>
                <w:rFonts w:hint="eastAsia" w:ascii="仿宋_GB2312" w:hAnsi="仿宋_GB2312" w:eastAsia="仿宋_GB2312" w:cs="仿宋_GB2312"/>
                <w:color w:val="000000"/>
                <w:sz w:val="20"/>
                <w:szCs w:val="20"/>
              </w:rPr>
            </w:pPr>
          </w:p>
        </w:tc>
        <w:tc>
          <w:tcPr>
            <w:tcW w:w="1629" w:type="dxa"/>
            <w:vAlign w:val="top"/>
          </w:tcPr>
          <w:p>
            <w:pPr>
              <w:rPr>
                <w:rFonts w:hint="eastAsia" w:ascii="仿宋_GB2312" w:hAnsi="仿宋_GB2312" w:eastAsia="仿宋_GB2312" w:cs="仿宋_GB2312"/>
                <w:color w:val="000000"/>
                <w:sz w:val="20"/>
                <w:szCs w:val="20"/>
              </w:rPr>
            </w:pPr>
            <w:r>
              <w:rPr>
                <w:rFonts w:hint="eastAsia" w:ascii="宋体" w:hAnsi="宋体" w:cs="宋体"/>
                <w:color w:val="000000"/>
                <w:kern w:val="0"/>
                <w:sz w:val="18"/>
                <w:szCs w:val="18"/>
                <w:lang w:bidi="ar"/>
              </w:rPr>
              <w:t>反映预期提供公共产品和服务的及时程度和效率情况。</w:t>
            </w:r>
          </w:p>
        </w:tc>
      </w:tr>
    </w:tbl>
    <w:p>
      <w:pPr>
        <w:rPr>
          <w:color w:val="000000"/>
        </w:rPr>
      </w:pPr>
    </w:p>
    <w:tbl>
      <w:tblPr>
        <w:tblStyle w:val="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597"/>
        <w:gridCol w:w="1678"/>
        <w:gridCol w:w="1262"/>
        <w:gridCol w:w="1113"/>
        <w:gridCol w:w="1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3" w:type="dxa"/>
            <w:vMerge w:val="restart"/>
            <w:vAlign w:val="center"/>
          </w:tcPr>
          <w:p>
            <w:pPr>
              <w:widowControl/>
              <w:jc w:val="center"/>
              <w:textAlignment w:val="center"/>
              <w:rPr>
                <w:rFonts w:hint="eastAsia" w:ascii="宋体" w:hAnsi="宋体" w:cs="宋体"/>
                <w:b/>
                <w:color w:val="000000"/>
                <w:kern w:val="0"/>
                <w:sz w:val="18"/>
                <w:szCs w:val="18"/>
                <w:lang w:bidi="ar"/>
              </w:rPr>
            </w:pPr>
            <w:r>
              <w:rPr>
                <w:rFonts w:hint="eastAsia" w:ascii="宋体" w:hAnsi="宋体" w:cs="宋体"/>
                <w:b/>
                <w:color w:val="000000"/>
                <w:kern w:val="0"/>
                <w:sz w:val="18"/>
                <w:szCs w:val="18"/>
                <w:lang w:bidi="ar"/>
              </w:rPr>
              <w:t>效益效果指标</w:t>
            </w:r>
          </w:p>
          <w:p>
            <w:pPr>
              <w:jc w:val="center"/>
              <w:rPr>
                <w:rFonts w:hint="eastAsia"/>
                <w:color w:val="000000"/>
              </w:rPr>
            </w:pPr>
          </w:p>
          <w:p>
            <w:pPr>
              <w:pStyle w:val="2"/>
              <w:ind w:firstLine="400"/>
              <w:rPr>
                <w:rFonts w:hint="eastAsia" w:ascii="仿宋_GB2312" w:hAnsi="仿宋_GB2312" w:eastAsia="仿宋_GB2312" w:cs="仿宋_GB2312"/>
                <w:color w:val="000000"/>
                <w:sz w:val="20"/>
                <w:szCs w:val="20"/>
              </w:rPr>
            </w:pPr>
          </w:p>
        </w:tc>
        <w:tc>
          <w:tcPr>
            <w:tcW w:w="1597" w:type="dxa"/>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经济效益</w:t>
            </w:r>
          </w:p>
        </w:tc>
        <w:tc>
          <w:tcPr>
            <w:tcW w:w="1678" w:type="dxa"/>
            <w:vAlign w:val="center"/>
          </w:tcPr>
          <w:p>
            <w:pPr>
              <w:jc w:val="center"/>
              <w:rPr>
                <w:rFonts w:hint="eastAsia" w:ascii="宋体" w:hAnsi="宋体" w:cs="宋体"/>
                <w:b/>
                <w:color w:val="000000"/>
                <w:sz w:val="18"/>
                <w:szCs w:val="18"/>
              </w:rPr>
            </w:pPr>
          </w:p>
        </w:tc>
        <w:tc>
          <w:tcPr>
            <w:tcW w:w="1262" w:type="dxa"/>
            <w:vAlign w:val="center"/>
          </w:tcPr>
          <w:p>
            <w:pPr>
              <w:jc w:val="center"/>
              <w:rPr>
                <w:rFonts w:hint="eastAsia" w:ascii="宋体" w:hAnsi="宋体" w:cs="宋体"/>
                <w:b/>
                <w:color w:val="000000"/>
                <w:sz w:val="18"/>
                <w:szCs w:val="18"/>
              </w:rPr>
            </w:pPr>
          </w:p>
        </w:tc>
        <w:tc>
          <w:tcPr>
            <w:tcW w:w="1113" w:type="dxa"/>
            <w:vAlign w:val="center"/>
          </w:tcPr>
          <w:p>
            <w:pPr>
              <w:widowControl/>
              <w:jc w:val="center"/>
              <w:textAlignment w:val="center"/>
              <w:rPr>
                <w:rFonts w:hint="eastAsia" w:ascii="宋体" w:hAnsi="宋体" w:cs="宋体"/>
                <w:color w:val="000000"/>
                <w:sz w:val="18"/>
                <w:szCs w:val="18"/>
              </w:rPr>
            </w:pPr>
          </w:p>
        </w:tc>
        <w:tc>
          <w:tcPr>
            <w:tcW w:w="1629" w:type="dxa"/>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反映相关产出对经济发展带来的影响和效果。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3" w:type="dxa"/>
            <w:vMerge w:val="continue"/>
            <w:vAlign w:val="top"/>
          </w:tcPr>
          <w:p>
            <w:pPr>
              <w:jc w:val="center"/>
              <w:rPr>
                <w:rFonts w:hint="eastAsia" w:ascii="仿宋_GB2312" w:hAnsi="仿宋_GB2312" w:eastAsia="仿宋_GB2312" w:cs="仿宋_GB2312"/>
                <w:color w:val="000000"/>
                <w:sz w:val="20"/>
                <w:szCs w:val="20"/>
              </w:rPr>
            </w:pPr>
          </w:p>
        </w:tc>
        <w:tc>
          <w:tcPr>
            <w:tcW w:w="1597" w:type="dxa"/>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社会效益</w:t>
            </w:r>
          </w:p>
        </w:tc>
        <w:tc>
          <w:tcPr>
            <w:tcW w:w="1678" w:type="dxa"/>
            <w:vAlign w:val="center"/>
          </w:tcPr>
          <w:p>
            <w:pPr>
              <w:jc w:val="center"/>
              <w:rPr>
                <w:rFonts w:hint="eastAsia" w:ascii="宋体" w:hAnsi="宋体" w:cs="宋体"/>
                <w:b/>
                <w:color w:val="000000"/>
                <w:sz w:val="18"/>
                <w:szCs w:val="18"/>
              </w:rPr>
            </w:pPr>
          </w:p>
        </w:tc>
        <w:tc>
          <w:tcPr>
            <w:tcW w:w="1262" w:type="dxa"/>
            <w:vAlign w:val="center"/>
          </w:tcPr>
          <w:p>
            <w:pPr>
              <w:jc w:val="center"/>
              <w:rPr>
                <w:rFonts w:hint="eastAsia" w:ascii="宋体" w:hAnsi="宋体" w:cs="宋体"/>
                <w:b/>
                <w:color w:val="000000"/>
                <w:sz w:val="18"/>
                <w:szCs w:val="18"/>
              </w:rPr>
            </w:pPr>
          </w:p>
        </w:tc>
        <w:tc>
          <w:tcPr>
            <w:tcW w:w="1113" w:type="dxa"/>
            <w:vAlign w:val="center"/>
          </w:tcPr>
          <w:p>
            <w:pPr>
              <w:widowControl/>
              <w:jc w:val="center"/>
              <w:textAlignment w:val="center"/>
              <w:rPr>
                <w:rFonts w:hint="eastAsia" w:ascii="宋体" w:hAnsi="宋体" w:cs="宋体"/>
                <w:color w:val="000000"/>
                <w:sz w:val="18"/>
                <w:szCs w:val="18"/>
              </w:rPr>
            </w:pPr>
          </w:p>
        </w:tc>
        <w:tc>
          <w:tcPr>
            <w:tcW w:w="1629" w:type="dxa"/>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反映相关产出对社会发展带来的影响和效果。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3" w:type="dxa"/>
            <w:vMerge w:val="continue"/>
            <w:vAlign w:val="top"/>
          </w:tcPr>
          <w:p>
            <w:pPr>
              <w:jc w:val="center"/>
              <w:rPr>
                <w:rFonts w:hint="eastAsia" w:ascii="仿宋_GB2312" w:hAnsi="仿宋_GB2312" w:eastAsia="仿宋_GB2312" w:cs="仿宋_GB2312"/>
                <w:color w:val="000000"/>
                <w:sz w:val="20"/>
                <w:szCs w:val="20"/>
              </w:rPr>
            </w:pPr>
          </w:p>
        </w:tc>
        <w:tc>
          <w:tcPr>
            <w:tcW w:w="1597" w:type="dxa"/>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生态效益</w:t>
            </w:r>
          </w:p>
        </w:tc>
        <w:tc>
          <w:tcPr>
            <w:tcW w:w="1678" w:type="dxa"/>
            <w:vAlign w:val="center"/>
          </w:tcPr>
          <w:p>
            <w:pPr>
              <w:jc w:val="center"/>
              <w:rPr>
                <w:rFonts w:hint="eastAsia" w:ascii="宋体" w:hAnsi="宋体" w:cs="宋体"/>
                <w:b/>
                <w:color w:val="000000"/>
                <w:sz w:val="18"/>
                <w:szCs w:val="18"/>
              </w:rPr>
            </w:pPr>
          </w:p>
        </w:tc>
        <w:tc>
          <w:tcPr>
            <w:tcW w:w="1262" w:type="dxa"/>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优秀</w:t>
            </w:r>
          </w:p>
        </w:tc>
        <w:tc>
          <w:tcPr>
            <w:tcW w:w="1113" w:type="dxa"/>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优秀</w:t>
            </w:r>
          </w:p>
        </w:tc>
        <w:tc>
          <w:tcPr>
            <w:tcW w:w="1629" w:type="dxa"/>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反映相关产出对自然环境带来的影响和效果。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3" w:type="dxa"/>
            <w:vMerge w:val="continue"/>
            <w:vAlign w:val="top"/>
          </w:tcPr>
          <w:p>
            <w:pPr>
              <w:jc w:val="center"/>
              <w:rPr>
                <w:rFonts w:hint="eastAsia" w:ascii="仿宋_GB2312" w:hAnsi="仿宋_GB2312" w:eastAsia="仿宋_GB2312" w:cs="仿宋_GB2312"/>
                <w:color w:val="000000"/>
                <w:sz w:val="20"/>
                <w:szCs w:val="20"/>
              </w:rPr>
            </w:pPr>
          </w:p>
        </w:tc>
        <w:tc>
          <w:tcPr>
            <w:tcW w:w="1597" w:type="dxa"/>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可持续影响</w:t>
            </w:r>
          </w:p>
        </w:tc>
        <w:tc>
          <w:tcPr>
            <w:tcW w:w="1678" w:type="dxa"/>
            <w:vAlign w:val="center"/>
          </w:tcPr>
          <w:p>
            <w:pPr>
              <w:jc w:val="center"/>
              <w:rPr>
                <w:rFonts w:hint="eastAsia" w:ascii="宋体" w:hAnsi="宋体" w:cs="宋体"/>
                <w:b/>
                <w:color w:val="000000"/>
                <w:sz w:val="18"/>
                <w:szCs w:val="18"/>
              </w:rPr>
            </w:pPr>
          </w:p>
        </w:tc>
        <w:tc>
          <w:tcPr>
            <w:tcW w:w="1262" w:type="dxa"/>
            <w:vAlign w:val="center"/>
          </w:tcPr>
          <w:p>
            <w:pPr>
              <w:jc w:val="center"/>
              <w:rPr>
                <w:rFonts w:hint="eastAsia" w:ascii="宋体" w:hAnsi="宋体" w:cs="宋体"/>
                <w:b/>
                <w:color w:val="000000"/>
                <w:sz w:val="18"/>
                <w:szCs w:val="18"/>
              </w:rPr>
            </w:pPr>
          </w:p>
        </w:tc>
        <w:tc>
          <w:tcPr>
            <w:tcW w:w="1113" w:type="dxa"/>
            <w:vAlign w:val="center"/>
          </w:tcPr>
          <w:p>
            <w:pPr>
              <w:widowControl/>
              <w:jc w:val="center"/>
              <w:textAlignment w:val="center"/>
              <w:rPr>
                <w:rFonts w:hint="eastAsia" w:ascii="宋体" w:hAnsi="宋体" w:cs="宋体"/>
                <w:color w:val="000000"/>
                <w:sz w:val="18"/>
                <w:szCs w:val="18"/>
              </w:rPr>
            </w:pPr>
          </w:p>
        </w:tc>
        <w:tc>
          <w:tcPr>
            <w:tcW w:w="1629" w:type="dxa"/>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反映相关产出带来影响的可持续期限。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3" w:type="dxa"/>
            <w:vAlign w:val="center"/>
          </w:tcPr>
          <w:p>
            <w:pPr>
              <w:pStyle w:val="2"/>
              <w:ind w:firstLine="0" w:firstLineChars="0"/>
              <w:jc w:val="center"/>
              <w:rPr>
                <w:rFonts w:hint="eastAsia" w:ascii="仿宋_GB2312" w:hAnsi="仿宋_GB2312" w:eastAsia="仿宋_GB2312" w:cs="仿宋_GB2312"/>
                <w:color w:val="000000"/>
                <w:sz w:val="20"/>
                <w:szCs w:val="20"/>
              </w:rPr>
            </w:pPr>
            <w:r>
              <w:rPr>
                <w:rFonts w:hint="eastAsia" w:ascii="宋体" w:hAnsi="宋体" w:cs="宋体"/>
                <w:b/>
                <w:color w:val="000000"/>
                <w:kern w:val="0"/>
                <w:sz w:val="18"/>
                <w:szCs w:val="18"/>
                <w:lang w:bidi="ar"/>
              </w:rPr>
              <w:t>满意度指标</w:t>
            </w:r>
          </w:p>
        </w:tc>
        <w:tc>
          <w:tcPr>
            <w:tcW w:w="1597" w:type="dxa"/>
            <w:vAlign w:val="center"/>
          </w:tcPr>
          <w:p>
            <w:pPr>
              <w:widowControl/>
              <w:jc w:val="center"/>
              <w:textAlignment w:val="center"/>
              <w:rPr>
                <w:rFonts w:hint="eastAsia" w:ascii="宋体" w:hAnsi="宋体" w:cs="宋体"/>
                <w:b/>
                <w:color w:val="000000"/>
                <w:sz w:val="18"/>
                <w:szCs w:val="18"/>
              </w:rPr>
            </w:pPr>
            <w:r>
              <w:rPr>
                <w:rFonts w:hint="eastAsia" w:ascii="宋体" w:hAnsi="宋体" w:cs="宋体"/>
                <w:b/>
                <w:color w:val="000000"/>
                <w:kern w:val="0"/>
                <w:sz w:val="18"/>
                <w:szCs w:val="18"/>
                <w:lang w:bidi="ar"/>
              </w:rPr>
              <w:t>服务对象满意度</w:t>
            </w:r>
          </w:p>
        </w:tc>
        <w:tc>
          <w:tcPr>
            <w:tcW w:w="1678" w:type="dxa"/>
            <w:vAlign w:val="center"/>
          </w:tcPr>
          <w:p>
            <w:pPr>
              <w:jc w:val="center"/>
              <w:rPr>
                <w:rFonts w:hint="eastAsia" w:ascii="宋体" w:hAnsi="宋体" w:cs="宋体"/>
                <w:b/>
                <w:color w:val="000000"/>
                <w:sz w:val="18"/>
                <w:szCs w:val="18"/>
              </w:rPr>
            </w:pPr>
          </w:p>
        </w:tc>
        <w:tc>
          <w:tcPr>
            <w:tcW w:w="1262" w:type="dxa"/>
            <w:vAlign w:val="center"/>
          </w:tcPr>
          <w:p>
            <w:pPr>
              <w:jc w:val="center"/>
              <w:rPr>
                <w:rFonts w:hint="eastAsia" w:ascii="宋体" w:hAnsi="宋体" w:cs="宋体"/>
                <w:b/>
                <w:color w:val="000000"/>
                <w:sz w:val="18"/>
                <w:szCs w:val="18"/>
              </w:rPr>
            </w:pPr>
          </w:p>
        </w:tc>
        <w:tc>
          <w:tcPr>
            <w:tcW w:w="1113" w:type="dxa"/>
            <w:vAlign w:val="center"/>
          </w:tcPr>
          <w:p>
            <w:pPr>
              <w:widowControl/>
              <w:jc w:val="center"/>
              <w:textAlignment w:val="center"/>
              <w:rPr>
                <w:rFonts w:hint="eastAsia" w:ascii="宋体" w:hAnsi="宋体" w:cs="宋体"/>
                <w:color w:val="000000"/>
                <w:sz w:val="18"/>
                <w:szCs w:val="18"/>
              </w:rPr>
            </w:pPr>
          </w:p>
        </w:tc>
        <w:tc>
          <w:tcPr>
            <w:tcW w:w="1629" w:type="dxa"/>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反映服务对象或项目受益人对相关产出及影响的认可程度。</w:t>
            </w:r>
          </w:p>
        </w:tc>
      </w:tr>
    </w:tbl>
    <w:p>
      <w:pPr>
        <w:rPr>
          <w:rFonts w:hint="eastAsia" w:ascii="宋体" w:hAnsi="宋体" w:cs="宋体"/>
          <w:color w:val="000000"/>
          <w:szCs w:val="21"/>
        </w:rPr>
      </w:pPr>
      <w:r>
        <w:rPr>
          <w:rFonts w:hint="eastAsia" w:ascii="宋体" w:hAnsi="宋体" w:cs="宋体"/>
          <w:color w:val="000000"/>
          <w:szCs w:val="21"/>
        </w:rPr>
        <w:t>备注：</w:t>
      </w:r>
    </w:p>
    <w:p>
      <w:pPr>
        <w:pStyle w:val="2"/>
        <w:ind w:firstLine="420"/>
        <w:rPr>
          <w:rFonts w:hint="eastAsia" w:ascii="宋体" w:hAnsi="宋体" w:cs="宋体"/>
          <w:color w:val="000000"/>
          <w:szCs w:val="21"/>
        </w:rPr>
      </w:pPr>
      <w:r>
        <w:rPr>
          <w:rFonts w:hint="eastAsia" w:ascii="宋体" w:hAnsi="宋体" w:cs="宋体"/>
          <w:color w:val="000000"/>
          <w:szCs w:val="21"/>
        </w:rPr>
        <w:t>1.成本指标：按全成本核算原则，对直接成本和间接成本据实填写。在指标说明对填报的三级指标进行详细解释，列明属于固定成本还是变动成本，以及成本变动趋势。</w:t>
      </w:r>
    </w:p>
    <w:p>
      <w:pPr>
        <w:ind w:firstLine="420" w:firstLineChars="200"/>
        <w:rPr>
          <w:rFonts w:hint="eastAsia" w:ascii="宋体" w:hAnsi="宋体" w:cs="宋体"/>
          <w:color w:val="000000"/>
        </w:rPr>
      </w:pPr>
      <w:r>
        <w:rPr>
          <w:rFonts w:hint="eastAsia" w:ascii="宋体" w:hAnsi="宋体" w:cs="宋体"/>
          <w:color w:val="000000"/>
        </w:rPr>
        <w:t>2.指标历史值：结合分析选取的周期数据进行测算，尽量细化填报单项成本历史值。</w:t>
      </w:r>
    </w:p>
    <w:p>
      <w:pPr>
        <w:pStyle w:val="2"/>
        <w:ind w:firstLine="420"/>
        <w:rPr>
          <w:rFonts w:hint="eastAsia" w:ascii="宋体" w:hAnsi="宋体" w:cs="宋体"/>
          <w:color w:val="000000"/>
        </w:rPr>
      </w:pPr>
      <w:r>
        <w:rPr>
          <w:rFonts w:hint="eastAsia" w:ascii="宋体" w:hAnsi="宋体" w:cs="宋体"/>
          <w:color w:val="000000"/>
        </w:rPr>
        <w:t>3.指标目标值：通过横纵向对比分析，确定未来一定周期要达到目标值。并在备注中列明未来周期的时长。</w:t>
      </w:r>
    </w:p>
    <w:p>
      <w:pPr>
        <w:rPr>
          <w:rFonts w:hint="eastAsia" w:ascii="宋体" w:hAnsi="宋体" w:cs="宋体"/>
          <w:color w:val="000000"/>
        </w:rPr>
      </w:pPr>
      <w:r>
        <w:rPr>
          <w:rFonts w:hint="eastAsia" w:ascii="宋体" w:hAnsi="宋体" w:cs="宋体"/>
          <w:color w:val="000000"/>
        </w:rPr>
        <w:t xml:space="preserve">    4.效益效果指标：必须包括至少一项定量指标，且该项定量指标的数据能够统计和监测。</w:t>
      </w:r>
    </w:p>
    <w:p>
      <w:pPr>
        <w:pStyle w:val="2"/>
        <w:ind w:firstLine="420"/>
        <w:rPr>
          <w:color w:val="000000"/>
        </w:rPr>
      </w:pPr>
    </w:p>
    <w:p>
      <w:pPr>
        <w:rPr>
          <w:color w:val="000000"/>
        </w:rPr>
        <w:sectPr>
          <w:pgSz w:w="11906" w:h="16838"/>
          <w:pgMar w:top="1440" w:right="1800" w:bottom="1440" w:left="1800" w:header="720" w:footer="720" w:gutter="0"/>
          <w:cols w:space="720" w:num="1"/>
          <w:docGrid w:type="lines" w:linePitch="312" w:charSpace="0"/>
        </w:sectPr>
      </w:pPr>
    </w:p>
    <w:p>
      <w:pPr>
        <w:jc w:val="left"/>
        <w:rPr>
          <w:sz w:val="32"/>
          <w:szCs w:val="32"/>
        </w:rPr>
      </w:pPr>
      <w:r>
        <w:rPr>
          <w:rFonts w:hint="eastAsia"/>
          <w:sz w:val="32"/>
          <w:szCs w:val="32"/>
        </w:rPr>
        <w:t>　</w:t>
      </w:r>
      <w:r>
        <w:rPr>
          <w:sz w:val="32"/>
          <w:szCs w:val="32"/>
        </w:rPr>
        <w:t>　</w:t>
      </w:r>
    </w:p>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0661361"/>
    </w:sdtPr>
    <w:sdtContent>
      <w:p>
        <w:pPr>
          <w:pStyle w:val="3"/>
          <w:jc w:val="center"/>
        </w:pPr>
        <w:r>
          <w:fldChar w:fldCharType="begin"/>
        </w:r>
        <w:r>
          <w:instrText xml:space="preserve">PAGE   \* MERGEFORMAT</w:instrText>
        </w:r>
        <w:r>
          <w:fldChar w:fldCharType="separate"/>
        </w:r>
        <w:r>
          <w:rPr>
            <w:lang w:val="zh-CN"/>
          </w:rPr>
          <w:t>-</w:t>
        </w:r>
        <w:r>
          <w:t xml:space="preserve"> 8 -</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ZDQ5YjE4ZjBiYjA0NzY3YTJlNGRiNTA5NjEyNDYifQ=="/>
  </w:docVars>
  <w:rsids>
    <w:rsidRoot w:val="2C31553B"/>
    <w:rsid w:val="0DCB645F"/>
    <w:rsid w:val="176D23DA"/>
    <w:rsid w:val="2C31553B"/>
    <w:rsid w:val="6C5D7532"/>
    <w:rsid w:val="6C706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style>
  <w:style w:type="paragraph" w:styleId="3">
    <w:name w:val="footer"/>
    <w:basedOn w:val="1"/>
    <w:qFormat/>
    <w:uiPriority w:val="0"/>
    <w:pPr>
      <w:tabs>
        <w:tab w:val="center" w:pos="4153"/>
        <w:tab w:val="right" w:pos="8306"/>
      </w:tabs>
      <w:snapToGrid w:val="0"/>
      <w:jc w:val="left"/>
    </w:pPr>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2024-03-21T01:57:00Z</dcterms:created>
  <dc:creator>CZK-GY</dc:creator>
  <cp:lastModifiedBy>Administrator</cp:lastModifiedBy>
  <dcterms:modified xsi:type="dcterms:W3CDTF">2024-09-02T07:50:13Z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y fmtid="{D5CDD505-2E9C-101B-9397-08002B2CF9AE}" pid="3" name="ICV">
    <vt:lpwstr>986D47DE0F134516BE88A828A14704D7_13</vt:lpwstr>
  </property>
</Properties>
</file>