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1E6A">
      <w:pPr>
        <w:spacing w:after="0" w:line="600" w:lineRule="exact"/>
        <w:jc w:val="center"/>
        <w:rPr>
          <w:rFonts w:ascii="Times New Roman" w:hAnsi="Times New Roman" w:eastAsia="方正小标宋简体"/>
          <w:b w:val="0"/>
          <w:sz w:val="44"/>
        </w:rPr>
      </w:pPr>
      <w:r>
        <w:rPr>
          <w:rFonts w:ascii="Times New Roman" w:hAnsi="Times New Roman" w:eastAsia="方正小标宋简体"/>
          <w:b w:val="0"/>
          <w:sz w:val="44"/>
        </w:rPr>
        <w:t>关于《</w:t>
      </w:r>
      <w:r>
        <w:rPr>
          <w:rFonts w:hint="eastAsia" w:ascii="Times New Roman" w:hAnsi="Times New Roman" w:eastAsia="方正小标宋简体"/>
          <w:b w:val="0"/>
          <w:sz w:val="44"/>
          <w:lang w:val="en-US" w:eastAsia="zh-CN"/>
        </w:rPr>
        <w:t>2026年</w:t>
      </w:r>
      <w:r>
        <w:rPr>
          <w:rFonts w:ascii="Times New Roman" w:hAnsi="Times New Roman" w:eastAsia="方正小标宋简体"/>
          <w:b w:val="0"/>
          <w:sz w:val="44"/>
        </w:rPr>
        <w:t>北京市朝阳区关于进一步促进</w:t>
      </w:r>
    </w:p>
    <w:p w14:paraId="74B28AC5">
      <w:pPr>
        <w:spacing w:after="0" w:line="600" w:lineRule="exact"/>
        <w:jc w:val="center"/>
        <w:rPr>
          <w:rFonts w:ascii="Times New Roman" w:hAnsi="Times New Roman" w:eastAsia="方正小标宋简体"/>
          <w:b w:val="0"/>
          <w:sz w:val="44"/>
        </w:rPr>
      </w:pPr>
      <w:r>
        <w:rPr>
          <w:rFonts w:ascii="Times New Roman" w:hAnsi="Times New Roman" w:eastAsia="方正小标宋简体"/>
          <w:b w:val="0"/>
          <w:sz w:val="44"/>
        </w:rPr>
        <w:t>文商旅体展融合发展扩大消费的若干扶持措施</w:t>
      </w:r>
    </w:p>
    <w:p w14:paraId="1923DFC8">
      <w:pPr>
        <w:spacing w:after="0" w:line="600" w:lineRule="exact"/>
        <w:jc w:val="center"/>
      </w:pPr>
      <w:r>
        <w:rPr>
          <w:rFonts w:hint="eastAsia" w:ascii="Times New Roman" w:hAnsi="Times New Roman" w:eastAsia="方正小标宋简体"/>
          <w:b w:val="0"/>
          <w:sz w:val="44"/>
          <w:lang w:eastAsia="zh-CN"/>
        </w:rPr>
        <w:t>（</w:t>
      </w:r>
      <w:r>
        <w:rPr>
          <w:rFonts w:hint="eastAsia" w:ascii="Times New Roman" w:hAnsi="Times New Roman" w:eastAsia="方正小标宋简体"/>
          <w:b w:val="0"/>
          <w:sz w:val="44"/>
          <w:lang w:val="en-US" w:eastAsia="zh-CN"/>
        </w:rPr>
        <w:t>征求意见稿</w:t>
      </w:r>
      <w:r>
        <w:rPr>
          <w:rFonts w:hint="eastAsia" w:ascii="Times New Roman" w:hAnsi="Times New Roman" w:eastAsia="方正小标宋简体"/>
          <w:b w:val="0"/>
          <w:sz w:val="44"/>
          <w:lang w:eastAsia="zh-CN"/>
        </w:rPr>
        <w:t>）</w:t>
      </w:r>
      <w:r>
        <w:rPr>
          <w:rFonts w:ascii="Times New Roman" w:hAnsi="Times New Roman" w:eastAsia="方正小标宋简体"/>
          <w:b w:val="0"/>
          <w:sz w:val="44"/>
        </w:rPr>
        <w:t>》的起草说明</w:t>
      </w:r>
    </w:p>
    <w:p w14:paraId="34BDFB47"/>
    <w:p w14:paraId="3AD450A6">
      <w:pPr>
        <w:spacing w:before="0" w:after="0" w:line="560" w:lineRule="exact"/>
        <w:ind w:firstLine="640"/>
        <w:jc w:val="both"/>
      </w:pPr>
      <w:r>
        <w:rPr>
          <w:rFonts w:ascii="Times New Roman" w:hAnsi="Times New Roman" w:eastAsia="仿宋_GB2312"/>
          <w:b w:val="0"/>
          <w:sz w:val="32"/>
        </w:rPr>
        <w:t>为深入贯彻落实国家和北京市关于扩大服务消费、繁荣文化和旅游消费的决策部署，充分发挥朝阳区文商旅体展资源集聚优势，进一步培育消费新融合、新场景和新模式，</w:t>
      </w:r>
      <w:r>
        <w:rPr>
          <w:rFonts w:hint="eastAsia" w:ascii="Times New Roman" w:hAnsi="Times New Roman" w:eastAsia="仿宋_GB2312"/>
          <w:b w:val="0"/>
          <w:sz w:val="32"/>
          <w:lang w:val="en-US" w:eastAsia="zh-CN"/>
        </w:rPr>
        <w:t>北京市</w:t>
      </w:r>
      <w:r>
        <w:rPr>
          <w:rFonts w:ascii="Times New Roman" w:hAnsi="Times New Roman" w:eastAsia="仿宋_GB2312"/>
          <w:b w:val="0"/>
          <w:sz w:val="32"/>
        </w:rPr>
        <w:t>朝阳区文化和旅游局</w:t>
      </w:r>
      <w:r>
        <w:rPr>
          <w:rFonts w:hint="eastAsia" w:ascii="Times New Roman" w:hAnsi="Times New Roman" w:eastAsia="仿宋_GB2312"/>
          <w:b w:val="0"/>
          <w:sz w:val="32"/>
          <w:lang w:val="en-US" w:eastAsia="zh-CN"/>
        </w:rPr>
        <w:t>牵头拟定了</w:t>
      </w:r>
      <w:r>
        <w:rPr>
          <w:rFonts w:ascii="Times New Roman" w:hAnsi="Times New Roman" w:eastAsia="仿宋_GB2312"/>
          <w:b w:val="0"/>
          <w:sz w:val="32"/>
        </w:rPr>
        <w:t>《</w:t>
      </w:r>
      <w:r>
        <w:rPr>
          <w:rFonts w:hint="eastAsia" w:ascii="Times New Roman" w:hAnsi="Times New Roman" w:eastAsia="仿宋_GB2312"/>
          <w:b w:val="0"/>
          <w:sz w:val="32"/>
          <w:lang w:val="en-US" w:eastAsia="zh-CN"/>
        </w:rPr>
        <w:t>2026年</w:t>
      </w:r>
      <w:r>
        <w:rPr>
          <w:rFonts w:ascii="Times New Roman" w:hAnsi="Times New Roman" w:eastAsia="仿宋_GB2312"/>
          <w:b w:val="0"/>
          <w:sz w:val="32"/>
        </w:rPr>
        <w:t>北京市朝阳区关于进一步促进文商旅体展融合发展扩大消费的若干扶持措施</w:t>
      </w:r>
      <w:r>
        <w:rPr>
          <w:rFonts w:hint="eastAsia" w:ascii="Times New Roman" w:hAnsi="Times New Roman" w:eastAsia="仿宋_GB2312"/>
          <w:b w:val="0"/>
          <w:sz w:val="32"/>
          <w:lang w:eastAsia="zh-CN"/>
        </w:rPr>
        <w:t>（</w:t>
      </w:r>
      <w:r>
        <w:rPr>
          <w:rFonts w:hint="eastAsia" w:ascii="Times New Roman" w:hAnsi="Times New Roman" w:eastAsia="仿宋_GB2312"/>
          <w:b w:val="0"/>
          <w:sz w:val="32"/>
          <w:lang w:val="en-US" w:eastAsia="zh-CN"/>
        </w:rPr>
        <w:t>征求意见稿</w:t>
      </w:r>
      <w:r>
        <w:rPr>
          <w:rFonts w:hint="eastAsia" w:ascii="Times New Roman" w:hAnsi="Times New Roman" w:eastAsia="仿宋_GB2312"/>
          <w:b w:val="0"/>
          <w:sz w:val="32"/>
          <w:lang w:eastAsia="zh-CN"/>
        </w:rPr>
        <w:t>）</w:t>
      </w:r>
      <w:r>
        <w:rPr>
          <w:rFonts w:ascii="Times New Roman" w:hAnsi="Times New Roman" w:eastAsia="仿宋_GB2312"/>
          <w:b w:val="0"/>
          <w:sz w:val="32"/>
        </w:rPr>
        <w:t>》。现将有关情况说明如下：</w:t>
      </w:r>
    </w:p>
    <w:p w14:paraId="59E318EE">
      <w:pPr>
        <w:spacing w:before="0" w:after="0" w:line="560" w:lineRule="exact"/>
        <w:ind w:firstLine="640" w:firstLineChars="200"/>
        <w:jc w:val="left"/>
      </w:pPr>
      <w:r>
        <w:rPr>
          <w:rFonts w:ascii="Times New Roman" w:hAnsi="Times New Roman" w:eastAsia="黑体"/>
          <w:b w:val="0"/>
          <w:sz w:val="32"/>
        </w:rPr>
        <w:t>一、起草考虑</w:t>
      </w:r>
    </w:p>
    <w:p w14:paraId="1EE5C4A7">
      <w:pPr>
        <w:spacing w:before="0" w:after="0" w:line="560" w:lineRule="exact"/>
        <w:ind w:firstLine="640"/>
        <w:jc w:val="both"/>
      </w:pPr>
      <w:r>
        <w:rPr>
          <w:rFonts w:ascii="Times New Roman" w:hAnsi="Times New Roman" w:eastAsia="仿宋_GB2312"/>
          <w:b/>
          <w:bCs/>
          <w:sz w:val="32"/>
        </w:rPr>
        <w:t>一是</w:t>
      </w:r>
      <w:r>
        <w:rPr>
          <w:rFonts w:ascii="Times New Roman" w:hAnsi="Times New Roman" w:eastAsia="仿宋_GB2312"/>
          <w:b w:val="0"/>
          <w:sz w:val="32"/>
        </w:rPr>
        <w:t>落实上级部署，增强促消费政策协同性。认真落实国务院《关于促进服务消费高质量发展的意见》《关于进一步培育新增长点繁荣文化和旅游消费的若干措施》等部署要求，衔接文化和旅游部关于持续开展文化和旅游消费促进活动、拓展文旅新业态新场景的工作安排，以及北京市文化和旅游局关于扩大文化和旅游新消费、推动演艺高质量发展、激发入境旅游消费潜力等政策导向，把扩大优质供给、创新消费场景和释放消费潜力有机结合起来，持续提升服务消费质量和文旅消费活力。</w:t>
      </w:r>
    </w:p>
    <w:p w14:paraId="34FEC150">
      <w:pPr>
        <w:spacing w:before="0" w:after="0" w:line="560" w:lineRule="exact"/>
        <w:ind w:firstLine="640"/>
        <w:jc w:val="both"/>
      </w:pPr>
      <w:r>
        <w:rPr>
          <w:rFonts w:ascii="Times New Roman" w:hAnsi="Times New Roman" w:eastAsia="仿宋_GB2312"/>
          <w:b/>
          <w:bCs/>
          <w:sz w:val="32"/>
        </w:rPr>
        <w:t>二是</w:t>
      </w:r>
      <w:r>
        <w:rPr>
          <w:rFonts w:ascii="Times New Roman" w:hAnsi="Times New Roman" w:eastAsia="仿宋_GB2312"/>
          <w:b w:val="0"/>
          <w:sz w:val="32"/>
        </w:rPr>
        <w:t>立足朝阳优势，放大资源聚合和消费带动效应。充分发挥朝阳区作为首都功能重要承载区和国际交往重要窗口的区位优势，依托大型体育设施、国家级展览展示平台、重点商圈、演艺空间、文博艺术资源和国际化消费场景集聚优势，强化演艺、赛事、展览、旅游、会展等业态协同联动，推动活动流量、客群流量更好转化为消费增量，进一步增强朝阳区国际消费中心城市主承载区的引领带动作用。</w:t>
      </w:r>
    </w:p>
    <w:p w14:paraId="398F1D07">
      <w:pPr>
        <w:spacing w:before="0" w:after="0" w:line="560" w:lineRule="exact"/>
        <w:ind w:firstLine="640"/>
        <w:jc w:val="both"/>
      </w:pPr>
      <w:r>
        <w:rPr>
          <w:rFonts w:ascii="Times New Roman" w:hAnsi="Times New Roman" w:eastAsia="仿宋_GB2312"/>
          <w:b/>
          <w:bCs/>
          <w:sz w:val="32"/>
        </w:rPr>
        <w:t>三是</w:t>
      </w:r>
      <w:r>
        <w:rPr>
          <w:rFonts w:ascii="Times New Roman" w:hAnsi="Times New Roman" w:eastAsia="仿宋_GB2312"/>
          <w:b w:val="0"/>
          <w:sz w:val="32"/>
        </w:rPr>
        <w:t>坚持问题导向，提高政策精准度和财政资金撬动效应。结合</w:t>
      </w:r>
      <w:r>
        <w:rPr>
          <w:rFonts w:hint="eastAsia" w:ascii="Times New Roman" w:hAnsi="Times New Roman" w:eastAsia="仿宋_GB2312"/>
          <w:b w:val="0"/>
          <w:sz w:val="32"/>
          <w:lang w:val="en-US" w:eastAsia="zh-CN"/>
        </w:rPr>
        <w:t>过往文商旅体展相关扶持政策</w:t>
      </w:r>
      <w:r>
        <w:rPr>
          <w:rFonts w:ascii="Times New Roman" w:hAnsi="Times New Roman" w:eastAsia="仿宋_GB2312"/>
          <w:b w:val="0"/>
          <w:sz w:val="32"/>
        </w:rPr>
        <w:t>，对扶持门槛、支持对象和奖励标准进行优化完善，突出“聚流量、强融合、国际化”，推动政策从单一项目支持向优质内容引进、消费场景打造、产业生态培育和市场主体服务并重转变，更好发挥财政资金的引导和激励作用。</w:t>
      </w:r>
    </w:p>
    <w:p w14:paraId="523744F0">
      <w:pPr>
        <w:spacing w:before="0" w:after="0" w:line="560" w:lineRule="exact"/>
        <w:ind w:firstLine="640" w:firstLineChars="200"/>
        <w:jc w:val="left"/>
      </w:pPr>
      <w:r>
        <w:rPr>
          <w:rFonts w:ascii="Times New Roman" w:hAnsi="Times New Roman" w:eastAsia="黑体"/>
          <w:b w:val="0"/>
          <w:sz w:val="32"/>
        </w:rPr>
        <w:t>二、主要内容</w:t>
      </w:r>
    </w:p>
    <w:p w14:paraId="6669EE2E">
      <w:pPr>
        <w:spacing w:before="0" w:after="0" w:line="560" w:lineRule="exact"/>
        <w:ind w:firstLine="640"/>
        <w:jc w:val="both"/>
      </w:pPr>
      <w:r>
        <w:rPr>
          <w:rFonts w:ascii="Times New Roman" w:hAnsi="Times New Roman" w:eastAsia="仿宋_GB2312"/>
          <w:b w:val="0"/>
          <w:sz w:val="32"/>
        </w:rPr>
        <w:t>《扶持措施》包括总体目标、扶持类型、申报要求和其他事项四部分。</w:t>
      </w:r>
    </w:p>
    <w:p w14:paraId="4317A3AC">
      <w:pPr>
        <w:spacing w:before="0" w:after="0" w:line="560" w:lineRule="exact"/>
        <w:ind w:firstLine="640" w:firstLineChars="200"/>
        <w:jc w:val="both"/>
      </w:pPr>
      <w:r>
        <w:rPr>
          <w:rFonts w:ascii="Times New Roman" w:hAnsi="Times New Roman" w:eastAsia="仿宋_GB2312"/>
          <w:b w:val="0"/>
          <w:sz w:val="32"/>
        </w:rPr>
        <w:t>（一）明确总体目标。围绕“聚流量、强融合、国际化”三个方向，发挥演艺、体育赛事、文博艺术展、旅游和会展的大流量带动作用，推动文化、商业、旅游、体育、会展等资源要素跨界重组、深度融合，拓展入境消费，增强朝阳消费的国际吸引力和影响力。</w:t>
      </w:r>
    </w:p>
    <w:p w14:paraId="6BA275D9">
      <w:pPr>
        <w:spacing w:before="0" w:after="0" w:line="560" w:lineRule="exact"/>
        <w:ind w:firstLine="640" w:firstLineChars="200"/>
        <w:jc w:val="both"/>
      </w:pPr>
      <w:r>
        <w:rPr>
          <w:rFonts w:ascii="Times New Roman" w:hAnsi="Times New Roman" w:eastAsia="仿宋_GB2312"/>
          <w:b w:val="0"/>
          <w:sz w:val="32"/>
        </w:rPr>
        <w:t>（二）优化八类扶持政策。</w:t>
      </w:r>
    </w:p>
    <w:p w14:paraId="05A4B0E7">
      <w:pPr>
        <w:spacing w:before="0" w:after="0" w:line="560" w:lineRule="exact"/>
        <w:ind w:firstLine="640" w:firstLineChars="200"/>
        <w:jc w:val="both"/>
      </w:pPr>
      <w:r>
        <w:rPr>
          <w:rFonts w:ascii="Times New Roman" w:hAnsi="Times New Roman" w:eastAsia="仿宋_GB2312"/>
          <w:b w:val="0"/>
          <w:sz w:val="32"/>
        </w:rPr>
        <w:t>1.支持大型演唱会、音乐节、精品演出。对累计售票总人数达到3万人次（含）以上的大型演唱会项目，结合累计售票总人数和境外观众比例，分梯次予以最高300万元奖励；对累计售票总人数达到1万人次（含）以上的音乐节项目，分梯次予以最高100万元奖励；对累计售票达到2万人次，或属于国内外知名剧目、在京首演和世界或全国巡演首站落户朝阳的精品演出项目，经综合评定，对前五名分梯次予以最高100万元奖励。</w:t>
      </w:r>
    </w:p>
    <w:p w14:paraId="5C83B714">
      <w:pPr>
        <w:spacing w:before="0" w:after="0" w:line="560" w:lineRule="exact"/>
        <w:ind w:firstLine="640" w:firstLineChars="200"/>
        <w:jc w:val="both"/>
      </w:pPr>
      <w:r>
        <w:rPr>
          <w:rFonts w:ascii="Times New Roman" w:hAnsi="Times New Roman" w:eastAsia="仿宋_GB2312"/>
          <w:b w:val="0"/>
          <w:sz w:val="32"/>
        </w:rPr>
        <w:t>2.支持文博、美术、艺术等各类特展。对在朝阳区自行策展或组织国际知名、国内一流文博美术大展的举办单位，根据单个项目一年内累计售票总人数给予支持，达到3万人次起予以奖励，最高100万元。</w:t>
      </w:r>
    </w:p>
    <w:p w14:paraId="118A1E46">
      <w:pPr>
        <w:spacing w:before="0" w:after="0" w:line="560" w:lineRule="exact"/>
        <w:ind w:firstLine="640" w:firstLineChars="200"/>
        <w:jc w:val="both"/>
      </w:pPr>
      <w:r>
        <w:rPr>
          <w:rFonts w:ascii="Times New Roman" w:hAnsi="Times New Roman" w:eastAsia="仿宋_GB2312"/>
          <w:b w:val="0"/>
          <w:sz w:val="32"/>
        </w:rPr>
        <w:t>3.支持有影响力的重大体育赛事。对在朝阳区举办的有影响力的重大体育赛事举办单位，根据累计观赛人数或国际、全国参赛人数核定支持金额，累计观赛观众达到3000人次起或国际、全国参赛人数达到100人起予以支持，最高奖励100万元。</w:t>
      </w:r>
    </w:p>
    <w:p w14:paraId="40DA7631">
      <w:pPr>
        <w:spacing w:before="0" w:after="0" w:line="560" w:lineRule="exact"/>
        <w:ind w:firstLine="640" w:firstLineChars="200"/>
        <w:jc w:val="both"/>
      </w:pPr>
      <w:r>
        <w:rPr>
          <w:rFonts w:ascii="Times New Roman" w:hAnsi="Times New Roman" w:eastAsia="仿宋_GB2312"/>
          <w:b w:val="0"/>
          <w:sz w:val="32"/>
        </w:rPr>
        <w:t>4.支持高能级展会项目。对首次在朝阳区举办的世界商展100强、UFI认证展会等国际知名展会项目，境内首次办展给予200万元支持，京内首次办展给予100万元奖励；对首次在朝阳区举办的其他展览项目，面积达到1万平方米（含）以上的，予以主办单位最高100万元奖励。</w:t>
      </w:r>
    </w:p>
    <w:p w14:paraId="5871C930">
      <w:pPr>
        <w:spacing w:before="0" w:after="0" w:line="560" w:lineRule="exact"/>
        <w:ind w:firstLine="640" w:firstLineChars="200"/>
        <w:jc w:val="both"/>
      </w:pPr>
      <w:r>
        <w:rPr>
          <w:rFonts w:ascii="Times New Roman" w:hAnsi="Times New Roman" w:eastAsia="仿宋_GB2312"/>
          <w:b w:val="0"/>
          <w:sz w:val="32"/>
        </w:rPr>
        <w:t>5.支持入境游促消费活动。继续支持旅行社招徕、组织、接待入境游客“游在北京、住在朝阳”，对在朝阳区组织境外游客住宿超过2000间·夜/年的旅行社，对前十名分梯次予以最高50万元奖励；新增住宿企业支持方向，对申报年度接待入境过夜游客达到5000人次（含）以上的住宿企业，对前十名分梯次予以最高50万元奖励；新增在线旅游平台（OTA）支持方向，对推出入住朝阳区酒店旅游产品、年度销售人·天数达到</w:t>
      </w:r>
      <w:r>
        <w:rPr>
          <w:rFonts w:hint="default" w:ascii="Times New Roman" w:hAnsi="Times New Roman" w:eastAsia="仿宋_GB2312" w:cs="Times New Roman"/>
          <w:kern w:val="2"/>
          <w:sz w:val="32"/>
          <w:szCs w:val="32"/>
          <w:highlight w:val="none"/>
          <w:lang w:val="en-US" w:eastAsia="zh-CN" w:bidi="ar-SA"/>
        </w:rPr>
        <w:t>10000</w:t>
      </w:r>
      <w:r>
        <w:rPr>
          <w:rFonts w:hint="eastAsia" w:ascii="仿宋_GB2312" w:hAnsi="仿宋_GB2312" w:eastAsia="仿宋_GB2312" w:cs="仿宋_GB2312"/>
          <w:kern w:val="2"/>
          <w:sz w:val="32"/>
          <w:szCs w:val="32"/>
          <w:highlight w:val="none"/>
          <w:lang w:val="en-US" w:eastAsia="zh-CN" w:bidi="ar-SA"/>
        </w:rPr>
        <w:t>间·夜/年</w:t>
      </w:r>
      <w:r>
        <w:rPr>
          <w:rFonts w:hint="default" w:ascii="Times New Roman" w:hAnsi="Times New Roman" w:eastAsia="仿宋_GB2312" w:cs="Times New Roman"/>
          <w:sz w:val="32"/>
          <w:szCs w:val="32"/>
          <w:highlight w:val="none"/>
          <w:lang w:val="en-US" w:eastAsia="zh-CN"/>
        </w:rPr>
        <w:t>（含）</w:t>
      </w:r>
      <w:r>
        <w:rPr>
          <w:rFonts w:hint="eastAsia" w:ascii="Times New Roman" w:hAnsi="Times New Roman" w:eastAsia="仿宋_GB2312" w:cs="Times New Roman"/>
          <w:sz w:val="32"/>
          <w:szCs w:val="32"/>
          <w:highlight w:val="none"/>
          <w:lang w:val="en-US" w:eastAsia="zh-CN"/>
        </w:rPr>
        <w:t>以上</w:t>
      </w:r>
      <w:r>
        <w:rPr>
          <w:rFonts w:ascii="Times New Roman" w:hAnsi="Times New Roman" w:eastAsia="仿宋_GB2312"/>
          <w:b w:val="0"/>
          <w:sz w:val="32"/>
        </w:rPr>
        <w:t>的平台，对前五名分梯次予以最高100万元奖励。</w:t>
      </w:r>
    </w:p>
    <w:p w14:paraId="0AA423F3">
      <w:pPr>
        <w:spacing w:before="0" w:after="0" w:line="560" w:lineRule="exact"/>
        <w:ind w:firstLine="640" w:firstLineChars="200"/>
        <w:jc w:val="both"/>
      </w:pPr>
      <w:r>
        <w:rPr>
          <w:rFonts w:ascii="Times New Roman" w:hAnsi="Times New Roman" w:eastAsia="仿宋_GB2312"/>
          <w:b w:val="0"/>
          <w:sz w:val="32"/>
        </w:rPr>
        <w:t>6.支持宣传推介活动。支持内容社交平台企业策划组织对朝阳区文商旅体展资源开展营销推广或发布原创视频，根据宣传内容曝光量、互动量或“网红打卡地”“爆款活动”打造情况进行排名，对前五名分梯次予以最高50万元奖励。</w:t>
      </w:r>
    </w:p>
    <w:p w14:paraId="5881C2A5">
      <w:pPr>
        <w:spacing w:before="0" w:after="0" w:line="560" w:lineRule="exact"/>
        <w:ind w:firstLine="640" w:firstLineChars="200"/>
        <w:jc w:val="both"/>
      </w:pPr>
      <w:r>
        <w:rPr>
          <w:rFonts w:ascii="Times New Roman" w:hAnsi="Times New Roman" w:eastAsia="仿宋_GB2312"/>
          <w:b w:val="0"/>
          <w:sz w:val="32"/>
        </w:rPr>
        <w:t>7.支持文商旅体展贯通融合发展。支持企业打造具有鲜明朝阳特色、行业创新示范意义和可复制推广价值的标志性融合案例，案例须整合文商旅体展中至少三类资源要素，形成协同联动的消费场景或运营模式，根据年度客流量、线上曝光量和资源融合情况等进行排名，对前五名分梯次予以最高100万元奖励。</w:t>
      </w:r>
    </w:p>
    <w:p w14:paraId="02BC15CE">
      <w:pPr>
        <w:spacing w:before="0" w:after="0" w:line="560" w:lineRule="exact"/>
        <w:ind w:firstLine="640" w:firstLineChars="200"/>
        <w:jc w:val="both"/>
      </w:pPr>
      <w:r>
        <w:rPr>
          <w:rFonts w:ascii="Times New Roman" w:hAnsi="Times New Roman" w:eastAsia="仿宋_GB2312"/>
          <w:b w:val="0"/>
          <w:sz w:val="32"/>
        </w:rPr>
        <w:t>8.支持文商旅体展新场景落地朝阳。鼓励企业围绕“潮经济、水经济、夜经济”，运用AI、VR、AR等前沿科技，打造沉浸式演艺空间、数字艺术展览、全息剧场、“智慧文旅”等新场景，以业态联动、数字赋能、科技创新、城市更新等方式推动文商旅体展要素深度融合，根据项目行业引领性、创新性和标杆示范作用等进行排名，对前五名分梯次予以最高100万元奖励。</w:t>
      </w:r>
    </w:p>
    <w:p w14:paraId="5A3BA5EE">
      <w:pPr>
        <w:spacing w:before="0" w:after="0" w:line="560" w:lineRule="exact"/>
        <w:ind w:firstLine="640" w:firstLineChars="200"/>
        <w:jc w:val="both"/>
        <w:rPr>
          <w:rFonts w:ascii="Times New Roman" w:hAnsi="Times New Roman" w:eastAsia="仿宋_GB2312"/>
          <w:b w:val="0"/>
          <w:sz w:val="32"/>
        </w:rPr>
      </w:pPr>
      <w:r>
        <w:rPr>
          <w:rFonts w:ascii="Times New Roman" w:hAnsi="Times New Roman" w:eastAsia="仿宋_GB2312"/>
          <w:b w:val="0"/>
          <w:sz w:val="32"/>
        </w:rPr>
        <w:t>（三）规范申报和资金监督管理。</w:t>
      </w:r>
    </w:p>
    <w:p w14:paraId="38A3B3CB">
      <w:pPr>
        <w:spacing w:before="0" w:after="0" w:line="560" w:lineRule="exact"/>
        <w:ind w:firstLine="640" w:firstLineChars="200"/>
        <w:jc w:val="both"/>
        <w:rPr>
          <w:rFonts w:ascii="Times New Roman" w:hAnsi="Times New Roman" w:eastAsia="仿宋_GB2312"/>
          <w:b w:val="0"/>
          <w:sz w:val="32"/>
        </w:rPr>
      </w:pPr>
      <w:r>
        <w:rPr>
          <w:rFonts w:ascii="Times New Roman" w:hAnsi="Times New Roman" w:eastAsia="仿宋_GB2312"/>
          <w:b w:val="0"/>
          <w:sz w:val="32"/>
        </w:rPr>
        <w:t>坚持独立自主申报，要求申报主体对材料真实性、有效性和合法性负责；坚持公平公正公开的资金使用原则，强化监督检查、绩效考评和审计管理，对提供虚假信息、虚报冒领、截留挪用、挤占专项资金等违法违规行为依法依规处理。</w:t>
      </w:r>
    </w:p>
    <w:p w14:paraId="40CD02F6">
      <w:pPr>
        <w:spacing w:before="0" w:after="0" w:line="560" w:lineRule="exact"/>
        <w:ind w:firstLine="640" w:firstLineChars="200"/>
        <w:jc w:val="both"/>
        <w:rPr>
          <w:rFonts w:hint="default" w:ascii="Times New Roman" w:hAnsi="Times New Roman" w:eastAsia="仿宋_GB2312"/>
          <w:b w:val="0"/>
          <w:sz w:val="32"/>
          <w:lang w:val="en-US" w:eastAsia="zh-CN"/>
        </w:rPr>
      </w:pPr>
      <w:r>
        <w:rPr>
          <w:rFonts w:hint="eastAsia" w:ascii="Times New Roman" w:hAnsi="Times New Roman" w:eastAsia="仿宋_GB2312"/>
          <w:b w:val="0"/>
          <w:sz w:val="32"/>
          <w:lang w:eastAsia="zh-CN"/>
        </w:rPr>
        <w:t>（</w:t>
      </w:r>
      <w:r>
        <w:rPr>
          <w:rFonts w:hint="eastAsia" w:ascii="Times New Roman" w:hAnsi="Times New Roman" w:eastAsia="仿宋_GB2312"/>
          <w:b w:val="0"/>
          <w:sz w:val="32"/>
          <w:lang w:val="en-US" w:eastAsia="zh-CN"/>
        </w:rPr>
        <w:t>四</w:t>
      </w:r>
      <w:r>
        <w:rPr>
          <w:rFonts w:hint="eastAsia" w:ascii="Times New Roman" w:hAnsi="Times New Roman" w:eastAsia="仿宋_GB2312"/>
          <w:b w:val="0"/>
          <w:sz w:val="32"/>
          <w:lang w:eastAsia="zh-CN"/>
        </w:rPr>
        <w:t>）</w:t>
      </w:r>
      <w:r>
        <w:rPr>
          <w:rFonts w:hint="eastAsia" w:ascii="Times New Roman" w:hAnsi="Times New Roman" w:eastAsia="仿宋_GB2312"/>
          <w:b w:val="0"/>
          <w:sz w:val="32"/>
          <w:lang w:val="en-US" w:eastAsia="zh-CN"/>
        </w:rPr>
        <w:t>其他事项</w:t>
      </w:r>
    </w:p>
    <w:p w14:paraId="17912F16">
      <w:pPr>
        <w:spacing w:before="0" w:after="0" w:line="560" w:lineRule="exact"/>
        <w:ind w:firstLine="640" w:firstLineChars="200"/>
        <w:jc w:val="both"/>
        <w:rPr>
          <w:rFonts w:hint="eastAsia" w:eastAsia="仿宋_GB2312"/>
          <w:lang w:eastAsia="zh-CN"/>
        </w:rPr>
      </w:pPr>
      <w:r>
        <w:rPr>
          <w:rFonts w:ascii="Times New Roman" w:hAnsi="Times New Roman" w:eastAsia="仿宋_GB2312"/>
          <w:b w:val="0"/>
          <w:sz w:val="32"/>
        </w:rPr>
        <w:t>同一主体的同一项目符合多项扶持条件，或同时满足朝阳区其他政策文件规定同类支持条件的，按照“就高不重复”原则予以扶持</w:t>
      </w:r>
      <w:r>
        <w:rPr>
          <w:rFonts w:hint="eastAsia" w:ascii="Times New Roman" w:hAnsi="Times New Roman" w:eastAsia="仿宋_GB2312"/>
          <w:b w:val="0"/>
          <w:sz w:val="32"/>
          <w:lang w:eastAsia="zh-CN"/>
        </w:rPr>
        <w:t>，</w:t>
      </w:r>
      <w:r>
        <w:rPr>
          <w:rFonts w:ascii="Times New Roman" w:hAnsi="Times New Roman" w:eastAsia="仿宋_GB2312"/>
          <w:b w:val="0"/>
          <w:sz w:val="32"/>
        </w:rPr>
        <w:t>本政策自发布之日起</w:t>
      </w:r>
      <w:r>
        <w:rPr>
          <w:rFonts w:hint="eastAsia" w:ascii="Times New Roman" w:hAnsi="Times New Roman" w:eastAsia="仿宋_GB2312"/>
          <w:b w:val="0"/>
          <w:sz w:val="32"/>
          <w:lang w:val="en-US" w:eastAsia="zh-CN"/>
        </w:rPr>
        <w:t>正式</w:t>
      </w:r>
      <w:r>
        <w:rPr>
          <w:rFonts w:ascii="Times New Roman" w:hAnsi="Times New Roman" w:eastAsia="仿宋_GB2312"/>
          <w:b w:val="0"/>
          <w:sz w:val="32"/>
        </w:rPr>
        <w:t>实施</w:t>
      </w:r>
      <w:r>
        <w:rPr>
          <w:rFonts w:hint="eastAsia" w:ascii="Times New Roman" w:hAnsi="Times New Roman" w:eastAsia="仿宋_GB2312"/>
          <w:b w:val="0"/>
          <w:sz w:val="32"/>
          <w:lang w:eastAsia="zh-CN"/>
        </w:rPr>
        <w:t>。</w:t>
      </w:r>
      <w:bookmarkStart w:id="0" w:name="_GoBack"/>
      <w:bookmarkEnd w:id="0"/>
    </w:p>
    <w:sectPr>
      <w:pgSz w:w="12240" w:h="15840"/>
      <w:pgMar w:top="1587" w:right="1361" w:bottom="1247" w:left="147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F4853DC"/>
    <w:rsid w:val="4C5D3BBE"/>
    <w:rsid w:val="6F0C1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2320</Words>
  <Characters>2387</Characters>
  <Lines>0</Lines>
  <Paragraphs>0</Paragraphs>
  <TotalTime>14</TotalTime>
  <ScaleCrop>false</ScaleCrop>
  <LinksUpToDate>false</LinksUpToDate>
  <CharactersWithSpaces>2387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一叶知秋</cp:lastModifiedBy>
  <dcterms:modified xsi:type="dcterms:W3CDTF">2026-06-10T03:17:20Z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eyJoZGlkIjoiOTc2OWVkMzIzZjViNjcyNTMwM2VkYTE1N2I1NDRmMGUiLCJ1c2VySWQiOiIyMjcwNDM3NTcifQ==</vt:lpwstr>
  </property>
  <property fmtid="{D5CDD505-2E9C-101B-9397-08002B2CF9AE}" pid="3" name="KSOProductBuildVer">
    <vt:lpwstr>2052-12.1.0.26895</vt:lpwstr>
  </property>
  <property fmtid="{D5CDD505-2E9C-101B-9397-08002B2CF9AE}" pid="4" name="ICV">
    <vt:lpwstr>84C801D725ED42E7B6798B38CE2B7731_13</vt:lpwstr>
  </property>
</Properties>
</file>