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随机抽查事项清单</w:t>
      </w:r>
    </w:p>
    <w:tbl>
      <w:tblPr>
        <w:tblStyle w:val="5"/>
        <w:tblW w:w="15163" w:type="dxa"/>
        <w:jc w:val="center"/>
        <w:tblLayout w:type="fixed"/>
        <w:tblCellMar>
          <w:top w:w="15" w:type="dxa"/>
          <w:left w:w="15" w:type="dxa"/>
          <w:bottom w:w="15" w:type="dxa"/>
          <w:right w:w="15" w:type="dxa"/>
        </w:tblCellMar>
      </w:tblPr>
      <w:tblGrid>
        <w:gridCol w:w="497"/>
        <w:gridCol w:w="2620"/>
        <w:gridCol w:w="4675"/>
        <w:gridCol w:w="2551"/>
        <w:gridCol w:w="992"/>
        <w:gridCol w:w="993"/>
        <w:gridCol w:w="993"/>
        <w:gridCol w:w="1842"/>
      </w:tblGrid>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事项名称</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抽查依据</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抽查对象</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抽查比例</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抽查方式</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抽查周期</w:t>
            </w:r>
          </w:p>
        </w:tc>
        <w:tc>
          <w:tcPr>
            <w:tcW w:w="18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抽查主体</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tcPr>
          <w:p>
            <w:pPr>
              <w:jc w:val="center"/>
            </w:pPr>
            <w:r>
              <w:rPr>
                <w:rFonts w:hint="eastAsia"/>
              </w:rPr>
              <w:t>1</w:t>
            </w:r>
          </w:p>
        </w:tc>
        <w:tc>
          <w:tcPr>
            <w:tcW w:w="2620" w:type="dxa"/>
            <w:tcBorders>
              <w:top w:val="single" w:color="000000" w:sz="4" w:space="0"/>
              <w:left w:val="single" w:color="000000" w:sz="4" w:space="0"/>
              <w:bottom w:val="single" w:color="000000" w:sz="4" w:space="0"/>
              <w:right w:val="single" w:color="000000" w:sz="4" w:space="0"/>
            </w:tcBorders>
          </w:tcPr>
          <w:p>
            <w:r>
              <w:rPr>
                <w:rFonts w:hint="eastAsia"/>
              </w:rPr>
              <w:t>公共场所卫生抽查</w:t>
            </w:r>
          </w:p>
        </w:tc>
        <w:tc>
          <w:tcPr>
            <w:tcW w:w="4675" w:type="dxa"/>
            <w:tcBorders>
              <w:top w:val="single" w:color="000000" w:sz="4" w:space="0"/>
              <w:left w:val="single" w:color="000000" w:sz="4" w:space="0"/>
              <w:bottom w:val="single" w:color="000000" w:sz="4" w:space="0"/>
              <w:right w:val="single" w:color="000000" w:sz="4" w:space="0"/>
            </w:tcBorders>
          </w:tcPr>
          <w:p>
            <w:r>
              <w:rPr>
                <w:rFonts w:hint="eastAsia"/>
              </w:rPr>
              <w:t>《公共场所卫生管理条例》及其实施细则</w:t>
            </w:r>
          </w:p>
        </w:tc>
        <w:tc>
          <w:tcPr>
            <w:tcW w:w="2551" w:type="dxa"/>
            <w:tcBorders>
              <w:top w:val="single" w:color="000000" w:sz="4" w:space="0"/>
              <w:left w:val="single" w:color="000000" w:sz="4" w:space="0"/>
              <w:bottom w:val="single" w:color="000000" w:sz="4" w:space="0"/>
              <w:right w:val="single" w:color="000000" w:sz="4" w:space="0"/>
            </w:tcBorders>
          </w:tcPr>
          <w:p>
            <w:pPr>
              <w:jc w:val="center"/>
            </w:pPr>
            <w:r>
              <w:rPr>
                <w:rFonts w:hint="eastAsia"/>
              </w:rPr>
              <w:t>公共场所经营者</w:t>
            </w:r>
          </w:p>
        </w:tc>
        <w:tc>
          <w:tcPr>
            <w:tcW w:w="992" w:type="dxa"/>
            <w:tcBorders>
              <w:top w:val="single" w:color="000000" w:sz="4" w:space="0"/>
              <w:left w:val="single" w:color="000000" w:sz="4" w:space="0"/>
              <w:bottom w:val="single" w:color="000000" w:sz="4" w:space="0"/>
              <w:right w:val="single" w:color="000000" w:sz="4" w:space="0"/>
            </w:tcBorders>
          </w:tcPr>
          <w:p>
            <w:pPr>
              <w:jc w:val="center"/>
            </w:pPr>
            <w:r>
              <w:rPr>
                <w:rFonts w:hint="eastAsia"/>
              </w:rPr>
              <w:t>≥5%以上</w:t>
            </w:r>
          </w:p>
        </w:tc>
        <w:tc>
          <w:tcPr>
            <w:tcW w:w="993" w:type="dxa"/>
            <w:tcBorders>
              <w:top w:val="single" w:color="000000" w:sz="4" w:space="0"/>
              <w:left w:val="single" w:color="000000" w:sz="4" w:space="0"/>
              <w:bottom w:val="single" w:color="000000" w:sz="4" w:space="0"/>
              <w:right w:val="single" w:color="000000" w:sz="4" w:space="0"/>
            </w:tcBorders>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tcPr>
          <w:p>
            <w:pPr>
              <w:jc w:val="center"/>
            </w:pPr>
            <w:r>
              <w:rPr>
                <w:rFonts w:hint="eastAsia"/>
              </w:rPr>
              <w:t>2</w:t>
            </w:r>
          </w:p>
        </w:tc>
        <w:tc>
          <w:tcPr>
            <w:tcW w:w="2620" w:type="dxa"/>
            <w:tcBorders>
              <w:top w:val="single" w:color="000000" w:sz="4" w:space="0"/>
              <w:left w:val="single" w:color="000000" w:sz="4" w:space="0"/>
              <w:bottom w:val="single" w:color="000000" w:sz="4" w:space="0"/>
              <w:right w:val="single" w:color="000000" w:sz="4" w:space="0"/>
            </w:tcBorders>
          </w:tcPr>
          <w:p>
            <w:r>
              <w:rPr>
                <w:rFonts w:hint="eastAsia"/>
              </w:rPr>
              <w:t>二次供水单位供水卫生情况抽查</w:t>
            </w:r>
          </w:p>
        </w:tc>
        <w:tc>
          <w:tcPr>
            <w:tcW w:w="4675" w:type="dxa"/>
            <w:tcBorders>
              <w:top w:val="single" w:color="000000" w:sz="4" w:space="0"/>
              <w:left w:val="single" w:color="000000" w:sz="4" w:space="0"/>
              <w:bottom w:val="single" w:color="000000" w:sz="4" w:space="0"/>
              <w:right w:val="single" w:color="000000" w:sz="4" w:space="0"/>
            </w:tcBorders>
          </w:tcPr>
          <w:p>
            <w:r>
              <w:rPr>
                <w:rFonts w:hint="eastAsia"/>
              </w:rPr>
              <w:t>《北京市生活饮用水卫生监督管理条例》、《生活饮用水卫生监督管理办法》</w:t>
            </w:r>
          </w:p>
        </w:tc>
        <w:tc>
          <w:tcPr>
            <w:tcW w:w="2551" w:type="dxa"/>
            <w:tcBorders>
              <w:top w:val="single" w:color="000000" w:sz="4" w:space="0"/>
              <w:left w:val="single" w:color="000000" w:sz="4" w:space="0"/>
              <w:bottom w:val="single" w:color="000000" w:sz="4" w:space="0"/>
              <w:right w:val="single" w:color="000000" w:sz="4" w:space="0"/>
            </w:tcBorders>
          </w:tcPr>
          <w:p>
            <w:pPr>
              <w:jc w:val="center"/>
            </w:pPr>
            <w:r>
              <w:rPr>
                <w:rFonts w:hint="eastAsia"/>
              </w:rPr>
              <w:t>二次供水单位</w:t>
            </w:r>
          </w:p>
        </w:tc>
        <w:tc>
          <w:tcPr>
            <w:tcW w:w="992" w:type="dxa"/>
            <w:tcBorders>
              <w:top w:val="single" w:color="000000" w:sz="4" w:space="0"/>
              <w:left w:val="single" w:color="000000" w:sz="4" w:space="0"/>
              <w:bottom w:val="single" w:color="000000" w:sz="4" w:space="0"/>
              <w:right w:val="single" w:color="000000" w:sz="4" w:space="0"/>
            </w:tcBorders>
          </w:tcPr>
          <w:p>
            <w:pPr>
              <w:jc w:val="center"/>
            </w:pPr>
            <w:r>
              <w:rPr>
                <w:rFonts w:hint="eastAsia"/>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tcPr>
          <w:p>
            <w:pPr>
              <w:jc w:val="center"/>
            </w:pPr>
            <w:r>
              <w:rPr>
                <w:rFonts w:hint="eastAsia"/>
              </w:rPr>
              <w:t>3</w:t>
            </w:r>
          </w:p>
        </w:tc>
        <w:tc>
          <w:tcPr>
            <w:tcW w:w="2620" w:type="dxa"/>
            <w:tcBorders>
              <w:top w:val="single" w:color="000000" w:sz="4" w:space="0"/>
              <w:left w:val="single" w:color="000000" w:sz="4" w:space="0"/>
              <w:bottom w:val="single" w:color="000000" w:sz="4" w:space="0"/>
              <w:right w:val="single" w:color="000000" w:sz="4" w:space="0"/>
            </w:tcBorders>
          </w:tcPr>
          <w:p>
            <w:r>
              <w:rPr>
                <w:rFonts w:hint="eastAsia"/>
              </w:rPr>
              <w:t>学校卫生监督抽查</w:t>
            </w:r>
          </w:p>
        </w:tc>
        <w:tc>
          <w:tcPr>
            <w:tcW w:w="4675" w:type="dxa"/>
            <w:tcBorders>
              <w:top w:val="single" w:color="000000" w:sz="4" w:space="0"/>
              <w:left w:val="single" w:color="000000" w:sz="4" w:space="0"/>
              <w:bottom w:val="single" w:color="000000" w:sz="4" w:space="0"/>
              <w:right w:val="single" w:color="000000" w:sz="4" w:space="0"/>
            </w:tcBorders>
          </w:tcPr>
          <w:p>
            <w:r>
              <w:rPr>
                <w:rFonts w:hint="eastAsia"/>
              </w:rPr>
              <w:t>《学校卫生工作条例》、《中华人民共和国传染病防治法》、《中华人民共和国执业医师法》、《医疗机构管理条例》、《医疗废物管理条例》、《生活饮用水卫生监督管理办法》、《公共场所卫生管理条例》、《中华人民共和国精神卫生法》；《学生宿舍卫生要求及管理规范》（GB31177-2014）、《中小学教室采光和照明卫生标准》、《中小学校教室采暖温度标准》、《中小学校教室换气卫生标准》、《书写板安全卫生要求》、《学校课桌椅功能尺寸》、《学校卫生监督工作规范》、《学校和托幼机构传染病疫情报告工作规范》、《公共浴室卫生标准》、《游泳场所卫生标准》、《图书馆、博物馆、美术馆、展览馆卫生标准》</w:t>
            </w:r>
          </w:p>
        </w:tc>
        <w:tc>
          <w:tcPr>
            <w:tcW w:w="2551" w:type="dxa"/>
            <w:tcBorders>
              <w:top w:val="single" w:color="000000" w:sz="4" w:space="0"/>
              <w:left w:val="single" w:color="000000" w:sz="4" w:space="0"/>
              <w:bottom w:val="single" w:color="000000" w:sz="4" w:space="0"/>
              <w:right w:val="single" w:color="000000" w:sz="4" w:space="0"/>
            </w:tcBorders>
          </w:tcPr>
          <w:p>
            <w:pPr>
              <w:jc w:val="center"/>
            </w:pPr>
            <w:r>
              <w:rPr>
                <w:rFonts w:hint="eastAsia"/>
              </w:rPr>
              <w:t>中小学、普通高等学校</w:t>
            </w:r>
          </w:p>
        </w:tc>
        <w:tc>
          <w:tcPr>
            <w:tcW w:w="992" w:type="dxa"/>
            <w:tcBorders>
              <w:top w:val="single" w:color="000000" w:sz="4" w:space="0"/>
              <w:left w:val="single" w:color="000000" w:sz="4" w:space="0"/>
              <w:bottom w:val="single" w:color="000000" w:sz="4" w:space="0"/>
              <w:right w:val="single" w:color="000000" w:sz="4" w:space="0"/>
            </w:tcBorders>
          </w:tcPr>
          <w:p>
            <w:pPr>
              <w:jc w:val="center"/>
            </w:pPr>
            <w:r>
              <w:rPr>
                <w:rFonts w:hint="eastAsia"/>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tcPr>
          <w:p>
            <w:pPr>
              <w:jc w:val="center"/>
            </w:pPr>
            <w:r>
              <w:rPr>
                <w:rFonts w:hint="eastAsia"/>
              </w:rPr>
              <w:t>4</w:t>
            </w:r>
          </w:p>
        </w:tc>
        <w:tc>
          <w:tcPr>
            <w:tcW w:w="2620" w:type="dxa"/>
            <w:tcBorders>
              <w:top w:val="nil"/>
              <w:left w:val="single" w:color="000000" w:sz="8" w:space="0"/>
              <w:bottom w:val="single" w:color="auto" w:sz="4" w:space="0"/>
              <w:right w:val="single" w:color="000000" w:sz="8" w:space="0"/>
            </w:tcBorders>
            <w:shd w:val="clear" w:color="auto" w:fill="auto"/>
          </w:tcPr>
          <w:p>
            <w:pPr>
              <w:widowControl/>
              <w:rPr>
                <w:color w:val="000000"/>
                <w:kern w:val="0"/>
                <w:sz w:val="22"/>
                <w:szCs w:val="22"/>
              </w:rPr>
            </w:pPr>
            <w:r>
              <w:rPr>
                <w:rFonts w:hint="eastAsia"/>
                <w:color w:val="000000"/>
                <w:sz w:val="22"/>
                <w:szCs w:val="22"/>
              </w:rPr>
              <w:t>托幼机构卫生监督抽查</w:t>
            </w:r>
          </w:p>
        </w:tc>
        <w:tc>
          <w:tcPr>
            <w:tcW w:w="4675" w:type="dxa"/>
            <w:tcBorders>
              <w:top w:val="nil"/>
              <w:left w:val="nil"/>
              <w:bottom w:val="single" w:color="auto" w:sz="4" w:space="0"/>
              <w:right w:val="single" w:color="000000" w:sz="8" w:space="0"/>
            </w:tcBorders>
            <w:shd w:val="clear" w:color="auto" w:fill="auto"/>
          </w:tcPr>
          <w:p>
            <w:pPr>
              <w:rPr>
                <w:color w:val="000000"/>
                <w:sz w:val="22"/>
                <w:szCs w:val="22"/>
              </w:rPr>
            </w:pPr>
            <w:r>
              <w:rPr>
                <w:rFonts w:hint="eastAsia"/>
                <w:color w:val="000000"/>
                <w:sz w:val="22"/>
                <w:szCs w:val="22"/>
              </w:rPr>
              <w:t>《托儿所幼儿园卫生保健管理办法》、《中华人民共和国传染病防治法》、《学校和托幼机构传染病疫情报告工作规范》、《生活饮用水卫生监督管理办法》、《中华人民共和国精神卫生法》</w:t>
            </w:r>
          </w:p>
        </w:tc>
        <w:tc>
          <w:tcPr>
            <w:tcW w:w="2551" w:type="dxa"/>
            <w:tcBorders>
              <w:top w:val="nil"/>
              <w:left w:val="nil"/>
              <w:bottom w:val="single" w:color="auto" w:sz="4" w:space="0"/>
              <w:right w:val="single" w:color="000000" w:sz="8" w:space="0"/>
            </w:tcBorders>
            <w:shd w:val="clear" w:color="auto" w:fill="auto"/>
          </w:tcPr>
          <w:p>
            <w:pPr>
              <w:jc w:val="center"/>
              <w:rPr>
                <w:color w:val="000000"/>
                <w:sz w:val="22"/>
                <w:szCs w:val="22"/>
              </w:rPr>
            </w:pPr>
            <w:r>
              <w:rPr>
                <w:rFonts w:hint="eastAsia"/>
                <w:color w:val="000000"/>
                <w:sz w:val="22"/>
                <w:szCs w:val="22"/>
              </w:rPr>
              <w:t>招收0-6岁儿童的各级各类托幼机构</w:t>
            </w:r>
          </w:p>
        </w:tc>
        <w:tc>
          <w:tcPr>
            <w:tcW w:w="992" w:type="dxa"/>
            <w:tcBorders>
              <w:top w:val="single" w:color="000000" w:sz="4" w:space="0"/>
              <w:left w:val="nil"/>
              <w:bottom w:val="single" w:color="auto" w:sz="4" w:space="0"/>
              <w:right w:val="nil"/>
            </w:tcBorders>
            <w:shd w:val="clear" w:color="auto" w:fill="auto"/>
            <w:vAlign w:val="center"/>
          </w:tcPr>
          <w:p>
            <w:pPr>
              <w:jc w:val="center"/>
              <w:rPr>
                <w:color w:val="000000"/>
                <w:sz w:val="22"/>
                <w:szCs w:val="22"/>
              </w:rPr>
            </w:pPr>
            <w:r>
              <w:rPr>
                <w:rFonts w:hint="eastAsia"/>
                <w:color w:val="000000"/>
                <w:sz w:val="22"/>
                <w:szCs w:val="22"/>
              </w:rPr>
              <w:t>≥5%以上</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按主体随机抽查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每月</w:t>
            </w:r>
          </w:p>
        </w:tc>
        <w:tc>
          <w:tcPr>
            <w:tcW w:w="1842" w:type="dxa"/>
            <w:tcBorders>
              <w:top w:val="single" w:color="auto" w:sz="4" w:space="0"/>
              <w:left w:val="nil"/>
              <w:bottom w:val="single" w:color="auto" w:sz="4" w:space="0"/>
              <w:right w:val="single" w:color="auto" w:sz="4" w:space="0"/>
            </w:tcBorders>
            <w:shd w:val="clear" w:color="auto" w:fill="auto"/>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tcPr>
          <w:p>
            <w:pPr>
              <w:jc w:val="center"/>
            </w:pPr>
            <w:r>
              <w:rPr>
                <w:rFonts w:hint="eastAsia"/>
              </w:rPr>
              <w:t>5</w:t>
            </w:r>
          </w:p>
        </w:tc>
        <w:tc>
          <w:tcPr>
            <w:tcW w:w="2620" w:type="dxa"/>
            <w:tcBorders>
              <w:top w:val="single" w:color="auto" w:sz="4" w:space="0"/>
              <w:left w:val="single" w:color="000000" w:sz="8" w:space="0"/>
              <w:bottom w:val="single" w:color="000000" w:sz="8" w:space="0"/>
              <w:right w:val="single" w:color="000000" w:sz="8" w:space="0"/>
            </w:tcBorders>
            <w:shd w:val="clear" w:color="auto" w:fill="auto"/>
          </w:tcPr>
          <w:p>
            <w:pPr>
              <w:rPr>
                <w:color w:val="000000"/>
                <w:sz w:val="22"/>
                <w:szCs w:val="22"/>
              </w:rPr>
            </w:pPr>
            <w:r>
              <w:rPr>
                <w:rFonts w:hint="eastAsia"/>
                <w:color w:val="000000"/>
                <w:sz w:val="22"/>
                <w:szCs w:val="22"/>
              </w:rPr>
              <w:t>控烟卫生抽查</w:t>
            </w:r>
          </w:p>
        </w:tc>
        <w:tc>
          <w:tcPr>
            <w:tcW w:w="4675" w:type="dxa"/>
            <w:tcBorders>
              <w:top w:val="single" w:color="auto" w:sz="4" w:space="0"/>
              <w:left w:val="nil"/>
              <w:bottom w:val="single" w:color="000000" w:sz="8" w:space="0"/>
              <w:right w:val="single" w:color="000000" w:sz="8" w:space="0"/>
            </w:tcBorders>
            <w:shd w:val="clear" w:color="auto" w:fill="auto"/>
          </w:tcPr>
          <w:p>
            <w:pPr>
              <w:rPr>
                <w:color w:val="000000"/>
                <w:sz w:val="22"/>
                <w:szCs w:val="22"/>
              </w:rPr>
            </w:pPr>
            <w:r>
              <w:rPr>
                <w:rFonts w:hint="eastAsia"/>
                <w:color w:val="000000"/>
                <w:sz w:val="22"/>
                <w:szCs w:val="22"/>
              </w:rPr>
              <w:t>《北京市控制吸烟条例》</w:t>
            </w:r>
          </w:p>
        </w:tc>
        <w:tc>
          <w:tcPr>
            <w:tcW w:w="2551" w:type="dxa"/>
            <w:tcBorders>
              <w:top w:val="single" w:color="auto" w:sz="4" w:space="0"/>
              <w:left w:val="nil"/>
              <w:bottom w:val="single" w:color="000000" w:sz="8" w:space="0"/>
              <w:right w:val="single" w:color="000000" w:sz="8" w:space="0"/>
            </w:tcBorders>
            <w:shd w:val="clear" w:color="auto" w:fill="auto"/>
          </w:tcPr>
          <w:p>
            <w:pPr>
              <w:jc w:val="center"/>
              <w:rPr>
                <w:color w:val="000000"/>
                <w:sz w:val="22"/>
                <w:szCs w:val="22"/>
              </w:rPr>
            </w:pPr>
            <w:r>
              <w:rPr>
                <w:rFonts w:hint="eastAsia"/>
                <w:color w:val="000000"/>
                <w:sz w:val="22"/>
                <w:szCs w:val="22"/>
              </w:rPr>
              <w:t>禁止吸烟场所</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≥0.05%以上</w:t>
            </w:r>
          </w:p>
        </w:tc>
        <w:tc>
          <w:tcPr>
            <w:tcW w:w="993" w:type="dxa"/>
            <w:tcBorders>
              <w:top w:val="single" w:color="auto" w:sz="4" w:space="0"/>
              <w:left w:val="nil"/>
              <w:bottom w:val="single" w:color="auto" w:sz="4" w:space="0"/>
              <w:right w:val="nil"/>
            </w:tcBorders>
            <w:vAlign w:val="center"/>
          </w:tcPr>
          <w:p>
            <w:pPr>
              <w:jc w:val="center"/>
              <w:rPr>
                <w:rFonts w:hint="eastAsia"/>
              </w:rPr>
            </w:pPr>
            <w:r>
              <w:rPr>
                <w:rFonts w:hint="eastAsia"/>
              </w:rPr>
              <w:t>按主体随机抽查</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每月</w:t>
            </w:r>
          </w:p>
        </w:tc>
        <w:tc>
          <w:tcPr>
            <w:tcW w:w="1842" w:type="dxa"/>
            <w:tcBorders>
              <w:top w:val="single" w:color="auto" w:sz="4" w:space="0"/>
              <w:left w:val="nil"/>
              <w:bottom w:val="single" w:color="auto" w:sz="4" w:space="0"/>
              <w:right w:val="single" w:color="auto" w:sz="4" w:space="0"/>
            </w:tcBorders>
            <w:shd w:val="clear" w:color="auto" w:fill="auto"/>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6</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医疗卫生机构预防接种抽查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《中华人民共和国传染病防治法》、《疫苗流通和预防接种管理条例》、《疫苗接种工作规范》、《疫苗储存和运输管理规范》、《传染病防治卫生监督工作规范》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疾病预防控制机构、接种单位</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61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7</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医疗卫生机构疫情报告抽查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突发公共卫生事件应急条例》、《突发公共卫生事件与传染病疫情监测信息报告管理办法》、《卫生部关于修改突发公共卫生事件与传染病疫情监测信息报告管理办法的通知》、《传染病信息报告管理规范》、《国家突发公共卫生事件相关信息报告管理工作规范（试行）》、《中华人民共和国卫生部公告2009第8号》、《卫生部关于将手足口病纳入法定传染病管理的通知》、《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8</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医疗卫生机构传染病疫情控制抽查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突发公共卫生事件应急条例》、《医疗废物管理条例》、《消毒管理办法》、《医院感染管理办法》、《传染性非典型肺炎防治管理办法》、《医疗机构传染病预检分诊管理办法》、《医疗机构发热门（急）诊设置指导原则（试行）》、《卫生部关于二级以上综合医院感染性疾病科建设的通知》、《医院隔离技术规范》、《医疗机构消毒技术规范》（2012）、《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840"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9</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医疗机构消毒隔离制度执行情况抽查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《中华人民共和国传染病防治法》、《消毒管理办法》、《医院感染管理办法》、《消毒产品卫生监督工作规范》、《医院消毒卫生标准》（GB 15982—2012）、《消毒产品标签说明书管理规范》、《消毒产品卫生安全评价规定》、《医院洁净手术部建筑技术规范》（GB 50333—2002）、《医疗机构口腔诊疗器械消毒技术操作规范》、《内镜清洗消毒技术操作规范（2004版）》、《血液透析器复用操作规范》、《医院消毒供应中心 第1部分：管理规范》WS 35.1一2009、《医院消毒供应中心 第2部分：清洗消毒及灭菌技术操作规范》WS 35.2一2009、《医院消毒供应中心 第3部分:清洗消毒及灭菌效果监测标准》WS 35.3一2009、《医务人员手卫生规范》WS/T 313一2009、《医院感染监测规范》WS/T 312一2009、《医院隔离技术规范》WS/T 311一2009、《新生儿病室建设与管理指南（试行）》、《医疗机构血液透析室管理规范》、《血液透析和相关治疗用水》YY0572-2005、《医院手术部（室）管理规范（试行）》、《医院空气净化管理规范》WS/T 368一2012、《医疗机构消毒技术规范》WS/T 367一2012、《基层医疗机构医院感染管理基本要求》、《传染病防治卫生监督工作规范》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630"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医疗卫生机构医疗废物处置抽查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医疗废物管理条例》、《医疗卫生机构医疗废物管理办法》、《医疗废物管理行政处罚办法》、《医疗废物分类目录》、《医疗废物专用包装物、容器标准和警示标志标准》（HJ421-2008）、《关于明确医疗废物分类有关问题的通知》、《医疗废物集中处置技术规范》、《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11</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医疗卫生机构病原微生物实验室生物安全管理抽查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传染病防治法》、《病原微生物实验室生物安全管理条例》、《医疗废物管理条例》、《人间传染的高致病性病原微生物实验室和实验室活动生物安全审批管理办法》、《可感染人类的高致病性病原微生物菌（毒）种或样本运输管理规定》、《人间传染的病原微生物名录》、《实验室生物安全通用要求》（GB19489-2004）、《传染病防治卫生监督工作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医疗卫生机构病原微生物实验室</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12</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母婴保健依法执业抽查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《中华人民共和国母婴保健法》及《实施办法》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从事母婴保健工作的机构及人员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13</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婚检依法执业抽查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《中华人民共和国母婴保健法》及《实施办法》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从事母婴保健工作的机构及人员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14</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产前诊断依法执业抽查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《中华人民共和国母婴保健法》及《实施办法》、《产前诊断技术管理办法》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从事母婴保健工作的机构及人员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15</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孕产期保健依法执业抽查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《中华人民共和国母婴保健法》及《实施办法》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从事母婴保健工作的机构及人员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16</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医疗保健机构开展计划生育技术的监督检查、计划生育技术服务证明监督检查（医疗保健机构出示的）</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w:t>
            </w:r>
            <w:r>
              <w:rPr>
                <w:rFonts w:hint="eastAsia" w:ascii="宋体" w:hAnsi="宋体" w:cs="宋体"/>
                <w:color w:val="000000"/>
                <w:kern w:val="0"/>
                <w:szCs w:val="21"/>
                <w:lang w:val="en-US" w:eastAsia="zh-CN"/>
              </w:rPr>
              <w:t>华</w:t>
            </w:r>
            <w:bookmarkStart w:id="0" w:name="_GoBack"/>
            <w:bookmarkEnd w:id="0"/>
            <w:r>
              <w:rPr>
                <w:rFonts w:hint="eastAsia" w:ascii="宋体" w:hAnsi="宋体" w:cs="宋体"/>
                <w:color w:val="000000"/>
                <w:kern w:val="0"/>
                <w:szCs w:val="21"/>
              </w:rPr>
              <w:t>人民共和国人口与计划生育法》及《计划生育技术服务管理条例》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r>
              <w:rPr>
                <w:rFonts w:ascii="宋体" w:hAnsi="宋体" w:cs="宋体"/>
                <w:color w:val="000000"/>
                <w:kern w:val="0"/>
                <w:szCs w:val="21"/>
              </w:rPr>
              <w:t>7</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依法开展人类辅助生殖技术工作情况抽查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《人类辅助生殖技术管理办法》及《人类辅助生殖技术规范》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09"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r>
              <w:rPr>
                <w:rFonts w:ascii="宋体" w:hAnsi="宋体" w:cs="宋体"/>
                <w:color w:val="000000"/>
                <w:kern w:val="0"/>
                <w:szCs w:val="21"/>
              </w:rPr>
              <w:t>8</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依法开展人类精子库工作情况抽查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《人类精子库管理办法》及《人类精子库基本标准和技术规范》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医疗机构及人员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r>
              <w:rPr>
                <w:rFonts w:ascii="宋体" w:hAnsi="宋体" w:cs="宋体"/>
                <w:color w:val="000000"/>
                <w:kern w:val="0"/>
                <w:szCs w:val="21"/>
              </w:rPr>
              <w:t>9</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中华人民共和国医师依法执业抽查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《中华人民共和国执业医师法》、《中华人民共和国中医药条例》、《医疗机构管理条例》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医疗机构内的医师和助理医师、中医医疗机构、医师</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20</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外国医师来华短暂行医；香港、澳门医师在内地短期行医；台湾地区医师在大陆短期行医依法执业抽查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《外国医师来华短期行医暂行管理办法》、《香港、澳门特别行政区医师在内地短期行医管理规定》、《台湾地区医师在大陆短期行医管理规定》</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在中国境内短期行医的外国医师；在内地短期行医的香港、澳门医师；在大陆短期行医的台湾地区医师</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21</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中华人民共和国医师外出会诊依法执业抽查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《医师外出会诊管理暂行规定》</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医疗机构内的医师</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22</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中华人民共和国乡村医生依法执业抽查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《乡村医生从业管理条例》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医疗机构内的乡村医生</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23</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中华人民共和国护士资格考核、依法注册、依法执业抽查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《护士条例》、《护士执业注册管理办法》、《护士执业资格考试办法》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医疗机构内的护士</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24</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港澳药剂师、护士、其他专业技术人员在内地短期依法执业抽查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《香港和澳门特别行政区医疗专业技术人员在内地短期执业管理暂行规定》</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在内地短期执业的港澳药剂师、护士、医务化验师、职业治疗师、视光师、放射技师、物理治疗师、脊医；澳门治疗师、按摩师、针灸师、诊疗辅助技术员。</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25</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中华人民共和国医师资格考核、依法注册抽查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《医师资格考试暂行办法》、《医师执业注册暂行办法》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医疗机构内的医师</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r>
              <w:rPr>
                <w:rFonts w:ascii="宋体" w:hAnsi="宋体" w:cs="宋体"/>
                <w:color w:val="000000"/>
                <w:kern w:val="0"/>
                <w:szCs w:val="21"/>
              </w:rPr>
              <w:t>6</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《医疗机构管理条例》、《医疗机构管理条例实施细则》、《中华人民共和国中医药条例》、《北京市发展中医条例》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r>
              <w:rPr>
                <w:rFonts w:ascii="宋体" w:hAnsi="宋体" w:cs="宋体"/>
                <w:color w:val="000000"/>
                <w:kern w:val="0"/>
                <w:szCs w:val="21"/>
              </w:rPr>
              <w:t>7</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 xml:space="preserve">血站依法执业抽查 </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《中华人民共和国献血法》、《血站管理办法》《脐带血造血干细胞库管理办法》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血站</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r>
              <w:rPr>
                <w:rFonts w:ascii="宋体" w:hAnsi="宋体" w:cs="宋体"/>
                <w:color w:val="000000"/>
                <w:kern w:val="0"/>
                <w:szCs w:val="21"/>
              </w:rPr>
              <w:t>8</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医疗机构开展精神卫生执业活动抽查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《中华人民共和国精神卫生法》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r>
              <w:rPr>
                <w:rFonts w:ascii="宋体" w:hAnsi="宋体" w:cs="宋体"/>
                <w:color w:val="000000"/>
                <w:kern w:val="0"/>
                <w:szCs w:val="21"/>
              </w:rPr>
              <w:t>9</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医疗机构开展人体器官移植诊疗活动抽查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《人体器官移植条例》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30</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医疗机构使用、储存麻醉药品、精神药品情况抽查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《麻醉药品、精神药品管理条例》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31</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医疗机构发生医疗事故的情况抽查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《医疗事故处理条例》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32</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中外合资、合作医疗机构依法执业抽查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《中外合资、合作医疗机构暂行办法》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中外合资、合作医疗机构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33</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医疗机构执行《处方管理办法》的情况抽查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《处方管理办法》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34</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医疗机构抗菌药物临床应用管理情况抽查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《抗菌药物临床应用管理办法》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35</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医疗机构开展药品不良反应报告和监测情况抽查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《中华人民共和国药品管理法》、《药品不良反应报告和监测管理办法》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36</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医疗机构开展医疗美容服务抽查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《医疗美容服务管理办法》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37</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医疗机构开展新生儿筛查情况抽查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《新生儿筛查管理办法》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38</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医疗机构开展临床用血情况抽查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《医疗机构临床用血管理办法》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39</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医疗机构开展性病诊疗活动抽查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《性病防治管理办法》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40</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开展院前急救情况抽查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《院前急救管理办法》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41</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医疗机构开展临床实验室检测情况抽查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《医疗机构临床实验室管理办法》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42</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医疗机构开展技术临床应用情况抽查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《医疗技术临床应用管理办法》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43</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医疗机构使用医疗器械监督检查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《医疗器械监督管理条例》</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44</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发生医疗机构人员购置使用药品牟取利益的行为的检查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《中华人民共和国药品管理法》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医疗机构负责人、药品采购人员、医师</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45</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职业健康检查机构抽查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《中华人民共和国职业病防治法》《职业健康检查管理办法》《职业健康监护技术规范》《放射工作人员职业健康监护技术规范》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职业健康检查机构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r>
              <w:rPr>
                <w:rFonts w:ascii="宋体" w:hAnsi="宋体" w:cs="宋体"/>
                <w:color w:val="000000"/>
                <w:kern w:val="0"/>
                <w:szCs w:val="21"/>
              </w:rPr>
              <w:t>6</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职业病鉴定办事机构抽查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《中华人民共和国职业病防治法》《职业病诊断与鉴定管理办法》《国家职业病诊断标准》</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职业病鉴定办事机构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r>
              <w:rPr>
                <w:rFonts w:ascii="宋体" w:hAnsi="宋体" w:cs="宋体"/>
                <w:color w:val="000000"/>
                <w:kern w:val="0"/>
                <w:szCs w:val="21"/>
              </w:rPr>
              <w:t>7</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放射卫生技术服务机构抽查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《中华人民共和国职业病防治法》《职业卫生技术服务机构管理办法》《放射卫生技术服务机构管理办法》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放射卫生技术服务机构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r>
              <w:rPr>
                <w:rFonts w:ascii="宋体" w:hAnsi="宋体" w:cs="宋体"/>
                <w:color w:val="000000"/>
                <w:kern w:val="0"/>
                <w:szCs w:val="21"/>
              </w:rPr>
              <w:t>8</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化学品毒性鉴定机构抽查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《中华人民共和国职业病防治法》《职业卫生技术服务机构管理办法》《化学品毒性鉴定管理规范》</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化学品毒性鉴定机构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市卫生健康委员会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r>
              <w:rPr>
                <w:rFonts w:ascii="宋体" w:hAnsi="宋体" w:cs="宋体"/>
                <w:color w:val="000000"/>
                <w:kern w:val="0"/>
                <w:szCs w:val="21"/>
              </w:rPr>
              <w:t>9</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医疗机构报告职业病、疑似职业病情况的抽查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一级以上医疗卫生机构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50</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放射诊疗机构抽查</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《中华人民共和国职业病防治法》《放射诊疗管理规定》</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从事放射诊疗工作的医疗机构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tcPr>
          <w:p>
            <w:pPr>
              <w:jc w:val="center"/>
            </w:pPr>
            <w:r>
              <w:rPr>
                <w:rFonts w:hint="eastAsia"/>
              </w:rPr>
              <w:t>朝阳区卫生健康委员会</w:t>
            </w:r>
          </w:p>
        </w:tc>
      </w:tr>
      <w:tr>
        <w:tblPrEx>
          <w:tblCellMar>
            <w:top w:w="15" w:type="dxa"/>
            <w:left w:w="15" w:type="dxa"/>
            <w:bottom w:w="15" w:type="dxa"/>
            <w:right w:w="15" w:type="dxa"/>
          </w:tblCellMar>
        </w:tblPrEx>
        <w:trPr>
          <w:trHeight w:val="495"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51</w:t>
            </w:r>
          </w:p>
        </w:tc>
        <w:tc>
          <w:tcPr>
            <w:tcW w:w="26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职业病诊断机构</w:t>
            </w:r>
          </w:p>
        </w:tc>
        <w:tc>
          <w:tcPr>
            <w:tcW w:w="46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《中华人民共和国职业病防治法》《职业病诊断与鉴定管理办法》《国家职业病诊断标准》</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从事职业病诊断工作的医疗机构</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5%以上</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按主体随机抽查</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每月</w:t>
            </w:r>
          </w:p>
        </w:tc>
        <w:tc>
          <w:tcPr>
            <w:tcW w:w="18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市卫生健康委员会</w:t>
            </w:r>
          </w:p>
          <w:p>
            <w:pPr>
              <w:jc w:val="center"/>
              <w:rPr>
                <w:rFonts w:ascii="宋体" w:hAnsi="宋体" w:cs="宋体"/>
                <w:color w:val="000000"/>
                <w:szCs w:val="21"/>
              </w:rPr>
            </w:pPr>
            <w:r>
              <w:rPr>
                <w:rFonts w:hint="eastAsia"/>
              </w:rPr>
              <w:t>朝阳区卫生健康委员会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6A"/>
    <w:rsid w:val="00030F68"/>
    <w:rsid w:val="001F4990"/>
    <w:rsid w:val="005E6F71"/>
    <w:rsid w:val="0064369D"/>
    <w:rsid w:val="0091548D"/>
    <w:rsid w:val="00AF266A"/>
    <w:rsid w:val="00B70539"/>
    <w:rsid w:val="00CD559B"/>
    <w:rsid w:val="00F81AFB"/>
    <w:rsid w:val="00FE7A6C"/>
    <w:rsid w:val="1C8B3E78"/>
    <w:rsid w:val="2A116D87"/>
    <w:rsid w:val="2D692BE1"/>
    <w:rsid w:val="455545A7"/>
    <w:rsid w:val="4DE964E5"/>
    <w:rsid w:val="56AA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876</Words>
  <Characters>4997</Characters>
  <Lines>41</Lines>
  <Paragraphs>11</Paragraphs>
  <TotalTime>4</TotalTime>
  <ScaleCrop>false</ScaleCrop>
  <LinksUpToDate>false</LinksUpToDate>
  <CharactersWithSpaces>5862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2020-11-04T09:42:00Z</dcterms:created>
  <dc:creator>HP</dc:creator>
  <cp:lastModifiedBy>鲁彬</cp:lastModifiedBy>
  <dcterms:modified xsi:type="dcterms:W3CDTF">2021-02-18T09:15:54Z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