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楷体" w:cs="Times New Roman"/>
          <w:color w:val="auto"/>
          <w:sz w:val="32"/>
          <w:szCs w:val="32"/>
        </w:rPr>
      </w:pPr>
      <w:bookmarkStart w:id="0" w:name="_Toc11962"/>
      <w:r>
        <w:rPr>
          <w:rFonts w:ascii="Times New Roman" w:hAnsi="Times New Roman" w:eastAsia="楷体" w:cs="Times New Roman"/>
          <w:color w:val="auto"/>
          <w:sz w:val="32"/>
          <w:szCs w:val="32"/>
        </w:rPr>
        <w:t>北京市朝阳区</w:t>
      </w:r>
      <w:r>
        <w:rPr>
          <w:rFonts w:hint="eastAsia" w:ascii="Times New Roman" w:hAnsi="Times New Roman" w:eastAsia="楷体" w:cs="Times New Roman"/>
          <w:color w:val="auto"/>
          <w:sz w:val="32"/>
          <w:szCs w:val="32"/>
        </w:rPr>
        <w:t>“</w:t>
      </w:r>
      <w:r>
        <w:rPr>
          <w:rFonts w:ascii="Times New Roman" w:hAnsi="Times New Roman" w:eastAsia="楷体" w:cs="Times New Roman"/>
          <w:color w:val="auto"/>
          <w:sz w:val="32"/>
          <w:szCs w:val="32"/>
        </w:rPr>
        <w:t>十四五</w:t>
      </w:r>
      <w:r>
        <w:rPr>
          <w:rFonts w:hint="eastAsia" w:ascii="Times New Roman" w:hAnsi="Times New Roman" w:eastAsia="楷体" w:cs="Times New Roman"/>
          <w:color w:val="auto"/>
          <w:sz w:val="32"/>
          <w:szCs w:val="32"/>
        </w:rPr>
        <w:t>”</w:t>
      </w:r>
      <w:r>
        <w:rPr>
          <w:rFonts w:ascii="Times New Roman" w:hAnsi="Times New Roman" w:eastAsia="楷体" w:cs="Times New Roman"/>
          <w:color w:val="auto"/>
          <w:sz w:val="32"/>
          <w:szCs w:val="32"/>
        </w:rPr>
        <w:t>一般专项规划</w:t>
      </w:r>
    </w:p>
    <w:p>
      <w:pPr>
        <w:spacing w:line="720" w:lineRule="exact"/>
        <w:jc w:val="center"/>
        <w:rPr>
          <w:rFonts w:hint="eastAsia" w:ascii="黑体" w:hAnsi="黑体" w:eastAsia="黑体" w:cs="黑体"/>
          <w:color w:val="auto"/>
          <w:sz w:val="44"/>
          <w:szCs w:val="44"/>
        </w:rPr>
      </w:pPr>
    </w:p>
    <w:p>
      <w:pPr>
        <w:spacing w:line="720" w:lineRule="exact"/>
        <w:jc w:val="center"/>
        <w:rPr>
          <w:rFonts w:hint="eastAsia" w:ascii="黑体" w:hAnsi="黑体" w:eastAsia="黑体" w:cs="黑体"/>
          <w:color w:val="auto"/>
          <w:sz w:val="44"/>
          <w:szCs w:val="44"/>
        </w:rPr>
      </w:pPr>
    </w:p>
    <w:p>
      <w:pPr>
        <w:spacing w:line="720" w:lineRule="exact"/>
        <w:jc w:val="center"/>
        <w:rPr>
          <w:rFonts w:hint="eastAsia" w:ascii="黑体" w:hAnsi="黑体" w:eastAsia="黑体" w:cs="黑体"/>
          <w:color w:val="auto"/>
          <w:sz w:val="44"/>
          <w:szCs w:val="44"/>
        </w:rPr>
      </w:pPr>
    </w:p>
    <w:p>
      <w:pPr>
        <w:spacing w:line="720" w:lineRule="exact"/>
        <w:jc w:val="center"/>
        <w:rPr>
          <w:rFonts w:hint="eastAsia" w:ascii="黑体" w:hAnsi="黑体" w:eastAsia="黑体" w:cs="黑体"/>
          <w:color w:val="auto"/>
          <w:sz w:val="44"/>
          <w:szCs w:val="44"/>
        </w:rPr>
      </w:pPr>
    </w:p>
    <w:bookmarkEnd w:id="0"/>
    <w:p>
      <w:pPr>
        <w:keepNext w:val="0"/>
        <w:keepLines w:val="0"/>
        <w:pageBreakBefore w:val="0"/>
        <w:widowControl w:val="0"/>
        <w:kinsoku/>
        <w:wordWrap/>
        <w:overflowPunct/>
        <w:topLinePunct w:val="0"/>
        <w:autoSpaceDE/>
        <w:autoSpaceDN/>
        <w:bidi w:val="0"/>
        <w:adjustRightInd/>
        <w:snapToGrid/>
        <w:spacing w:before="60" w:after="100" w:line="720" w:lineRule="exact"/>
        <w:ind w:left="0" w:leftChars="0" w:right="0" w:rightChars="0" w:firstLine="0" w:firstLineChars="0"/>
        <w:jc w:val="center"/>
        <w:textAlignment w:val="auto"/>
        <w:outlineLvl w:val="9"/>
        <w:rPr>
          <w:rFonts w:hint="eastAsia" w:ascii="黑体" w:hAnsi="黑体" w:eastAsia="黑体" w:cs="黑体"/>
          <w:b/>
          <w:bCs/>
          <w:color w:val="auto"/>
          <w:sz w:val="44"/>
          <w:szCs w:val="44"/>
        </w:rPr>
      </w:pPr>
      <w:r>
        <w:rPr>
          <w:rFonts w:hint="eastAsia" w:ascii="黑体" w:hAnsi="黑体" w:eastAsia="黑体" w:cs="黑体"/>
          <w:b/>
          <w:bCs/>
          <w:color w:val="auto"/>
          <w:sz w:val="44"/>
          <w:szCs w:val="44"/>
        </w:rPr>
        <w:t>朝阳区“十四五”时期气象事业</w:t>
      </w:r>
    </w:p>
    <w:p>
      <w:pPr>
        <w:spacing w:line="720" w:lineRule="exact"/>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rPr>
        <w:t>发展规划</w:t>
      </w:r>
    </w:p>
    <w:p>
      <w:pPr>
        <w:spacing w:line="720" w:lineRule="exact"/>
        <w:jc w:val="center"/>
        <w:rPr>
          <w:rFonts w:hint="default" w:ascii="Times New Roman" w:hAnsi="Times New Roman" w:eastAsia="黑体" w:cs="Times New Roman"/>
          <w:b/>
          <w:bCs/>
          <w:color w:val="auto"/>
          <w:sz w:val="40"/>
          <w:szCs w:val="40"/>
          <w:lang w:eastAsia="zh-CN"/>
        </w:rPr>
      </w:pPr>
      <w:r>
        <w:rPr>
          <w:rFonts w:hint="default" w:ascii="Times New Roman" w:hAnsi="Times New Roman" w:eastAsia="黑体" w:cs="Times New Roman"/>
          <w:b/>
          <w:bCs/>
          <w:color w:val="auto"/>
          <w:sz w:val="40"/>
          <w:szCs w:val="40"/>
          <w:lang w:eastAsia="zh-CN"/>
        </w:rPr>
        <w:t>（</w:t>
      </w:r>
      <w:r>
        <w:rPr>
          <w:rFonts w:hint="default" w:ascii="Times New Roman" w:hAnsi="Times New Roman" w:eastAsia="黑体" w:cs="Times New Roman"/>
          <w:b/>
          <w:bCs/>
          <w:color w:val="auto"/>
          <w:sz w:val="40"/>
          <w:szCs w:val="40"/>
          <w:lang w:val="en-US" w:eastAsia="zh-CN"/>
        </w:rPr>
        <w:t>2021—2025</w:t>
      </w:r>
      <w:r>
        <w:rPr>
          <w:rFonts w:hint="default" w:ascii="Times New Roman" w:hAnsi="Times New Roman" w:eastAsia="黑体" w:cs="Times New Roman"/>
          <w:b/>
          <w:bCs/>
          <w:color w:val="auto"/>
          <w:sz w:val="40"/>
          <w:szCs w:val="40"/>
          <w:lang w:eastAsia="zh-CN"/>
        </w:rPr>
        <w:t>）</w:t>
      </w:r>
    </w:p>
    <w:p>
      <w:pPr>
        <w:spacing w:line="720" w:lineRule="exact"/>
        <w:jc w:val="center"/>
        <w:rPr>
          <w:rFonts w:hint="default" w:ascii="Times New Roman" w:hAnsi="Times New Roman" w:eastAsia="黑体" w:cs="Times New Roman"/>
          <w:b/>
          <w:bCs/>
          <w:color w:val="auto"/>
          <w:sz w:val="40"/>
          <w:szCs w:val="40"/>
          <w:lang w:eastAsia="zh-CN"/>
        </w:rPr>
      </w:pPr>
    </w:p>
    <w:p>
      <w:pPr>
        <w:spacing w:line="720" w:lineRule="exact"/>
        <w:jc w:val="center"/>
        <w:rPr>
          <w:rFonts w:hint="default" w:ascii="Times New Roman" w:hAnsi="Times New Roman" w:eastAsia="黑体" w:cs="Times New Roman"/>
          <w:b/>
          <w:bCs/>
          <w:color w:val="auto"/>
          <w:sz w:val="40"/>
          <w:szCs w:val="40"/>
          <w:lang w:eastAsia="zh-CN"/>
        </w:rPr>
      </w:pPr>
    </w:p>
    <w:p>
      <w:pPr>
        <w:spacing w:line="720" w:lineRule="exact"/>
        <w:jc w:val="center"/>
        <w:rPr>
          <w:rFonts w:hint="default" w:ascii="Times New Roman" w:hAnsi="Times New Roman" w:eastAsia="黑体" w:cs="Times New Roman"/>
          <w:b/>
          <w:bCs/>
          <w:color w:val="auto"/>
          <w:sz w:val="40"/>
          <w:szCs w:val="40"/>
          <w:lang w:eastAsia="zh-CN"/>
        </w:rPr>
      </w:pPr>
    </w:p>
    <w:p>
      <w:pPr>
        <w:snapToGrid w:val="0"/>
        <w:spacing w:line="480" w:lineRule="exact"/>
        <w:rPr>
          <w:rFonts w:ascii="Times New Roman" w:hAnsi="Times New Roman" w:cs="Times New Roman"/>
          <w:b/>
          <w:bCs/>
          <w:color w:val="auto"/>
          <w:sz w:val="28"/>
          <w:szCs w:val="28"/>
        </w:rPr>
      </w:pPr>
    </w:p>
    <w:p>
      <w:pPr>
        <w:snapToGrid w:val="0"/>
        <w:spacing w:line="480" w:lineRule="exact"/>
        <w:rPr>
          <w:rFonts w:ascii="Times New Roman" w:hAnsi="Times New Roman" w:cs="Times New Roman"/>
          <w:b/>
          <w:bCs/>
          <w:color w:val="auto"/>
          <w:sz w:val="28"/>
          <w:szCs w:val="28"/>
        </w:rPr>
      </w:pPr>
    </w:p>
    <w:p>
      <w:pPr>
        <w:snapToGrid w:val="0"/>
        <w:spacing w:line="480" w:lineRule="exact"/>
        <w:rPr>
          <w:rFonts w:ascii="Times New Roman" w:hAnsi="Times New Roman" w:cs="Times New Roman"/>
          <w:b/>
          <w:bCs/>
          <w:color w:val="auto"/>
          <w:sz w:val="28"/>
          <w:szCs w:val="28"/>
        </w:rPr>
      </w:pPr>
    </w:p>
    <w:p>
      <w:pPr>
        <w:spacing w:line="720" w:lineRule="exact"/>
        <w:jc w:val="center"/>
        <w:rPr>
          <w:rFonts w:hint="eastAsia" w:ascii="黑体" w:hAnsi="黑体" w:eastAsia="黑体" w:cs="黑体"/>
          <w:b/>
          <w:bCs/>
          <w:color w:val="auto"/>
          <w:sz w:val="28"/>
          <w:szCs w:val="28"/>
        </w:rPr>
      </w:pPr>
    </w:p>
    <w:p>
      <w:pPr>
        <w:spacing w:line="720" w:lineRule="exact"/>
        <w:jc w:val="center"/>
        <w:rPr>
          <w:rFonts w:hint="eastAsia" w:ascii="黑体" w:hAnsi="黑体" w:eastAsia="黑体" w:cs="黑体"/>
          <w:b/>
          <w:bCs/>
          <w:color w:val="auto"/>
          <w:sz w:val="28"/>
          <w:szCs w:val="28"/>
        </w:rPr>
      </w:pPr>
      <w:r>
        <w:rPr>
          <w:rFonts w:hint="eastAsia" w:ascii="黑体" w:hAnsi="黑体" w:eastAsia="黑体" w:cs="黑体"/>
          <w:b/>
          <w:bCs/>
          <w:color w:val="auto"/>
          <w:sz w:val="28"/>
          <w:szCs w:val="28"/>
        </w:rPr>
        <w:t>北京市朝阳区气象局</w:t>
      </w:r>
    </w:p>
    <w:p>
      <w:pPr>
        <w:spacing w:line="720" w:lineRule="exact"/>
        <w:jc w:val="center"/>
        <w:rPr>
          <w:rFonts w:hint="eastAsia" w:ascii="黑体" w:hAnsi="黑体" w:eastAsia="黑体" w:cs="黑体"/>
          <w:b/>
          <w:bCs/>
          <w:color w:val="auto"/>
          <w:sz w:val="28"/>
          <w:szCs w:val="28"/>
        </w:rPr>
      </w:pPr>
      <w:r>
        <w:rPr>
          <w:rFonts w:hint="eastAsia" w:ascii="黑体" w:hAnsi="黑体" w:eastAsia="黑体" w:cs="黑体"/>
          <w:b/>
          <w:bCs/>
          <w:color w:val="auto"/>
          <w:sz w:val="28"/>
          <w:szCs w:val="28"/>
        </w:rPr>
        <w:t>北京市朝阳区发展和改革委员会</w:t>
      </w:r>
    </w:p>
    <w:p>
      <w:pPr>
        <w:spacing w:line="720" w:lineRule="exact"/>
        <w:jc w:val="center"/>
        <w:rPr>
          <w:rFonts w:hint="eastAsia" w:ascii="黑体" w:hAnsi="黑体" w:eastAsia="黑体" w:cs="黑体"/>
          <w:b/>
          <w:bCs/>
          <w:color w:val="auto"/>
          <w:sz w:val="28"/>
          <w:szCs w:val="28"/>
        </w:rPr>
      </w:pPr>
      <w:r>
        <w:rPr>
          <w:rFonts w:hint="eastAsia" w:ascii="黑体" w:hAnsi="黑体" w:eastAsia="黑体" w:cs="黑体"/>
          <w:b/>
          <w:bCs/>
          <w:color w:val="auto"/>
          <w:sz w:val="28"/>
          <w:szCs w:val="28"/>
        </w:rPr>
        <w:t>二〇二一年十二月</w:t>
      </w:r>
    </w:p>
    <w:p>
      <w:pPr>
        <w:spacing w:line="720" w:lineRule="exact"/>
        <w:jc w:val="center"/>
        <w:rPr>
          <w:rFonts w:hint="eastAsia" w:ascii="黑体" w:hAnsi="黑体" w:eastAsia="黑体" w:cs="黑体"/>
          <w:b/>
          <w:bCs/>
          <w:color w:val="auto"/>
          <w:sz w:val="28"/>
          <w:szCs w:val="28"/>
        </w:rPr>
      </w:pPr>
    </w:p>
    <w:p>
      <w:pPr>
        <w:pStyle w:val="41"/>
        <w:spacing w:line="560" w:lineRule="exact"/>
        <w:ind w:firstLine="0" w:firstLineChars="0"/>
        <w:jc w:val="center"/>
        <w:rPr>
          <w:rFonts w:ascii="Times New Roman" w:eastAsia="华文中宋"/>
          <w:color w:val="auto"/>
          <w:sz w:val="32"/>
          <w:szCs w:val="32"/>
        </w:rPr>
      </w:pPr>
    </w:p>
    <w:p>
      <w:pPr>
        <w:pStyle w:val="41"/>
        <w:spacing w:line="560" w:lineRule="exact"/>
        <w:ind w:firstLine="0" w:firstLineChars="0"/>
        <w:jc w:val="center"/>
        <w:rPr>
          <w:rFonts w:ascii="Times New Roman" w:eastAsia="华文中宋"/>
          <w:b/>
          <w:bCs/>
          <w:color w:val="auto"/>
          <w:sz w:val="32"/>
          <w:szCs w:val="32"/>
        </w:rPr>
        <w:sectPr>
          <w:pgSz w:w="11906" w:h="16838"/>
          <w:pgMar w:top="1531" w:right="1417" w:bottom="1417" w:left="1701" w:header="851" w:footer="992" w:gutter="0"/>
          <w:cols w:space="425" w:num="1"/>
          <w:docGrid w:type="lines" w:linePitch="312" w:charSpace="0"/>
        </w:sectPr>
      </w:pPr>
    </w:p>
    <w:p>
      <w:pPr>
        <w:snapToGrid w:val="0"/>
        <w:spacing w:line="600" w:lineRule="exact"/>
        <w:jc w:val="center"/>
        <w:rPr>
          <w:rFonts w:hint="eastAsia" w:ascii="黑体" w:hAnsi="黑体" w:eastAsia="黑体" w:cs="黑体"/>
          <w:bCs/>
          <w:color w:val="auto"/>
          <w:sz w:val="44"/>
          <w:szCs w:val="44"/>
        </w:rPr>
      </w:pPr>
      <w:bookmarkStart w:id="1" w:name="_Toc29652"/>
      <w:r>
        <w:rPr>
          <w:rFonts w:hint="eastAsia" w:ascii="黑体" w:hAnsi="黑体" w:eastAsia="黑体" w:cs="黑体"/>
          <w:bCs/>
          <w:color w:val="auto"/>
          <w:sz w:val="44"/>
          <w:szCs w:val="44"/>
        </w:rPr>
        <w:t>目</w:t>
      </w:r>
      <w:r>
        <w:rPr>
          <w:rFonts w:hint="eastAsia" w:ascii="黑体" w:hAnsi="黑体" w:eastAsia="黑体" w:cs="黑体"/>
          <w:bCs/>
          <w:color w:val="auto"/>
          <w:sz w:val="44"/>
          <w:szCs w:val="44"/>
          <w:lang w:val="en-US" w:eastAsia="zh-CN"/>
        </w:rPr>
        <w:t xml:space="preserve">  </w:t>
      </w:r>
      <w:r>
        <w:rPr>
          <w:rFonts w:hint="eastAsia" w:ascii="黑体" w:hAnsi="黑体" w:eastAsia="黑体" w:cs="黑体"/>
          <w:bCs/>
          <w:color w:val="auto"/>
          <w:sz w:val="44"/>
          <w:szCs w:val="44"/>
        </w:rPr>
        <w:t>录</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TOC \o "1-3" \h \z \u </w:instrText>
      </w:r>
      <w:r>
        <w:rPr>
          <w:rFonts w:hint="eastAsia" w:ascii="仿宋" w:hAnsi="仿宋" w:eastAsia="仿宋" w:cs="仿宋"/>
          <w:b w:val="0"/>
          <w:bCs w:val="0"/>
          <w:color w:val="auto"/>
          <w:sz w:val="28"/>
          <w:szCs w:val="28"/>
        </w:rPr>
        <w:fldChar w:fldCharType="separate"/>
      </w:r>
      <w:r>
        <w:rPr>
          <w:rFonts w:hint="eastAsia" w:ascii="仿宋" w:hAnsi="仿宋" w:eastAsia="仿宋" w:cs="仿宋"/>
          <w:bCs w:val="0"/>
          <w:color w:val="auto"/>
          <w:sz w:val="28"/>
          <w:szCs w:val="28"/>
        </w:rPr>
        <w:fldChar w:fldCharType="begin"/>
      </w:r>
      <w:r>
        <w:rPr>
          <w:rFonts w:hint="eastAsia" w:ascii="仿宋" w:hAnsi="仿宋" w:eastAsia="仿宋" w:cs="仿宋"/>
          <w:bCs w:val="0"/>
          <w:color w:val="auto"/>
          <w:sz w:val="28"/>
          <w:szCs w:val="28"/>
        </w:rPr>
        <w:instrText xml:space="preserve"> HYPERLINK \l _Toc17785 </w:instrText>
      </w:r>
      <w:r>
        <w:rPr>
          <w:rFonts w:hint="eastAsia" w:ascii="仿宋" w:hAnsi="仿宋" w:eastAsia="仿宋" w:cs="仿宋"/>
          <w:bCs w:val="0"/>
          <w:color w:val="auto"/>
          <w:sz w:val="28"/>
          <w:szCs w:val="28"/>
        </w:rPr>
        <w:fldChar w:fldCharType="separate"/>
      </w:r>
      <w:r>
        <w:rPr>
          <w:rFonts w:hint="eastAsia" w:ascii="仿宋" w:hAnsi="仿宋" w:eastAsia="仿宋" w:cs="仿宋"/>
          <w:bCs/>
          <w:color w:val="auto"/>
          <w:sz w:val="28"/>
          <w:szCs w:val="28"/>
        </w:rPr>
        <w:t>前</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言</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_Toc17785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I</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_Toc15641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sz w:val="28"/>
          <w:szCs w:val="28"/>
        </w:rPr>
        <w:t>一</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发展现状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_Toc15641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_Toc810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kern w:val="2"/>
          <w:sz w:val="28"/>
          <w:szCs w:val="28"/>
        </w:rPr>
        <w:t>（一）“十三五”时期取得的主要成就</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_Toc810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_Toc1110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color w:val="auto"/>
          <w:sz w:val="28"/>
          <w:szCs w:val="28"/>
        </w:rPr>
        <w:t>1.监测预报预警能力显著提升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_Toc1110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_Toc14378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color w:val="auto"/>
          <w:sz w:val="28"/>
          <w:szCs w:val="28"/>
        </w:rPr>
        <w:t>2.防灾减灾救灾能力逐步完善</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_Toc14378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_Toc8792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color w:val="auto"/>
          <w:sz w:val="28"/>
          <w:szCs w:val="28"/>
        </w:rPr>
        <w:t>3.重大活动保障能力有效提升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_Toc8792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_Toc4030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color w:val="auto"/>
          <w:sz w:val="28"/>
          <w:szCs w:val="28"/>
        </w:rPr>
        <w:t>4.科技创新支撑水平不断加强</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_Toc4030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_Toc19691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color w:val="auto"/>
          <w:sz w:val="28"/>
          <w:szCs w:val="28"/>
        </w:rPr>
        <w:t>5.公共气象服务效益显著提升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_Toc19691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_Toc10680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color w:val="auto"/>
          <w:sz w:val="28"/>
          <w:szCs w:val="28"/>
        </w:rPr>
        <w:t>6.依法行政运行机制更加完善</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_Toc10680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_Toc10499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kern w:val="2"/>
          <w:sz w:val="28"/>
          <w:szCs w:val="28"/>
        </w:rPr>
        <w:t>（二）面临形势与存在问题</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_Toc10499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_Toc19795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sz w:val="28"/>
          <w:szCs w:val="28"/>
        </w:rPr>
        <w:t>二</w:t>
      </w:r>
      <w:r>
        <w:rPr>
          <w:rFonts w:hint="eastAsia" w:ascii="仿宋" w:hAnsi="仿宋" w:eastAsia="仿宋" w:cs="仿宋"/>
          <w:bCs/>
          <w:color w:val="auto"/>
          <w:sz w:val="28"/>
          <w:szCs w:val="28"/>
          <w:lang w:eastAsia="zh-CN"/>
        </w:rPr>
        <w:t>、“十四五”时期的</w:t>
      </w:r>
      <w:r>
        <w:rPr>
          <w:rFonts w:hint="eastAsia" w:ascii="仿宋" w:hAnsi="仿宋" w:eastAsia="仿宋" w:cs="仿宋"/>
          <w:bCs/>
          <w:color w:val="auto"/>
          <w:sz w:val="28"/>
          <w:szCs w:val="28"/>
        </w:rPr>
        <w:t>发展思路</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_Toc19795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8</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_Toc10523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kern w:val="2"/>
          <w:sz w:val="28"/>
          <w:szCs w:val="28"/>
        </w:rPr>
        <w:t>（一）指导思想</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_Toc10523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8</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_Toc12729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kern w:val="2"/>
          <w:sz w:val="28"/>
          <w:szCs w:val="28"/>
        </w:rPr>
        <w:t>（二）编制依据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_Toc12729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8</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_Toc27685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kern w:val="2"/>
          <w:sz w:val="28"/>
          <w:szCs w:val="28"/>
        </w:rPr>
        <w:t>（三）规划期限</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_Toc27685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9</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_Toc13747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kern w:val="2"/>
          <w:sz w:val="28"/>
          <w:szCs w:val="28"/>
        </w:rPr>
        <w:t>（四）基本原则</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_Toc13747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9</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_Toc7297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kern w:val="2"/>
          <w:sz w:val="28"/>
          <w:szCs w:val="28"/>
        </w:rPr>
        <w:t>（五）发展目标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_Toc7297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10</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_Toc1626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sz w:val="28"/>
          <w:szCs w:val="28"/>
        </w:rPr>
        <w:t>三</w:t>
      </w:r>
      <w:r>
        <w:rPr>
          <w:rFonts w:hint="eastAsia" w:ascii="仿宋" w:hAnsi="仿宋" w:eastAsia="仿宋" w:cs="仿宋"/>
          <w:bCs/>
          <w:color w:val="auto"/>
          <w:sz w:val="28"/>
          <w:szCs w:val="28"/>
          <w:lang w:eastAsia="zh-CN"/>
        </w:rPr>
        <w:t>、“十四五”时期的</w:t>
      </w:r>
      <w:r>
        <w:rPr>
          <w:rFonts w:hint="eastAsia" w:ascii="仿宋" w:hAnsi="仿宋" w:eastAsia="仿宋" w:cs="仿宋"/>
          <w:bCs/>
          <w:color w:val="auto"/>
          <w:sz w:val="28"/>
          <w:szCs w:val="28"/>
        </w:rPr>
        <w:t>主要任务</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_Toc1626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12</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_Toc16100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kern w:val="2"/>
          <w:sz w:val="28"/>
          <w:szCs w:val="28"/>
        </w:rPr>
        <w:t>（一）围绕高质量高标准需求，提升气象现代化业务能力</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_Toc16100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12</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_Toc22025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color w:val="auto"/>
          <w:sz w:val="28"/>
          <w:szCs w:val="28"/>
        </w:rPr>
        <w:t>1.提升气象监测能力，加强观测数据质量控制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_Toc22025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12</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_Toc4734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color w:val="auto"/>
          <w:sz w:val="28"/>
          <w:szCs w:val="28"/>
        </w:rPr>
        <w:t>2.强化预报预警水平，提升精准预报预警能力</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_Toc4734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13</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_Toc19165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color w:val="auto"/>
          <w:sz w:val="28"/>
          <w:szCs w:val="28"/>
        </w:rPr>
        <w:t>3.深入气象机理研究，增强气象科技攻关水平</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_Toc19165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13</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_Toc15929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kern w:val="2"/>
          <w:sz w:val="28"/>
          <w:szCs w:val="28"/>
        </w:rPr>
        <w:t>（二）强化气象服务优质供给，提升气象精细服务能力</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_Toc15929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13</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_Toc7600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color w:val="auto"/>
          <w:sz w:val="28"/>
          <w:szCs w:val="28"/>
        </w:rPr>
        <w:t>1.紧密围绕行业需求，强化专项气象服务水平</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_Toc7600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13</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_Toc26073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color w:val="auto"/>
          <w:sz w:val="28"/>
          <w:szCs w:val="28"/>
        </w:rPr>
        <w:t>2.重点关注保障需求，强化重大活动保障能力</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_Toc26073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14</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_Toc24609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color w:val="auto"/>
          <w:sz w:val="28"/>
          <w:szCs w:val="28"/>
        </w:rPr>
        <w:t>3.针对不同用户群体，提供多元气象公共服务</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_Toc24609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15</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_Toc9647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color w:val="auto"/>
          <w:sz w:val="28"/>
          <w:szCs w:val="28"/>
        </w:rPr>
        <w:t>4.借助科技创新力量，提升智能气象服务水平</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_Toc9647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15</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_Toc29125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color w:val="auto"/>
          <w:sz w:val="28"/>
          <w:szCs w:val="28"/>
        </w:rPr>
        <w:t>5.推进智能规范管理，提高气象法治管理水平</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_Toc29125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15</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_Toc18807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kern w:val="2"/>
          <w:sz w:val="28"/>
          <w:szCs w:val="28"/>
        </w:rPr>
        <w:t>（三）增强防灾减灾能力建设，</w:t>
      </w:r>
      <w:r>
        <w:rPr>
          <w:rFonts w:hint="eastAsia" w:ascii="仿宋" w:hAnsi="仿宋" w:eastAsia="仿宋" w:cs="仿宋"/>
          <w:bCs/>
          <w:color w:val="auto"/>
          <w:kern w:val="2"/>
          <w:sz w:val="28"/>
          <w:szCs w:val="28"/>
          <w:lang w:eastAsia="zh-CN"/>
        </w:rPr>
        <w:t>筑牢</w:t>
      </w:r>
      <w:r>
        <w:rPr>
          <w:rFonts w:hint="eastAsia" w:ascii="仿宋" w:hAnsi="仿宋" w:eastAsia="仿宋" w:cs="仿宋"/>
          <w:bCs/>
          <w:color w:val="auto"/>
          <w:kern w:val="2"/>
          <w:sz w:val="28"/>
          <w:szCs w:val="28"/>
        </w:rPr>
        <w:t>城市运行安全保障</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_Toc18807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16</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_Toc6133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color w:val="auto"/>
          <w:sz w:val="28"/>
          <w:szCs w:val="28"/>
        </w:rPr>
        <w:t>1.完善预报预警机制，提升气象信息发布能力</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_Toc6133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16</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_Toc20330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color w:val="auto"/>
          <w:sz w:val="28"/>
          <w:szCs w:val="28"/>
        </w:rPr>
        <w:t>2.完善风险防范体系，提升气象信息共享能力</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_Toc20330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16</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_Toc5419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color w:val="auto"/>
          <w:sz w:val="28"/>
          <w:szCs w:val="28"/>
        </w:rPr>
        <w:t>3.开展灾害风险普查，加强气象灾害风险管理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_Toc5419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16</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_Toc16572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color w:val="auto"/>
          <w:sz w:val="28"/>
          <w:szCs w:val="28"/>
        </w:rPr>
        <w:t>4.完善科普基地建设，丰富气象科普宣教资源</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_Toc16572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17</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_Toc17404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sz w:val="28"/>
          <w:szCs w:val="28"/>
        </w:rPr>
        <w:t>四</w:t>
      </w:r>
      <w:r>
        <w:rPr>
          <w:rFonts w:hint="eastAsia" w:ascii="仿宋" w:hAnsi="仿宋" w:eastAsia="仿宋" w:cs="仿宋"/>
          <w:bCs/>
          <w:color w:val="auto"/>
          <w:sz w:val="28"/>
          <w:szCs w:val="28"/>
          <w:lang w:eastAsia="zh-CN"/>
        </w:rPr>
        <w:t>、“十四五”时期的</w:t>
      </w:r>
      <w:r>
        <w:rPr>
          <w:rFonts w:hint="eastAsia" w:ascii="仿宋" w:hAnsi="仿宋" w:eastAsia="仿宋" w:cs="仿宋"/>
          <w:bCs/>
          <w:color w:val="auto"/>
          <w:sz w:val="28"/>
          <w:szCs w:val="28"/>
        </w:rPr>
        <w:t>重点工程</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_Toc17404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17</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_Toc29460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kern w:val="2"/>
          <w:sz w:val="28"/>
          <w:szCs w:val="28"/>
        </w:rPr>
        <w:t>（一）朝阳区精密气象监测能力提升工程</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_Toc29460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17</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_Toc27565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kern w:val="2"/>
          <w:sz w:val="28"/>
          <w:szCs w:val="28"/>
        </w:rPr>
        <w:t>（二）朝阳区智慧气象服务能力提升工程</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_Toc27565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_Toc9117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kern w:val="2"/>
          <w:sz w:val="28"/>
          <w:szCs w:val="28"/>
        </w:rPr>
        <w:t>（三）朝阳区气象防灾减灾能力提升工程</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_Toc9117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_Toc5613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sz w:val="28"/>
          <w:szCs w:val="28"/>
        </w:rPr>
        <w:t>五</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保障措施</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_Toc5613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_Toc27137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kern w:val="2"/>
          <w:sz w:val="28"/>
          <w:szCs w:val="28"/>
        </w:rPr>
        <w:t>（一）加强组织领导，统筹协调落实</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_Toc27137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_Toc32762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kern w:val="2"/>
          <w:sz w:val="28"/>
          <w:szCs w:val="28"/>
        </w:rPr>
        <w:t>（二）强化资金保障，确保规划实施</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_Toc32762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20</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 w:hAnsi="仿宋" w:eastAsia="仿宋" w:cs="仿宋"/>
          <w:color w:val="auto"/>
          <w:sz w:val="28"/>
          <w:szCs w:val="28"/>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_Toc10341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kern w:val="2"/>
          <w:sz w:val="28"/>
          <w:szCs w:val="28"/>
        </w:rPr>
        <w:t>（三）强化科技支撑，创新驱动发展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_Toc10341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20</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right="0" w:rightChars="0" w:firstLine="0" w:firstLineChars="0"/>
        <w:jc w:val="both"/>
        <w:textAlignment w:val="auto"/>
        <w:outlineLvl w:val="9"/>
        <w:rPr>
          <w:color w:val="auto"/>
        </w:rPr>
      </w:pPr>
      <w:r>
        <w:rPr>
          <w:rFonts w:hint="eastAsia" w:ascii="仿宋" w:hAnsi="仿宋" w:eastAsia="仿宋" w:cs="仿宋"/>
          <w:bCs w:val="0"/>
          <w:color w:val="auto"/>
          <w:sz w:val="28"/>
          <w:szCs w:val="28"/>
          <w:lang w:val="zh-CN"/>
        </w:rPr>
        <w:fldChar w:fldCharType="begin"/>
      </w:r>
      <w:r>
        <w:rPr>
          <w:rFonts w:hint="eastAsia" w:ascii="仿宋" w:hAnsi="仿宋" w:eastAsia="仿宋" w:cs="仿宋"/>
          <w:bCs w:val="0"/>
          <w:color w:val="auto"/>
          <w:sz w:val="28"/>
          <w:szCs w:val="28"/>
          <w:lang w:val="zh-CN"/>
        </w:rPr>
        <w:instrText xml:space="preserve"> HYPERLINK \l _Toc19794 </w:instrText>
      </w:r>
      <w:r>
        <w:rPr>
          <w:rFonts w:hint="eastAsia" w:ascii="仿宋" w:hAnsi="仿宋" w:eastAsia="仿宋" w:cs="仿宋"/>
          <w:bCs w:val="0"/>
          <w:color w:val="auto"/>
          <w:sz w:val="28"/>
          <w:szCs w:val="28"/>
          <w:lang w:val="zh-CN"/>
        </w:rPr>
        <w:fldChar w:fldCharType="separate"/>
      </w:r>
      <w:r>
        <w:rPr>
          <w:rFonts w:hint="eastAsia" w:ascii="仿宋" w:hAnsi="仿宋" w:eastAsia="仿宋" w:cs="仿宋"/>
          <w:bCs/>
          <w:color w:val="auto"/>
          <w:kern w:val="2"/>
          <w:sz w:val="28"/>
          <w:szCs w:val="28"/>
        </w:rPr>
        <w:t>（四）健全法规体系，保障规划实施</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_Toc19794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20</w:t>
      </w:r>
      <w:r>
        <w:rPr>
          <w:rFonts w:hint="eastAsia" w:ascii="仿宋" w:hAnsi="仿宋" w:eastAsia="仿宋" w:cs="仿宋"/>
          <w:color w:val="auto"/>
          <w:sz w:val="28"/>
          <w:szCs w:val="28"/>
        </w:rPr>
        <w:fldChar w:fldCharType="end"/>
      </w:r>
      <w:r>
        <w:rPr>
          <w:rFonts w:hint="eastAsia" w:ascii="仿宋" w:hAnsi="仿宋" w:eastAsia="仿宋" w:cs="仿宋"/>
          <w:bCs w:val="0"/>
          <w:color w:val="auto"/>
          <w:sz w:val="28"/>
          <w:szCs w:val="28"/>
          <w:lang w:val="zh-CN"/>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right="0" w:rightChars="0" w:firstLine="0" w:firstLineChars="0"/>
        <w:jc w:val="both"/>
        <w:textAlignment w:val="auto"/>
        <w:rPr>
          <w:rFonts w:ascii="宋体" w:hAnsi="宋体" w:cs="Times New Roman"/>
          <w:b/>
          <w:bCs/>
          <w:color w:val="auto"/>
          <w:sz w:val="28"/>
          <w:szCs w:val="28"/>
        </w:rPr>
      </w:pPr>
      <w:r>
        <w:rPr>
          <w:rFonts w:hint="eastAsia" w:ascii="仿宋" w:hAnsi="仿宋" w:eastAsia="仿宋" w:cs="仿宋"/>
          <w:bCs w:val="0"/>
          <w:color w:val="auto"/>
          <w:szCs w:val="28"/>
          <w:lang w:val="zh-CN"/>
        </w:rPr>
        <w:fldChar w:fldCharType="end"/>
      </w:r>
    </w:p>
    <w:p>
      <w:pPr>
        <w:pStyle w:val="14"/>
        <w:tabs>
          <w:tab w:val="right" w:leader="dot" w:pos="8296"/>
        </w:tabs>
        <w:spacing w:line="480" w:lineRule="exact"/>
        <w:rPr>
          <w:rFonts w:ascii="Times New Roman" w:hAnsi="Times New Roman" w:cs="Times New Roman"/>
          <w:b/>
          <w:bCs/>
          <w:color w:val="auto"/>
          <w:sz w:val="28"/>
          <w:szCs w:val="28"/>
        </w:rPr>
        <w:sectPr>
          <w:footerReference r:id="rId3" w:type="default"/>
          <w:pgSz w:w="11906" w:h="16838"/>
          <w:pgMar w:top="1440" w:right="1800" w:bottom="1440" w:left="1800" w:header="851" w:footer="992" w:gutter="0"/>
          <w:pgNumType w:fmt="upperRoman" w:start="1"/>
          <w:cols w:space="425" w:num="1"/>
          <w:docGrid w:type="lines" w:linePitch="312" w:charSpace="0"/>
        </w:sectPr>
      </w:pPr>
    </w:p>
    <w:bookmarkEnd w:id="1"/>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0"/>
        <w:rPr>
          <w:rFonts w:hint="default"/>
          <w:b/>
          <w:bCs/>
          <w:color w:val="auto"/>
          <w:sz w:val="36"/>
          <w:szCs w:val="36"/>
        </w:rPr>
      </w:pPr>
      <w:bookmarkStart w:id="2" w:name="_Toc17785"/>
      <w:bookmarkStart w:id="3" w:name="_Toc82608934"/>
      <w:r>
        <w:rPr>
          <w:rFonts w:hint="eastAsia"/>
          <w:b/>
          <w:bCs/>
          <w:color w:val="auto"/>
          <w:sz w:val="36"/>
          <w:szCs w:val="36"/>
        </w:rPr>
        <w:t>前言</w:t>
      </w:r>
      <w:bookmarkEnd w:id="2"/>
      <w:bookmarkEnd w:id="3"/>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四五”时期是我国全面建成小康社会、实现第一个百年奋斗目标之后，乘势而上开启全面建设社会主义现代化国家新征程、向第二个百年奋斗目标进军的第一个五年，是北京落实首都城市战略定位、建设国际一流的和谐宜居之都的关键时期，也是朝阳建设具有广泛国际影响力和竞争力的和谐宜居国际化城区的重要时期。贯彻落实习近平总书记关于新中国气象事业70周年的重要指示精神，顾全国家发展大局，紧扣北京市气象事业发展的新</w:t>
      </w:r>
      <w:r>
        <w:rPr>
          <w:rFonts w:hint="eastAsia" w:ascii="仿宋" w:hAnsi="仿宋" w:eastAsia="仿宋" w:cs="仿宋"/>
          <w:color w:val="auto"/>
          <w:sz w:val="28"/>
          <w:szCs w:val="28"/>
          <w:highlight w:val="none"/>
        </w:rPr>
        <w:t>方向，把握首都发展要义，坚持“首善”标准，围绕首都“四个中心”功能建设，聚焦“文化、国际化、大尺度绿化”主攻方向，以“监测精密、预报精准、服务精细”为发展核心，以建设具有国际影响力和竞争力的和谐宜居国际化城区为发展目标，以提升朝阳气象现代化治理能力为发展动力，探索朝阳气象高质量发展新路径，全面提升朝阳气</w:t>
      </w:r>
      <w:r>
        <w:rPr>
          <w:rFonts w:hint="eastAsia" w:ascii="仿宋" w:hAnsi="仿宋" w:eastAsia="仿宋" w:cs="仿宋"/>
          <w:color w:val="auto"/>
          <w:sz w:val="28"/>
          <w:szCs w:val="28"/>
        </w:rPr>
        <w:t>象综合服务能力，助力朝阳高水平城市建设。</w:t>
      </w:r>
    </w:p>
    <w:p>
      <w:pPr>
        <w:snapToGrid w:val="0"/>
        <w:spacing w:line="480" w:lineRule="exact"/>
        <w:rPr>
          <w:rFonts w:ascii="Times New Roman" w:hAnsi="Times New Roman" w:cs="Times New Roman"/>
          <w:b/>
          <w:bCs/>
          <w:color w:val="auto"/>
          <w:sz w:val="28"/>
          <w:szCs w:val="28"/>
        </w:rPr>
        <w:sectPr>
          <w:footerReference r:id="rId4" w:type="default"/>
          <w:pgSz w:w="11906" w:h="16838"/>
          <w:pgMar w:top="1440" w:right="1800" w:bottom="1440" w:left="1800" w:header="851" w:footer="992" w:gutter="0"/>
          <w:pgNumType w:fmt="upperRoman" w:start="1"/>
          <w:cols w:space="425" w:num="1"/>
          <w:docGrid w:type="lines" w:linePitch="312" w:charSpace="0"/>
        </w:sectPr>
      </w:pPr>
      <w:bookmarkStart w:id="4" w:name="_Toc19202"/>
      <w:bookmarkStart w:id="5" w:name="_Toc23633"/>
      <w:bookmarkStart w:id="6" w:name="_Toc6062"/>
      <w:bookmarkStart w:id="7" w:name="_Toc28591"/>
      <w:bookmarkStart w:id="8" w:name="_Toc12443"/>
    </w:p>
    <w:p>
      <w:pPr>
        <w:pStyle w:val="2"/>
        <w:keepNext/>
        <w:keepLines/>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both"/>
        <w:textAlignment w:val="auto"/>
        <w:outlineLvl w:val="0"/>
        <w:rPr>
          <w:rFonts w:hint="default"/>
          <w:b/>
          <w:bCs/>
          <w:color w:val="auto"/>
          <w:sz w:val="36"/>
          <w:szCs w:val="36"/>
        </w:rPr>
      </w:pPr>
      <w:bookmarkStart w:id="9" w:name="_Toc82608935"/>
      <w:bookmarkStart w:id="10" w:name="_Toc15641"/>
      <w:r>
        <w:rPr>
          <w:rFonts w:hint="default"/>
          <w:b/>
          <w:bCs/>
          <w:color w:val="auto"/>
          <w:sz w:val="36"/>
          <w:szCs w:val="36"/>
        </w:rPr>
        <w:t>一</w:t>
      </w:r>
      <w:r>
        <w:rPr>
          <w:rFonts w:hint="eastAsia"/>
          <w:b/>
          <w:bCs/>
          <w:color w:val="auto"/>
          <w:sz w:val="36"/>
          <w:szCs w:val="36"/>
          <w:lang w:val="en-US" w:eastAsia="zh-CN"/>
        </w:rPr>
        <w:t xml:space="preserve"> 、</w:t>
      </w:r>
      <w:r>
        <w:rPr>
          <w:rFonts w:hint="default"/>
          <w:b/>
          <w:bCs/>
          <w:color w:val="auto"/>
          <w:sz w:val="36"/>
          <w:szCs w:val="36"/>
        </w:rPr>
        <w:t>发展现状</w:t>
      </w:r>
      <w:bookmarkEnd w:id="4"/>
      <w:bookmarkEnd w:id="5"/>
      <w:bookmarkEnd w:id="6"/>
      <w:bookmarkEnd w:id="7"/>
      <w:bookmarkEnd w:id="8"/>
      <w:bookmarkEnd w:id="9"/>
      <w:bookmarkEnd w:id="10"/>
    </w:p>
    <w:p>
      <w:pPr>
        <w:pStyle w:val="3"/>
        <w:keepNext/>
        <w:keepLines/>
        <w:pageBreakBefore w:val="0"/>
        <w:widowControl w:val="0"/>
        <w:kinsoku/>
        <w:wordWrap/>
        <w:overflowPunct/>
        <w:topLinePunct w:val="0"/>
        <w:autoSpaceDE/>
        <w:autoSpaceDN/>
        <w:bidi w:val="0"/>
        <w:adjustRightInd/>
        <w:snapToGrid w:val="0"/>
        <w:spacing w:before="200" w:beforeLines="0" w:beforeAutospacing="0" w:after="100" w:afterAutospacing="0" w:line="560" w:lineRule="exact"/>
        <w:ind w:left="420" w:leftChars="200" w:right="0" w:rightChars="0" w:firstLine="0" w:firstLineChars="0"/>
        <w:jc w:val="both"/>
        <w:textAlignment w:val="auto"/>
        <w:outlineLvl w:val="1"/>
        <w:rPr>
          <w:rFonts w:hint="eastAsia" w:ascii="仿宋" w:hAnsi="仿宋" w:eastAsia="仿宋" w:cs="仿宋"/>
          <w:b/>
          <w:bCs/>
          <w:color w:val="auto"/>
          <w:sz w:val="32"/>
          <w:szCs w:val="32"/>
        </w:rPr>
      </w:pPr>
      <w:bookmarkStart w:id="11" w:name="_Toc10303"/>
      <w:bookmarkStart w:id="12" w:name="_Toc15973"/>
      <w:bookmarkStart w:id="13" w:name="_Toc3147"/>
      <w:bookmarkStart w:id="14" w:name="_Toc17204"/>
      <w:bookmarkStart w:id="15" w:name="_Toc32267"/>
      <w:bookmarkStart w:id="16" w:name="_Toc320"/>
      <w:bookmarkStart w:id="17" w:name="_Toc4948"/>
      <w:bookmarkStart w:id="18" w:name="_Toc810"/>
      <w:bookmarkStart w:id="19" w:name="_Toc82608936"/>
      <w:r>
        <w:rPr>
          <w:rFonts w:hint="eastAsia" w:ascii="仿宋" w:hAnsi="仿宋" w:eastAsia="仿宋" w:cs="仿宋"/>
          <w:b/>
          <w:bCs/>
          <w:color w:val="auto"/>
          <w:kern w:val="2"/>
          <w:sz w:val="32"/>
          <w:szCs w:val="32"/>
        </w:rPr>
        <w:t>（一）</w:t>
      </w:r>
      <w:bookmarkEnd w:id="11"/>
      <w:bookmarkEnd w:id="12"/>
      <w:bookmarkEnd w:id="13"/>
      <w:bookmarkEnd w:id="14"/>
      <w:bookmarkEnd w:id="15"/>
      <w:bookmarkEnd w:id="16"/>
      <w:bookmarkEnd w:id="17"/>
      <w:r>
        <w:rPr>
          <w:rFonts w:hint="eastAsia" w:ascii="仿宋" w:hAnsi="仿宋" w:eastAsia="仿宋" w:cs="仿宋"/>
          <w:b/>
          <w:bCs/>
          <w:color w:val="auto"/>
          <w:kern w:val="2"/>
          <w:sz w:val="32"/>
          <w:szCs w:val="32"/>
        </w:rPr>
        <w:t>“十三五”时期取得的主要成就</w:t>
      </w:r>
      <w:bookmarkEnd w:id="18"/>
      <w:bookmarkEnd w:id="19"/>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三五”期间，在北京市气象局、朝阳区委、区政府的正确领导下，朝阳区气象事业稳步发展，圆满完成了“十三五”规划目标任务，气象监测能力、预报预警能力均有提升，气象灾害防御体系更加完善，圆满完成各项重大活动保障，行政管理程序不断优化，充分发挥了气象事业的基础支撑作用。</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20" w:name="_Toc1110"/>
      <w:r>
        <w:rPr>
          <w:rFonts w:hint="eastAsia" w:ascii="仿宋" w:hAnsi="仿宋" w:eastAsia="仿宋" w:cs="仿宋"/>
          <w:b/>
          <w:color w:val="auto"/>
          <w:sz w:val="28"/>
          <w:szCs w:val="28"/>
        </w:rPr>
        <w:t>1.监测预报预警能力显著提升</w:t>
      </w:r>
      <w:bookmarkEnd w:id="20"/>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“十三五”期间，全面优化站网布局，共建防汛气象自动观测站，增加全区自动气象站33个，增至59个</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站点数量提升127%，全区平均监测间距可达3—4公里，形成全方位气象观测网，覆盖全区所有街道、乡镇、重要场馆、路段以及流域水系，朝阳区气象监测密度达全市前列。增设降水天气现象仪、激光云高仪和雪深、日照自动观测仪器等设备，实现气象监测自动化，新型探测设备和资料在气象灾害监测和预报服务领域得到广泛应用。天气预报、预警精细化程度覆盖到乡镇，实现乡镇预报由人工订正向格点化预报转型，预报、预警准确性显著提升。气象预警信息融入朝阳区应急值守系统，依托网络带宽由100兆增速至1000兆，气象预报预警信息发布时效显著提高。强对流天气预警平均提前量为77分钟。</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21" w:name="_Toc14378"/>
      <w:r>
        <w:rPr>
          <w:rFonts w:hint="eastAsia" w:ascii="仿宋" w:hAnsi="仿宋" w:eastAsia="仿宋" w:cs="仿宋"/>
          <w:b/>
          <w:color w:val="auto"/>
          <w:sz w:val="28"/>
          <w:szCs w:val="28"/>
        </w:rPr>
        <w:t>2.防灾减灾救灾能力逐步完善</w:t>
      </w:r>
      <w:bookmarkEnd w:id="21"/>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完善气象防灾减灾机制建设。</w:t>
      </w:r>
      <w:r>
        <w:rPr>
          <w:rFonts w:hint="eastAsia" w:ascii="仿宋" w:hAnsi="仿宋" w:eastAsia="仿宋" w:cs="仿宋"/>
          <w:color w:val="auto"/>
          <w:sz w:val="28"/>
          <w:szCs w:val="28"/>
        </w:rPr>
        <w:t>与区相关部门协作，进一步完善朝阳区气象灾害应急预案，强化周边区域、上下游台站间预警信息的实时通报，健全以气象预警信息为先导、多部门联动和社会响应的气象灾害防御机制，“十三五”期间累计发布各类预警信号611期。加强与区防汛、应急、水务、生态环境等多部门联动，健全汛情会商联动机制。</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全面提升气象应急服务水平。</w:t>
      </w:r>
      <w:r>
        <w:rPr>
          <w:rFonts w:hint="eastAsia" w:ascii="仿宋" w:hAnsi="仿宋" w:eastAsia="仿宋" w:cs="仿宋"/>
          <w:color w:val="auto"/>
          <w:sz w:val="28"/>
          <w:szCs w:val="28"/>
        </w:rPr>
        <w:t>完成北京市朝阳区突发事件预警信息发布中心建设工作，朝阳区预警信息发布能力显著提升。建设朝阳气象服务系统，气象数据通过气象服务平台与显示终端接入区政府应急指挥系统，为朝阳区重大决策提供气象保障。增设4台应急监测设备，建设气象应急保障队伍，应急气象服务保障支撑能力有效提升。完善气象科普宣传教育体系，提升公众防灾减灾能力。开展气象科普馆建设，建成全市首家以</w:t>
      </w:r>
      <w:r>
        <w:rPr>
          <w:rFonts w:hint="eastAsia" w:ascii="Times New Roman" w:hAnsi="Times New Roman" w:eastAsia="仿宋" w:cs="仿宋"/>
          <w:color w:val="auto"/>
          <w:sz w:val="28"/>
          <w:szCs w:val="28"/>
        </w:rPr>
        <w:t>VR</w:t>
      </w:r>
      <w:r>
        <w:rPr>
          <w:rFonts w:hint="eastAsia" w:ascii="仿宋" w:hAnsi="仿宋" w:eastAsia="仿宋" w:cs="仿宋"/>
          <w:color w:val="auto"/>
          <w:sz w:val="28"/>
          <w:szCs w:val="28"/>
        </w:rPr>
        <w:t>为主题的气象科普馆，形成“一园一馆一长廊”模式的气象科普园区，获评北京市科普教育基地。与区教委、行走中国公益俱乐部等部门建立合作机制，推进气象科普资源全民共享，提升气象科普公益性。多次参加全国气象科技周、朝阳区科技周等系列活动，提升科普品牌效应。</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推进基层防灾减灾能力建设。</w:t>
      </w:r>
      <w:r>
        <w:rPr>
          <w:rFonts w:hint="eastAsia" w:ascii="仿宋" w:hAnsi="仿宋" w:eastAsia="仿宋" w:cs="仿宋"/>
          <w:color w:val="auto"/>
          <w:sz w:val="28"/>
          <w:szCs w:val="28"/>
        </w:rPr>
        <w:t>气象防灾减灾“六个一”建设持续推进，现阶段气象防灾减灾安全社区认证率达80%。联合区应急局和地震局，开展综合减灾示范社区创建工作。强化气象灾害基层防御队伍的建设和日常管理，现阶段全区街道（乡镇）气象灾害防御预案制定率均达100%，社区（村）气象灾害防御责任人覆盖率达100%。</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22" w:name="_Toc8792"/>
      <w:r>
        <w:rPr>
          <w:rFonts w:hint="eastAsia" w:ascii="仿宋" w:hAnsi="仿宋" w:eastAsia="仿宋" w:cs="仿宋"/>
          <w:b/>
          <w:color w:val="auto"/>
          <w:sz w:val="28"/>
          <w:szCs w:val="28"/>
        </w:rPr>
        <w:t>3.重大活动保障能力有效提升</w:t>
      </w:r>
      <w:bookmarkEnd w:id="22"/>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十三五”期间开展国际级、国家级、市级、区级等各类重大政治、文化、体育活动气象服务保障十九项。为纪念抗战胜利70周年大阅兵、中华人民共和国成立70周年庆典、“一带一路”国际合作高峰论坛、亚洲文明对话大会、中国（北京）国际服务贸易交易会等重大活动制定大型活动气象保障预案，建立重大活动气象服务保障监测预报交互式研判平台。将气象预警信息接入朝阳区格点化预报产品，开展大型活动和会议场馆周边逐小时、多要素精细化预报服务。对国家体育场、国家游泳中心等重大活动场馆周边自动气象站进行升级，由6个观测要素升级为12个观测要素，提升重要活动场馆的精细化观测能力。</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23" w:name="_Toc4030"/>
      <w:r>
        <w:rPr>
          <w:rFonts w:hint="eastAsia" w:ascii="仿宋" w:hAnsi="仿宋" w:eastAsia="仿宋" w:cs="仿宋"/>
          <w:b/>
          <w:color w:val="auto"/>
          <w:sz w:val="28"/>
          <w:szCs w:val="28"/>
        </w:rPr>
        <w:t>4.科技创新支撑水平不断加强</w:t>
      </w:r>
      <w:bookmarkEnd w:id="23"/>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坚持需求引领，开展科技创新。紧密贴合朝阳区发展需求，开展科技项目研究，推动人才队伍建设。“十三五”期间围绕朝阳区生态环境治理、城市安全管理、大型活动保障等重点工作需求，开展多项研究。共获批北京市气象局科技项目及软课题研究10项，朝阳区科技计划项目3项，发表论文9篇。针对朝阳区气候特点及服务需求，编制《朝阳区气象预报服务手册》，促进科技成果转化，提升短时临近预报能力，规范服务标准。制定科技项目管理办法，加大人才培养激励力度，提升业务人才全面发展。</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24" w:name="_Toc19691"/>
      <w:r>
        <w:rPr>
          <w:rFonts w:hint="eastAsia" w:ascii="仿宋" w:hAnsi="仿宋" w:eastAsia="仿宋" w:cs="仿宋"/>
          <w:b/>
          <w:color w:val="auto"/>
          <w:sz w:val="28"/>
          <w:szCs w:val="28"/>
        </w:rPr>
        <w:t>5.公共气象服务效益显著提升</w:t>
      </w:r>
      <w:bookmarkEnd w:id="24"/>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公共气象服务领域不断拓展。升级改版官方微信公众号，丰富微信公众号内容，开发基于位置的预报服务，拓展公共气象服务发布渠道，提升用户服务效果。结合气象安全社区建设，对气象信息显示终端进行重点增设，并增加气象服务功能。建立“7+</w:t>
      </w:r>
      <w:r>
        <w:rPr>
          <w:rFonts w:hint="eastAsia" w:ascii="Times New Roman" w:hAnsi="Times New Roman" w:eastAsia="仿宋" w:cs="仿宋"/>
          <w:b w:val="0"/>
          <w:bCs w:val="0"/>
          <w:color w:val="auto"/>
          <w:sz w:val="28"/>
          <w:szCs w:val="28"/>
        </w:rPr>
        <w:t>N</w:t>
      </w:r>
      <w:r>
        <w:rPr>
          <w:rFonts w:hint="eastAsia" w:ascii="仿宋" w:hAnsi="仿宋" w:eastAsia="仿宋" w:cs="仿宋"/>
          <w:b w:val="0"/>
          <w:bCs w:val="0"/>
          <w:color w:val="auto"/>
          <w:sz w:val="28"/>
          <w:szCs w:val="28"/>
        </w:rPr>
        <w:t>”预报服务机制，实现预报预警信息实时自动更新。公众气象服务满意度提升至95</w:t>
      </w:r>
      <w:r>
        <w:rPr>
          <w:rFonts w:hint="eastAsia" w:ascii="仿宋" w:hAnsi="仿宋" w:eastAsia="仿宋" w:cs="仿宋"/>
          <w:b w:val="0"/>
          <w:bCs w:val="0"/>
          <w:color w:val="auto"/>
          <w:sz w:val="28"/>
          <w:szCs w:val="28"/>
          <w:lang w:eastAsia="zh-CN"/>
        </w:rPr>
        <w:t>分</w:t>
      </w:r>
      <w:r>
        <w:rPr>
          <w:rFonts w:hint="eastAsia" w:ascii="仿宋" w:hAnsi="仿宋" w:eastAsia="仿宋" w:cs="仿宋"/>
          <w:b w:val="0"/>
          <w:bCs w:val="0"/>
          <w:color w:val="auto"/>
          <w:sz w:val="28"/>
          <w:szCs w:val="28"/>
        </w:rPr>
        <w:t>，近三年均达90</w:t>
      </w:r>
      <w:r>
        <w:rPr>
          <w:rFonts w:hint="eastAsia" w:ascii="仿宋" w:hAnsi="仿宋" w:eastAsia="仿宋" w:cs="仿宋"/>
          <w:b w:val="0"/>
          <w:bCs w:val="0"/>
          <w:color w:val="auto"/>
          <w:sz w:val="28"/>
          <w:szCs w:val="28"/>
          <w:lang w:eastAsia="zh-CN"/>
        </w:rPr>
        <w:t>分</w:t>
      </w:r>
      <w:r>
        <w:rPr>
          <w:rFonts w:hint="eastAsia" w:ascii="仿宋" w:hAnsi="仿宋" w:eastAsia="仿宋" w:cs="仿宋"/>
          <w:b w:val="0"/>
          <w:bCs w:val="0"/>
          <w:color w:val="auto"/>
          <w:sz w:val="28"/>
          <w:szCs w:val="28"/>
        </w:rPr>
        <w:t>以上。与应急、环保、园林、教委、旅游等部门合作，建立资料共享与专项服务机制，深化朝阳区大气环境治理、节假日旅游等气象服务水平，拓展杨柳飞絮防治相关的服务领域，不断提升公共气象服务能力。</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25" w:name="_Toc10680"/>
      <w:r>
        <w:rPr>
          <w:rFonts w:hint="eastAsia" w:ascii="仿宋" w:hAnsi="仿宋" w:eastAsia="仿宋" w:cs="仿宋"/>
          <w:b/>
          <w:color w:val="auto"/>
          <w:sz w:val="28"/>
          <w:szCs w:val="28"/>
        </w:rPr>
        <w:t>6.依法行政运行机制更加完善</w:t>
      </w:r>
      <w:bookmarkEnd w:id="25"/>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不断完善气象依法行政管理和监督机制，大力推动“放管服”改革，进一步落实市、区行政执法公示制度、执法全过程记录制度、重大执法决定法制审核制度“三项制度”。建立重点领域监管台账，开展“双随机</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一公开”，提高依法行政水平。印发《朝阳区防雷安全单位隐患排查及管理工作方案》，与区应急、文旅、住建、城管等部门建立长期合作机制，加强对全区防雷安全重点行业和单位的监管力度。积极落实“七五”普法任务，气象法律法规宣传覆盖面不断扩大。拓展法治宣传渠道，联合北京卫视科教频道《法治进行时》，制作气象法治系列宣传片；依托“朝阳有线”制作专题节目，对防雷执法工</w:t>
      </w:r>
      <w:bookmarkStart w:id="206" w:name="_GoBack"/>
      <w:bookmarkEnd w:id="206"/>
      <w:r>
        <w:rPr>
          <w:rFonts w:hint="eastAsia" w:ascii="仿宋" w:hAnsi="仿宋" w:eastAsia="仿宋" w:cs="仿宋"/>
          <w:b w:val="0"/>
          <w:bCs w:val="0"/>
          <w:color w:val="auto"/>
          <w:sz w:val="28"/>
          <w:szCs w:val="28"/>
        </w:rPr>
        <w:t>作进行全程报道，开展防雷安全宣传。进一步优化改善气象政务服务流程，将气象服务事项纳入全区综合服务窗口，完成气象行政政务服务事项标准化梳理，实行受理一次告知，推行结果文书邮寄送达，实现政务服务事项一站式办理，各行政服务事项办理总时长较法定时长压缩率达56.25%。</w:t>
      </w:r>
    </w:p>
    <w:p>
      <w:pPr>
        <w:pStyle w:val="3"/>
        <w:keepNext/>
        <w:keepLines/>
        <w:pageBreakBefore w:val="0"/>
        <w:widowControl w:val="0"/>
        <w:kinsoku/>
        <w:wordWrap/>
        <w:overflowPunct/>
        <w:topLinePunct w:val="0"/>
        <w:autoSpaceDE/>
        <w:autoSpaceDN/>
        <w:bidi w:val="0"/>
        <w:adjustRightInd/>
        <w:snapToGrid w:val="0"/>
        <w:spacing w:before="200" w:beforeLines="0" w:beforeAutospacing="0" w:after="100" w:afterAutospacing="0" w:line="560" w:lineRule="exact"/>
        <w:ind w:left="420" w:leftChars="200" w:right="0" w:rightChars="0" w:firstLine="0" w:firstLineChars="0"/>
        <w:jc w:val="both"/>
        <w:textAlignment w:val="auto"/>
        <w:outlineLvl w:val="1"/>
        <w:rPr>
          <w:rFonts w:hint="default" w:ascii="仿宋" w:hAnsi="仿宋" w:eastAsia="仿宋" w:cs="仿宋"/>
          <w:b/>
          <w:bCs/>
          <w:color w:val="auto"/>
          <w:kern w:val="2"/>
          <w:sz w:val="32"/>
          <w:szCs w:val="32"/>
        </w:rPr>
      </w:pPr>
      <w:bookmarkStart w:id="26" w:name="_Toc82608937"/>
      <w:bookmarkStart w:id="27" w:name="_Toc10499"/>
      <w:bookmarkStart w:id="28" w:name="_Toc3569"/>
      <w:bookmarkStart w:id="29" w:name="_Toc12260"/>
      <w:bookmarkStart w:id="30" w:name="_Toc8022"/>
      <w:bookmarkStart w:id="31" w:name="_Toc30487"/>
      <w:bookmarkStart w:id="32" w:name="_Toc29993"/>
      <w:bookmarkStart w:id="33" w:name="_Toc10186"/>
      <w:r>
        <w:rPr>
          <w:rFonts w:hint="default" w:ascii="仿宋" w:hAnsi="仿宋" w:eastAsia="仿宋" w:cs="仿宋"/>
          <w:b/>
          <w:bCs/>
          <w:color w:val="auto"/>
          <w:kern w:val="2"/>
          <w:sz w:val="32"/>
          <w:szCs w:val="32"/>
        </w:rPr>
        <w:t>（二）面临形势与存在问题</w:t>
      </w:r>
      <w:bookmarkEnd w:id="26"/>
      <w:bookmarkEnd w:id="27"/>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34" w:name="_Toc12799"/>
      <w:bookmarkStart w:id="35" w:name="_Toc29864"/>
      <w:bookmarkStart w:id="36" w:name="_Toc14642"/>
      <w:bookmarkStart w:id="37" w:name="_Toc16738"/>
      <w:bookmarkStart w:id="38" w:name="_Toc10667"/>
      <w:r>
        <w:rPr>
          <w:rFonts w:hint="eastAsia" w:ascii="仿宋" w:hAnsi="仿宋" w:eastAsia="仿宋" w:cs="仿宋"/>
          <w:b/>
          <w:color w:val="auto"/>
          <w:sz w:val="28"/>
          <w:szCs w:val="28"/>
        </w:rPr>
        <w:t>1.面临形势</w:t>
      </w:r>
      <w:bookmarkEnd w:id="34"/>
      <w:bookmarkEnd w:id="35"/>
    </w:p>
    <w:p>
      <w:pPr>
        <w:widowControl/>
        <w:snapToGrid w:val="0"/>
        <w:spacing w:line="480" w:lineRule="exact"/>
        <w:ind w:firstLine="562" w:firstLineChars="200"/>
        <w:rPr>
          <w:rFonts w:ascii="Times New Roman" w:hAnsi="Times New Roman" w:eastAsia="楷体" w:cs="Times New Roman"/>
          <w:b/>
          <w:color w:val="auto"/>
          <w:sz w:val="28"/>
          <w:szCs w:val="28"/>
        </w:rPr>
      </w:pPr>
      <w:r>
        <w:rPr>
          <w:rFonts w:ascii="Times New Roman" w:hAnsi="Times New Roman" w:eastAsia="楷体" w:cs="Times New Roman"/>
          <w:b/>
          <w:color w:val="auto"/>
          <w:sz w:val="28"/>
          <w:szCs w:val="28"/>
        </w:rPr>
        <w:t>（1）国家现代化治理水平需求为气象事业发展指明新方向</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推进国家治理体系和治理能力现代化是实现“两个一百年”奋斗目标的重大任务。气象现代化是国家治理体系和治理能力现代化伟大实践的重要组成部分和推进力量。气象防灾减灾、应对气候变化体系和能力问题始终是事关国家治理体系和治理能力现代化的重大问题。中央大力推进防灾减灾救灾体制机制改革，提出“两个坚持”、“三个转变”，构筑气象防灾减灾第一道防线，对气象事业现代化发展提出明确要求。气象事业发展需顺应国家发展导向和需求，加强科技创新引领，坚持以信息化驱动现代化，持续推进以智慧气象为重要标志的气象现代化新格局建设，建成适应需求、布局合理、功能齐全、技术先进、运行稳定的现代化业务体系，切实提升气象事业在城市治理体系和治理能力现代化中的服务和支撑作用。</w:t>
      </w:r>
    </w:p>
    <w:p>
      <w:pPr>
        <w:widowControl/>
        <w:snapToGrid w:val="0"/>
        <w:spacing w:line="480" w:lineRule="exact"/>
        <w:ind w:firstLine="562" w:firstLineChars="200"/>
        <w:rPr>
          <w:rFonts w:ascii="Times New Roman" w:hAnsi="Times New Roman" w:eastAsia="楷体" w:cs="Times New Roman"/>
          <w:b/>
          <w:color w:val="auto"/>
          <w:sz w:val="28"/>
          <w:szCs w:val="28"/>
          <w:highlight w:val="none"/>
        </w:rPr>
      </w:pPr>
      <w:r>
        <w:rPr>
          <w:rFonts w:ascii="Times New Roman" w:hAnsi="Times New Roman" w:eastAsia="楷体" w:cs="Times New Roman"/>
          <w:b/>
          <w:color w:val="auto"/>
          <w:sz w:val="28"/>
          <w:szCs w:val="28"/>
          <w:highlight w:val="none"/>
        </w:rPr>
        <w:t>（2）首都高质量城市发展目标对气象事业发展提出新要求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十四五”时期，是首都贯彻落实“四个中心”城市战略定位，提高“四个服务”水平，建设国际一流和谐宜居之都的关键期。新时代首都战略定位，要求气象部门精心做好首都防灾减灾、生态文明等气象服务。坚持以人民为中心的发展思想，提升公共气象服务能力，为首都经济社会发展和人民福祉提供更优质的气象服务；围绕首都发展和建设需求，依托科技创新，加强精细化预报、预警能力，推动首都气象事业高质量发展；加强气象服务在生态环境保护、绿色发展、大气污染防治的保障作用，为北京建设成国际一流和谐宜居之都提供气象力量。</w:t>
      </w:r>
    </w:p>
    <w:p>
      <w:pPr>
        <w:widowControl/>
        <w:snapToGrid w:val="0"/>
        <w:spacing w:line="480" w:lineRule="exact"/>
        <w:ind w:firstLine="562" w:firstLineChars="200"/>
        <w:rPr>
          <w:rFonts w:ascii="Times New Roman" w:hAnsi="Times New Roman" w:eastAsia="楷体" w:cs="Times New Roman"/>
          <w:b/>
          <w:color w:val="auto"/>
          <w:sz w:val="28"/>
          <w:szCs w:val="28"/>
          <w:highlight w:val="none"/>
        </w:rPr>
      </w:pPr>
      <w:r>
        <w:rPr>
          <w:rFonts w:ascii="Times New Roman" w:hAnsi="Times New Roman" w:eastAsia="楷体" w:cs="Times New Roman"/>
          <w:b/>
          <w:color w:val="auto"/>
          <w:sz w:val="28"/>
          <w:szCs w:val="28"/>
          <w:highlight w:val="none"/>
        </w:rPr>
        <w:t>（3）朝阳特色化空间战略布局对气象事业发展发出新挑战</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朝阳区作为首都功能的重要承载区和国际交往的重要窗口，围绕朝阳区“首都高质量发展示范区、文化创新引领区、国际交往中心区、绿色宜居标杆区”的建设目标和“两轴两带三区”的空间布局特色，气象事业需充分融合朝阳区整体发展战略，不断完善气象灾害防御体系，全力保障城市安全运行。助力全区重点文化景区建设，提高文旅气象服务质量。针对重大外交外事活动区、国际会议会展区、国际体育文化交流区等场所，提供针对有效的气象服务，提升重大活动气象保障能力与水平。助力重污染空气防治、城市公园、杨柳飞絮、水生态环境保护与修复和大尺度生态环境建设，强化生态气象服务能力。加强智慧气象融入智慧市政服务体系和智慧城市综合指挥平台建设，实现资源信息共享，提升本区城市公共服务管理能力。</w:t>
      </w:r>
    </w:p>
    <w:p>
      <w:pPr>
        <w:keepNext/>
        <w:widowControl/>
        <w:snapToGrid w:val="0"/>
        <w:spacing w:line="480" w:lineRule="exact"/>
        <w:ind w:firstLine="562" w:firstLineChars="200"/>
        <w:rPr>
          <w:rFonts w:ascii="Times New Roman" w:hAnsi="Times New Roman" w:eastAsia="楷体" w:cs="Times New Roman"/>
          <w:b/>
          <w:color w:val="auto"/>
          <w:sz w:val="28"/>
          <w:szCs w:val="28"/>
        </w:rPr>
      </w:pPr>
      <w:r>
        <w:rPr>
          <w:rFonts w:ascii="Times New Roman" w:hAnsi="Times New Roman" w:eastAsia="楷体" w:cs="Times New Roman"/>
          <w:b/>
          <w:color w:val="auto"/>
          <w:sz w:val="28"/>
          <w:szCs w:val="28"/>
        </w:rPr>
        <w:t>（4）行业智能化科技创新发展为气象事业发展注入新动能</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紧扣北京市加快建设科技创新中心的发展目标，发挥气象事业科技引领作用，推动科技助力气象事业快速发展，强化气象领域新兴技术应用，形成科技创新与气象事业发展良性循环，推动气象核心技术、气象服务产品等做出新突破，加快气象事业多方位信息化建设，实现气象业务智能化水平提升，推动“智慧气象”现代化向更高水平迈进。</w:t>
      </w:r>
    </w:p>
    <w:bookmarkEnd w:id="28"/>
    <w:bookmarkEnd w:id="29"/>
    <w:bookmarkEnd w:id="30"/>
    <w:bookmarkEnd w:id="31"/>
    <w:bookmarkEnd w:id="32"/>
    <w:bookmarkEnd w:id="33"/>
    <w:bookmarkEnd w:id="36"/>
    <w:bookmarkEnd w:id="37"/>
    <w:bookmarkEnd w:id="38"/>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39" w:name="_Toc27301"/>
      <w:bookmarkStart w:id="40" w:name="_Toc20518"/>
      <w:bookmarkStart w:id="41" w:name="_Toc9512"/>
      <w:bookmarkStart w:id="42" w:name="_Toc32398"/>
      <w:bookmarkStart w:id="43" w:name="_Toc11632"/>
      <w:bookmarkStart w:id="44" w:name="_Toc11798"/>
      <w:bookmarkStart w:id="45" w:name="_Toc18922"/>
      <w:bookmarkStart w:id="46" w:name="_Toc1808"/>
      <w:bookmarkStart w:id="47" w:name="_Toc27837"/>
      <w:r>
        <w:rPr>
          <w:rFonts w:hint="eastAsia" w:ascii="仿宋" w:hAnsi="仿宋" w:eastAsia="仿宋" w:cs="仿宋"/>
          <w:b/>
          <w:color w:val="auto"/>
          <w:sz w:val="28"/>
          <w:szCs w:val="28"/>
        </w:rPr>
        <w:t>2.存在问题</w:t>
      </w:r>
      <w:bookmarkEnd w:id="39"/>
      <w:bookmarkEnd w:id="40"/>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“十三五”期间，气象事业发展成就显著，但是面对国家现代化治理水平</w:t>
      </w:r>
      <w:r>
        <w:rPr>
          <w:rFonts w:hint="eastAsia" w:ascii="仿宋" w:hAnsi="仿宋" w:eastAsia="仿宋" w:cs="仿宋"/>
          <w:b w:val="0"/>
          <w:bCs w:val="0"/>
          <w:color w:val="auto"/>
          <w:sz w:val="28"/>
          <w:szCs w:val="28"/>
          <w:lang w:val="en-US" w:eastAsia="zh-CN"/>
        </w:rPr>
        <w:t>需求</w:t>
      </w:r>
      <w:r>
        <w:rPr>
          <w:rFonts w:hint="eastAsia" w:ascii="仿宋" w:hAnsi="仿宋" w:eastAsia="仿宋" w:cs="仿宋"/>
          <w:b w:val="0"/>
          <w:bCs w:val="0"/>
          <w:color w:val="auto"/>
          <w:sz w:val="28"/>
          <w:szCs w:val="28"/>
        </w:rPr>
        <w:t>对气象事业指明的新方向，首都区域经济社会发展为气象事业提出的新要求，朝阳区在首都发展战略中的定位对气象事业提出的新挑战，仍然存在一些亟需解决的重点问题。</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bCs/>
          <w:color w:val="auto"/>
          <w:sz w:val="28"/>
          <w:szCs w:val="28"/>
        </w:rPr>
        <w:t>气象监测预报预警能力有待提高。</w:t>
      </w:r>
      <w:r>
        <w:rPr>
          <w:rFonts w:hint="eastAsia" w:ascii="仿宋" w:hAnsi="仿宋" w:eastAsia="仿宋" w:cs="仿宋"/>
          <w:b w:val="0"/>
          <w:bCs w:val="0"/>
          <w:color w:val="auto"/>
          <w:sz w:val="28"/>
          <w:szCs w:val="28"/>
        </w:rPr>
        <w:t>面对日益提高的专项服务需求，缺少特种观测设备。垂直大气的气象监测能力较弱，新型垂直探测设备较少，气象基础设施建设水平有待提高。气象预报预测智能化、信息化水平不足。面对中小尺度突发的区域性强对流天气，机理分析研究不够深入，受限于技术瓶颈，预报预警信息提前量、准确度仍然存在较大不确定性。</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bCs/>
          <w:color w:val="auto"/>
          <w:sz w:val="28"/>
          <w:szCs w:val="28"/>
        </w:rPr>
        <w:t>气象防灾减灾体系建设存在短板。</w:t>
      </w:r>
      <w:r>
        <w:rPr>
          <w:rFonts w:hint="eastAsia" w:ascii="仿宋" w:hAnsi="仿宋" w:eastAsia="仿宋" w:cs="仿宋"/>
          <w:b w:val="0"/>
          <w:bCs w:val="0"/>
          <w:color w:val="auto"/>
          <w:sz w:val="28"/>
          <w:szCs w:val="28"/>
        </w:rPr>
        <w:t>气象灾害预报预警精度、时效仍有不足，现有气象防灾减灾体系中，对全区高隐患点位、承载体脆弱性等情况掌握不够全面，无法有效开展针对性的预报预警提示。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bCs/>
          <w:color w:val="auto"/>
          <w:sz w:val="28"/>
          <w:szCs w:val="28"/>
        </w:rPr>
        <w:t>气象智能科技服务水平亟需加强。</w:t>
      </w:r>
      <w:r>
        <w:rPr>
          <w:rFonts w:hint="eastAsia" w:ascii="仿宋" w:hAnsi="仿宋" w:eastAsia="仿宋" w:cs="仿宋"/>
          <w:b w:val="0"/>
          <w:bCs w:val="0"/>
          <w:color w:val="auto"/>
          <w:sz w:val="28"/>
          <w:szCs w:val="28"/>
        </w:rPr>
        <w:t>气象服务与智能智慧技术间融合仍需深化，朝阳辖区内企业种类多样、重点场馆密集、重大活动频繁，现有的服务技术手段无法充分满足重大活动精细化、公众服务个性化的需求，与“智能感知、精准泛在、情景互动、普惠共享”的要求仍有较大距离。</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bCs/>
          <w:color w:val="auto"/>
          <w:sz w:val="28"/>
          <w:szCs w:val="28"/>
        </w:rPr>
        <w:t>气象行政执法管理现代化水平不足。</w:t>
      </w:r>
      <w:r>
        <w:rPr>
          <w:rFonts w:hint="eastAsia" w:ascii="仿宋" w:hAnsi="仿宋" w:eastAsia="仿宋" w:cs="仿宋"/>
          <w:b w:val="0"/>
          <w:bCs w:val="0"/>
          <w:color w:val="auto"/>
          <w:sz w:val="28"/>
          <w:szCs w:val="28"/>
        </w:rPr>
        <w:t>朝阳区现有气象执法力量，与繁重的气象法治社会管理任务不匹配。全区防雷单位基数大，对于防雷安全隐患单位的排查及监督管理存在盲区，部门间法治联动机制亟待完善。气象行政执法信息化、科技化水平亟待提升。</w:t>
      </w:r>
    </w:p>
    <w:p>
      <w:pPr>
        <w:pStyle w:val="2"/>
        <w:keepNext/>
        <w:keepLines/>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both"/>
        <w:textAlignment w:val="auto"/>
        <w:outlineLvl w:val="0"/>
        <w:rPr>
          <w:rFonts w:hint="default"/>
          <w:b/>
          <w:bCs/>
          <w:color w:val="auto"/>
          <w:sz w:val="36"/>
          <w:szCs w:val="36"/>
        </w:rPr>
      </w:pPr>
      <w:bookmarkStart w:id="48" w:name="_Toc19795"/>
      <w:bookmarkStart w:id="49" w:name="_Toc82608938"/>
      <w:r>
        <w:rPr>
          <w:rFonts w:hint="default"/>
          <w:b/>
          <w:bCs/>
          <w:color w:val="auto"/>
          <w:sz w:val="36"/>
          <w:szCs w:val="36"/>
        </w:rPr>
        <w:t>二</w:t>
      </w:r>
      <w:r>
        <w:rPr>
          <w:rFonts w:hint="eastAsia"/>
          <w:b/>
          <w:bCs/>
          <w:color w:val="auto"/>
          <w:sz w:val="36"/>
          <w:szCs w:val="36"/>
          <w:lang w:eastAsia="zh-CN"/>
        </w:rPr>
        <w:t>、“十四五”时期的</w:t>
      </w:r>
      <w:r>
        <w:rPr>
          <w:rFonts w:hint="default"/>
          <w:b/>
          <w:bCs/>
          <w:color w:val="auto"/>
          <w:sz w:val="36"/>
          <w:szCs w:val="36"/>
        </w:rPr>
        <w:t>发展思路</w:t>
      </w:r>
      <w:bookmarkEnd w:id="41"/>
      <w:bookmarkEnd w:id="42"/>
      <w:bookmarkEnd w:id="43"/>
      <w:bookmarkEnd w:id="44"/>
      <w:bookmarkEnd w:id="45"/>
      <w:bookmarkEnd w:id="46"/>
      <w:bookmarkEnd w:id="47"/>
      <w:bookmarkEnd w:id="48"/>
      <w:bookmarkEnd w:id="49"/>
    </w:p>
    <w:p>
      <w:pPr>
        <w:pStyle w:val="3"/>
        <w:keepNext/>
        <w:keepLines/>
        <w:pageBreakBefore w:val="0"/>
        <w:widowControl w:val="0"/>
        <w:kinsoku/>
        <w:wordWrap/>
        <w:overflowPunct/>
        <w:topLinePunct w:val="0"/>
        <w:autoSpaceDE/>
        <w:autoSpaceDN/>
        <w:bidi w:val="0"/>
        <w:adjustRightInd/>
        <w:snapToGrid w:val="0"/>
        <w:spacing w:before="200" w:beforeLines="0" w:beforeAutospacing="0" w:after="100" w:afterAutospacing="0" w:line="560" w:lineRule="exact"/>
        <w:ind w:left="420" w:leftChars="200" w:right="0" w:rightChars="0" w:firstLine="0" w:firstLineChars="0"/>
        <w:jc w:val="both"/>
        <w:textAlignment w:val="auto"/>
        <w:outlineLvl w:val="1"/>
        <w:rPr>
          <w:rFonts w:hint="default" w:ascii="仿宋" w:hAnsi="仿宋" w:eastAsia="仿宋" w:cs="仿宋"/>
          <w:b/>
          <w:bCs/>
          <w:color w:val="auto"/>
          <w:kern w:val="2"/>
          <w:sz w:val="32"/>
          <w:szCs w:val="32"/>
        </w:rPr>
      </w:pPr>
      <w:bookmarkStart w:id="50" w:name="_Toc32411"/>
      <w:bookmarkStart w:id="51" w:name="_Toc32414"/>
      <w:bookmarkStart w:id="52" w:name="_Toc5399"/>
      <w:bookmarkStart w:id="53" w:name="_Toc82608939"/>
      <w:bookmarkStart w:id="54" w:name="_Toc10523"/>
      <w:bookmarkStart w:id="55" w:name="_Toc31755"/>
      <w:bookmarkStart w:id="56" w:name="_Toc31606"/>
      <w:bookmarkStart w:id="57" w:name="_Toc6712"/>
      <w:bookmarkStart w:id="58" w:name="_Toc25002"/>
      <w:r>
        <w:rPr>
          <w:rFonts w:hint="default" w:ascii="仿宋" w:hAnsi="仿宋" w:eastAsia="仿宋" w:cs="仿宋"/>
          <w:b/>
          <w:bCs/>
          <w:color w:val="auto"/>
          <w:kern w:val="2"/>
          <w:sz w:val="32"/>
          <w:szCs w:val="32"/>
        </w:rPr>
        <w:t>（一）指导思想</w:t>
      </w:r>
      <w:bookmarkEnd w:id="50"/>
      <w:bookmarkEnd w:id="51"/>
      <w:bookmarkEnd w:id="52"/>
      <w:bookmarkEnd w:id="53"/>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坚持以习近平新时代中国特色社会主义思想为指导，以习近平总书记关于气象工作和北京工作的重要指示精神为根本遵循，以满足人民日益增长的美好生活需要为根本宗旨，</w:t>
      </w:r>
      <w:r>
        <w:rPr>
          <w:rFonts w:hint="eastAsia" w:ascii="仿宋" w:hAnsi="仿宋" w:eastAsia="仿宋" w:cs="仿宋"/>
          <w:b w:val="0"/>
          <w:bCs w:val="0"/>
          <w:color w:val="auto"/>
          <w:sz w:val="28"/>
          <w:szCs w:val="28"/>
          <w:lang w:eastAsia="zh-CN"/>
        </w:rPr>
        <w:t>紧密</w:t>
      </w:r>
      <w:r>
        <w:rPr>
          <w:rFonts w:hint="eastAsia" w:ascii="仿宋" w:hAnsi="仿宋" w:eastAsia="仿宋" w:cs="仿宋"/>
          <w:b w:val="0"/>
          <w:bCs w:val="0"/>
          <w:color w:val="auto"/>
          <w:sz w:val="28"/>
          <w:szCs w:val="28"/>
        </w:rPr>
        <w:t>围绕“监测精密、预报精准、服务精细”的发展核心，</w:t>
      </w:r>
      <w:r>
        <w:rPr>
          <w:rFonts w:hint="eastAsia" w:ascii="仿宋" w:hAnsi="仿宋" w:eastAsia="仿宋" w:cs="仿宋"/>
          <w:b w:val="0"/>
          <w:bCs w:val="0"/>
          <w:color w:val="auto"/>
          <w:sz w:val="28"/>
          <w:szCs w:val="28"/>
          <w:lang w:eastAsia="zh-CN"/>
        </w:rPr>
        <w:t>大力推进更高水平气象现代化建设</w:t>
      </w:r>
      <w:r>
        <w:rPr>
          <w:rFonts w:hint="eastAsia" w:ascii="仿宋" w:hAnsi="仿宋" w:eastAsia="仿宋" w:cs="仿宋"/>
          <w:b w:val="0"/>
          <w:bCs w:val="0"/>
          <w:color w:val="auto"/>
          <w:sz w:val="28"/>
          <w:szCs w:val="28"/>
        </w:rPr>
        <w:t>。高度融入区域发展，</w:t>
      </w:r>
      <w:r>
        <w:rPr>
          <w:rFonts w:hint="eastAsia" w:ascii="仿宋" w:hAnsi="仿宋" w:eastAsia="仿宋" w:cs="仿宋"/>
          <w:b w:val="0"/>
          <w:bCs w:val="0"/>
          <w:color w:val="auto"/>
          <w:sz w:val="28"/>
          <w:szCs w:val="28"/>
          <w:lang w:eastAsia="zh-CN"/>
        </w:rPr>
        <w:t>着力提升气象监测预报预警能力，</w:t>
      </w:r>
      <w:r>
        <w:rPr>
          <w:rFonts w:hint="eastAsia" w:ascii="仿宋" w:hAnsi="仿宋" w:eastAsia="仿宋" w:cs="仿宋"/>
          <w:b w:val="0"/>
          <w:bCs w:val="0"/>
          <w:color w:val="auto"/>
          <w:sz w:val="28"/>
          <w:szCs w:val="28"/>
        </w:rPr>
        <w:t>发挥气象防灾减灾第一道防线作用</w:t>
      </w:r>
      <w:r>
        <w:rPr>
          <w:rFonts w:hint="eastAsia" w:ascii="仿宋" w:hAnsi="仿宋" w:eastAsia="仿宋" w:cs="仿宋"/>
          <w:b w:val="0"/>
          <w:bCs w:val="0"/>
          <w:color w:val="auto"/>
          <w:sz w:val="28"/>
          <w:szCs w:val="28"/>
          <w:lang w:eastAsia="zh-CN"/>
        </w:rPr>
        <w:t>，提升公共气象服务水平和生态文明建设气象服务水平，</w:t>
      </w:r>
      <w:r>
        <w:rPr>
          <w:rFonts w:hint="eastAsia" w:ascii="仿宋" w:hAnsi="仿宋" w:eastAsia="仿宋" w:cs="仿宋"/>
          <w:b w:val="0"/>
          <w:bCs w:val="0"/>
          <w:color w:val="auto"/>
          <w:sz w:val="28"/>
          <w:szCs w:val="28"/>
        </w:rPr>
        <w:t>为</w:t>
      </w:r>
      <w:r>
        <w:rPr>
          <w:rFonts w:hint="eastAsia" w:ascii="仿宋" w:hAnsi="仿宋" w:eastAsia="仿宋" w:cs="仿宋"/>
          <w:b w:val="0"/>
          <w:bCs w:val="0"/>
          <w:color w:val="auto"/>
          <w:sz w:val="28"/>
          <w:szCs w:val="28"/>
          <w:lang w:eastAsia="zh-CN"/>
        </w:rPr>
        <w:t>朝阳区建成具有广泛国际影响力和竞争力的和谐宜居国际化城区</w:t>
      </w:r>
      <w:r>
        <w:rPr>
          <w:rFonts w:hint="eastAsia" w:ascii="仿宋" w:hAnsi="仿宋" w:eastAsia="仿宋" w:cs="仿宋"/>
          <w:b w:val="0"/>
          <w:bCs w:val="0"/>
          <w:color w:val="auto"/>
          <w:sz w:val="28"/>
          <w:szCs w:val="28"/>
        </w:rPr>
        <w:t>提供前沿气象专业支撑。</w:t>
      </w:r>
    </w:p>
    <w:p>
      <w:pPr>
        <w:pStyle w:val="3"/>
        <w:keepNext/>
        <w:keepLines/>
        <w:pageBreakBefore w:val="0"/>
        <w:widowControl w:val="0"/>
        <w:kinsoku/>
        <w:wordWrap/>
        <w:overflowPunct/>
        <w:topLinePunct w:val="0"/>
        <w:autoSpaceDE/>
        <w:autoSpaceDN/>
        <w:bidi w:val="0"/>
        <w:adjustRightInd/>
        <w:snapToGrid w:val="0"/>
        <w:spacing w:before="200" w:beforeLines="0" w:beforeAutospacing="0" w:after="100" w:afterAutospacing="0" w:line="560" w:lineRule="exact"/>
        <w:ind w:left="420" w:leftChars="200" w:right="0" w:rightChars="0" w:firstLine="0" w:firstLineChars="0"/>
        <w:jc w:val="both"/>
        <w:textAlignment w:val="auto"/>
        <w:outlineLvl w:val="1"/>
        <w:rPr>
          <w:rFonts w:hint="default" w:ascii="仿宋" w:hAnsi="仿宋" w:eastAsia="仿宋" w:cs="仿宋"/>
          <w:b/>
          <w:bCs/>
          <w:color w:val="auto"/>
          <w:kern w:val="2"/>
          <w:sz w:val="32"/>
          <w:szCs w:val="32"/>
        </w:rPr>
      </w:pPr>
      <w:bookmarkStart w:id="59" w:name="_Toc2611"/>
      <w:bookmarkStart w:id="60" w:name="_Toc14395"/>
      <w:bookmarkStart w:id="61" w:name="_Toc30389"/>
      <w:bookmarkStart w:id="62" w:name="_Toc20919"/>
      <w:bookmarkStart w:id="63" w:name="_Toc18373"/>
      <w:bookmarkStart w:id="64" w:name="_Toc12729"/>
      <w:bookmarkStart w:id="65" w:name="_Toc82608940"/>
      <w:bookmarkStart w:id="66" w:name="_Toc4076"/>
      <w:r>
        <w:rPr>
          <w:rFonts w:hint="default" w:ascii="仿宋" w:hAnsi="仿宋" w:eastAsia="仿宋" w:cs="仿宋"/>
          <w:b/>
          <w:bCs/>
          <w:color w:val="auto"/>
          <w:kern w:val="2"/>
          <w:sz w:val="32"/>
          <w:szCs w:val="32"/>
        </w:rPr>
        <w:t>（二）编制依据</w:t>
      </w:r>
      <w:bookmarkEnd w:id="59"/>
      <w:bookmarkEnd w:id="60"/>
      <w:bookmarkEnd w:id="61"/>
      <w:bookmarkEnd w:id="62"/>
      <w:bookmarkEnd w:id="63"/>
      <w:bookmarkEnd w:id="64"/>
      <w:bookmarkEnd w:id="65"/>
      <w:bookmarkEnd w:id="66"/>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1.《中华人民共和国气象法》；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2.《北京城市总体规划（2016—2035年）》；</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3.《京津冀协同发展规划纲要》；</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4.《全国气象现代化发展纲要（2015—2030年）》；</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5.《北京市气象灾害防御条例》；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6.《北京市朝阳区国民经济和社会发展第十四个五年规划和二〇三五年远景目标纲要》；</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7.《朝阳分区规划（国土空间规划）（2017年—2035年）》；</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8.《北京市气象局“双争”行动实施方案（2021—2023年）》；</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9.《北京市“十四五”时期气象事业发展规划》；</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.《气象观测技术发展引领计划（2020—2035年）》。</w:t>
      </w:r>
    </w:p>
    <w:p>
      <w:pPr>
        <w:pStyle w:val="3"/>
        <w:keepNext/>
        <w:keepLines/>
        <w:pageBreakBefore w:val="0"/>
        <w:widowControl w:val="0"/>
        <w:kinsoku/>
        <w:wordWrap/>
        <w:overflowPunct/>
        <w:topLinePunct w:val="0"/>
        <w:autoSpaceDE/>
        <w:autoSpaceDN/>
        <w:bidi w:val="0"/>
        <w:adjustRightInd/>
        <w:snapToGrid w:val="0"/>
        <w:spacing w:before="200" w:beforeLines="0" w:beforeAutospacing="0" w:after="100" w:afterAutospacing="0" w:line="560" w:lineRule="exact"/>
        <w:ind w:left="420" w:leftChars="200" w:right="0" w:rightChars="0" w:firstLine="0" w:firstLineChars="0"/>
        <w:jc w:val="both"/>
        <w:textAlignment w:val="auto"/>
        <w:outlineLvl w:val="1"/>
        <w:rPr>
          <w:rFonts w:hint="default" w:ascii="仿宋" w:hAnsi="仿宋" w:eastAsia="仿宋" w:cs="仿宋"/>
          <w:b/>
          <w:bCs/>
          <w:color w:val="auto"/>
          <w:kern w:val="2"/>
          <w:sz w:val="32"/>
          <w:szCs w:val="32"/>
        </w:rPr>
      </w:pPr>
      <w:bookmarkStart w:id="67" w:name="_Toc9887"/>
      <w:bookmarkStart w:id="68" w:name="_Toc27685"/>
      <w:bookmarkStart w:id="69" w:name="_Toc28953"/>
      <w:bookmarkStart w:id="70" w:name="_Toc82608941"/>
      <w:bookmarkStart w:id="71" w:name="_Toc29236"/>
      <w:bookmarkStart w:id="72" w:name="_Toc30543"/>
      <w:bookmarkStart w:id="73" w:name="_Toc28846"/>
      <w:bookmarkStart w:id="74" w:name="_Toc19766"/>
      <w:r>
        <w:rPr>
          <w:rFonts w:hint="default" w:ascii="仿宋" w:hAnsi="仿宋" w:eastAsia="仿宋" w:cs="仿宋"/>
          <w:b/>
          <w:bCs/>
          <w:color w:val="auto"/>
          <w:kern w:val="2"/>
          <w:sz w:val="32"/>
          <w:szCs w:val="32"/>
        </w:rPr>
        <w:t>（三）规划期限</w:t>
      </w:r>
      <w:bookmarkEnd w:id="67"/>
      <w:bookmarkEnd w:id="68"/>
      <w:bookmarkEnd w:id="69"/>
      <w:bookmarkEnd w:id="70"/>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本规划期限为2021年至2025年，明确到2025年北京市朝阳区气象事业发展的主要任务及工程。</w:t>
      </w:r>
    </w:p>
    <w:p>
      <w:pPr>
        <w:pStyle w:val="3"/>
        <w:keepNext/>
        <w:keepLines/>
        <w:pageBreakBefore w:val="0"/>
        <w:widowControl w:val="0"/>
        <w:kinsoku/>
        <w:wordWrap/>
        <w:overflowPunct/>
        <w:topLinePunct w:val="0"/>
        <w:autoSpaceDE/>
        <w:autoSpaceDN/>
        <w:bidi w:val="0"/>
        <w:adjustRightInd/>
        <w:snapToGrid w:val="0"/>
        <w:spacing w:before="200" w:beforeLines="0" w:beforeAutospacing="0" w:after="100" w:afterAutospacing="0" w:line="560" w:lineRule="exact"/>
        <w:ind w:left="420" w:leftChars="200" w:right="0" w:rightChars="0" w:firstLine="0" w:firstLineChars="0"/>
        <w:jc w:val="both"/>
        <w:textAlignment w:val="auto"/>
        <w:outlineLvl w:val="1"/>
        <w:rPr>
          <w:rFonts w:hint="default" w:ascii="仿宋" w:hAnsi="仿宋" w:eastAsia="仿宋" w:cs="仿宋"/>
          <w:b/>
          <w:bCs/>
          <w:color w:val="auto"/>
          <w:kern w:val="2"/>
          <w:sz w:val="32"/>
          <w:szCs w:val="32"/>
        </w:rPr>
      </w:pPr>
      <w:bookmarkStart w:id="75" w:name="_Toc31614"/>
      <w:bookmarkStart w:id="76" w:name="_Toc7805"/>
      <w:bookmarkStart w:id="77" w:name="_Toc13747"/>
      <w:bookmarkStart w:id="78" w:name="_Toc5806"/>
      <w:bookmarkStart w:id="79" w:name="_Toc27520"/>
      <w:bookmarkStart w:id="80" w:name="_Toc26518"/>
      <w:bookmarkStart w:id="81" w:name="_Toc538"/>
      <w:bookmarkStart w:id="82" w:name="_Toc21662"/>
      <w:bookmarkStart w:id="83" w:name="_Toc82608942"/>
      <w:r>
        <w:rPr>
          <w:rFonts w:hint="default" w:ascii="仿宋" w:hAnsi="仿宋" w:eastAsia="仿宋" w:cs="仿宋"/>
          <w:b/>
          <w:bCs/>
          <w:color w:val="auto"/>
          <w:kern w:val="2"/>
          <w:sz w:val="32"/>
          <w:szCs w:val="32"/>
        </w:rPr>
        <w:t>（四）基本原则</w:t>
      </w:r>
      <w:bookmarkEnd w:id="75"/>
      <w:bookmarkEnd w:id="76"/>
      <w:bookmarkEnd w:id="77"/>
      <w:bookmarkEnd w:id="78"/>
      <w:bookmarkEnd w:id="79"/>
      <w:bookmarkEnd w:id="80"/>
      <w:bookmarkEnd w:id="81"/>
      <w:bookmarkEnd w:id="82"/>
      <w:bookmarkEnd w:id="83"/>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坚持面向需求，服务引领。</w:t>
      </w:r>
      <w:r>
        <w:rPr>
          <w:rFonts w:hint="eastAsia" w:ascii="仿宋" w:hAnsi="仿宋" w:eastAsia="仿宋" w:cs="仿宋"/>
          <w:color w:val="auto"/>
          <w:sz w:val="28"/>
          <w:szCs w:val="28"/>
        </w:rPr>
        <w:t>围绕国家、北京市、朝阳区“十四五”期间实施的一系列重大发展战略，重点关注朝阳气象事业发展新要求、新需求、新挑战，以保障人民生命安全、生产发展、生活富裕、生态良好为最终目的，提升气象服务保障能力，充分发挥防灾减灾第一道防线作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坚持开放合作，融</w:t>
      </w:r>
      <w:r>
        <w:rPr>
          <w:rFonts w:hint="eastAsia" w:ascii="仿宋" w:hAnsi="仿宋" w:eastAsia="仿宋" w:cs="仿宋"/>
          <w:b/>
          <w:bCs/>
          <w:color w:val="auto"/>
          <w:sz w:val="28"/>
          <w:szCs w:val="28"/>
          <w:lang w:eastAsia="zh-CN"/>
        </w:rPr>
        <w:t>合</w:t>
      </w:r>
      <w:r>
        <w:rPr>
          <w:rFonts w:hint="eastAsia" w:ascii="仿宋" w:hAnsi="仿宋" w:eastAsia="仿宋" w:cs="仿宋"/>
          <w:b/>
          <w:bCs/>
          <w:color w:val="auto"/>
          <w:sz w:val="28"/>
          <w:szCs w:val="28"/>
        </w:rPr>
        <w:t>发展。</w:t>
      </w:r>
      <w:r>
        <w:rPr>
          <w:rFonts w:hint="eastAsia" w:ascii="仿宋" w:hAnsi="仿宋" w:eastAsia="仿宋" w:cs="仿宋"/>
          <w:color w:val="auto"/>
          <w:sz w:val="28"/>
          <w:szCs w:val="28"/>
        </w:rPr>
        <w:t>加强开放和合作，集成相关部门的人才、技术、资源优势，营造多部门互相配合和共享的气象发展环境。做好本规划与市级气象规划、区级相关专项规划的衔接，促进气象事业的协调发展。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坚持统筹规划，突出重点。</w:t>
      </w:r>
      <w:r>
        <w:rPr>
          <w:rFonts w:hint="eastAsia" w:ascii="仿宋" w:hAnsi="仿宋" w:eastAsia="仿宋" w:cs="仿宋"/>
          <w:color w:val="auto"/>
          <w:sz w:val="28"/>
          <w:szCs w:val="28"/>
        </w:rPr>
        <w:t>按照国家、北京气象事业的整体发展要求，结合朝阳区气象工作的基础、面临的挑战和需求，挖掘制约气象事业发展的瓶颈问题，突出重点，分批推进，逐步完成各阶段重点目标。</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ascii="Times New Roman" w:hAnsi="Times New Roman" w:eastAsia="楷体" w:cs="Times New Roman"/>
          <w:color w:val="auto"/>
          <w:sz w:val="28"/>
          <w:szCs w:val="28"/>
        </w:rPr>
      </w:pPr>
      <w:r>
        <w:rPr>
          <w:rFonts w:hint="eastAsia" w:ascii="仿宋" w:hAnsi="仿宋" w:eastAsia="仿宋" w:cs="仿宋"/>
          <w:b/>
          <w:bCs/>
          <w:color w:val="auto"/>
          <w:sz w:val="28"/>
          <w:szCs w:val="28"/>
        </w:rPr>
        <w:t>坚持科技引领，人才兴业。</w:t>
      </w:r>
      <w:r>
        <w:rPr>
          <w:rFonts w:hint="eastAsia" w:ascii="仿宋" w:hAnsi="仿宋" w:eastAsia="仿宋" w:cs="仿宋"/>
          <w:color w:val="auto"/>
          <w:sz w:val="28"/>
          <w:szCs w:val="28"/>
        </w:rPr>
        <w:t>依靠科技和人才“双驱动”，不断提升气象科技创新能力，借助大数据、人工智能等新一代信息技术驱动科技创新，以提升“四个能力”为目标，提高朝阳智慧气象水平。</w:t>
      </w:r>
    </w:p>
    <w:p>
      <w:pPr>
        <w:pStyle w:val="3"/>
        <w:keepNext/>
        <w:keepLines/>
        <w:pageBreakBefore w:val="0"/>
        <w:widowControl w:val="0"/>
        <w:kinsoku/>
        <w:wordWrap/>
        <w:overflowPunct/>
        <w:topLinePunct w:val="0"/>
        <w:autoSpaceDE/>
        <w:autoSpaceDN/>
        <w:bidi w:val="0"/>
        <w:adjustRightInd/>
        <w:snapToGrid w:val="0"/>
        <w:spacing w:before="200" w:beforeLines="0" w:beforeAutospacing="0" w:after="100" w:afterAutospacing="0" w:line="560" w:lineRule="exact"/>
        <w:ind w:left="420" w:leftChars="200" w:right="0" w:rightChars="0" w:firstLine="0" w:firstLineChars="0"/>
        <w:jc w:val="both"/>
        <w:textAlignment w:val="auto"/>
        <w:outlineLvl w:val="1"/>
        <w:rPr>
          <w:rFonts w:hint="default" w:ascii="仿宋" w:hAnsi="仿宋" w:eastAsia="仿宋" w:cs="仿宋"/>
          <w:b/>
          <w:bCs/>
          <w:color w:val="auto"/>
          <w:kern w:val="2"/>
          <w:sz w:val="32"/>
          <w:szCs w:val="32"/>
        </w:rPr>
      </w:pPr>
      <w:bookmarkStart w:id="84" w:name="_Toc29130"/>
      <w:bookmarkStart w:id="85" w:name="_Toc15410"/>
      <w:bookmarkStart w:id="86" w:name="_Toc21096"/>
      <w:bookmarkStart w:id="87" w:name="_Toc82608943"/>
      <w:bookmarkStart w:id="88" w:name="_Toc7297"/>
      <w:bookmarkStart w:id="89" w:name="_Toc24767"/>
      <w:bookmarkStart w:id="90" w:name="_Toc8755"/>
      <w:bookmarkStart w:id="91" w:name="_Toc17503"/>
      <w:bookmarkStart w:id="92" w:name="_Toc29066"/>
      <w:r>
        <w:rPr>
          <w:rFonts w:hint="default" w:ascii="仿宋" w:hAnsi="仿宋" w:eastAsia="仿宋" w:cs="仿宋"/>
          <w:b/>
          <w:bCs/>
          <w:color w:val="auto"/>
          <w:kern w:val="2"/>
          <w:sz w:val="32"/>
          <w:szCs w:val="32"/>
        </w:rPr>
        <w:t>（五）发展目标</w:t>
      </w:r>
      <w:bookmarkEnd w:id="84"/>
      <w:bookmarkEnd w:id="85"/>
      <w:bookmarkEnd w:id="86"/>
      <w:bookmarkEnd w:id="87"/>
      <w:bookmarkEnd w:id="88"/>
      <w:bookmarkEnd w:id="89"/>
      <w:bookmarkEnd w:id="90"/>
      <w:bookmarkEnd w:id="91"/>
      <w:bookmarkEnd w:id="92"/>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rPr>
        <w:t>积极融入朝阳区“十四五”战略发展，</w:t>
      </w:r>
      <w:r>
        <w:rPr>
          <w:rFonts w:hint="eastAsia" w:ascii="仿宋" w:hAnsi="仿宋" w:eastAsia="仿宋" w:cs="仿宋"/>
          <w:color w:val="auto"/>
          <w:sz w:val="28"/>
          <w:szCs w:val="28"/>
          <w:highlight w:val="none"/>
        </w:rPr>
        <w:t>结合气象事业特点，坚持首善标准，发挥气象事业服务朝</w:t>
      </w:r>
      <w:r>
        <w:rPr>
          <w:rFonts w:hint="eastAsia" w:ascii="仿宋" w:hAnsi="仿宋" w:eastAsia="仿宋" w:cs="仿宋"/>
          <w:b w:val="0"/>
          <w:bCs w:val="0"/>
          <w:color w:val="auto"/>
          <w:sz w:val="28"/>
          <w:szCs w:val="28"/>
          <w:highlight w:val="none"/>
        </w:rPr>
        <w:t>阳区建设的基础性支撑作用。到2025年，基本建成以智慧气象为重要标志的“国内一流、全市领先、监测精密、预报精准、服务精细”的系统化气象业务体系，为把朝阳打造成为首都高质量发展示范区、文化创新</w:t>
      </w:r>
      <w:r>
        <w:rPr>
          <w:rFonts w:hint="eastAsia" w:ascii="仿宋" w:hAnsi="仿宋" w:eastAsia="仿宋" w:cs="仿宋"/>
          <w:color w:val="auto"/>
          <w:sz w:val="28"/>
          <w:szCs w:val="28"/>
          <w:highlight w:val="none"/>
        </w:rPr>
        <w:t>引领区、国际交往中心区、绿色</w:t>
      </w:r>
      <w:r>
        <w:rPr>
          <w:rFonts w:hint="eastAsia" w:ascii="仿宋" w:hAnsi="仿宋" w:eastAsia="仿宋" w:cs="仿宋"/>
          <w:color w:val="auto"/>
          <w:sz w:val="28"/>
          <w:szCs w:val="28"/>
          <w:highlight w:val="none"/>
          <w:lang w:eastAsia="zh-CN"/>
        </w:rPr>
        <w:t>宜居</w:t>
      </w:r>
      <w:r>
        <w:rPr>
          <w:rFonts w:hint="eastAsia" w:ascii="仿宋" w:hAnsi="仿宋" w:eastAsia="仿宋" w:cs="仿宋"/>
          <w:color w:val="auto"/>
          <w:sz w:val="28"/>
          <w:szCs w:val="28"/>
          <w:highlight w:val="none"/>
        </w:rPr>
        <w:t>标杆区提供有力支撑保障。</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93" w:name="_Toc21473"/>
      <w:r>
        <w:rPr>
          <w:rFonts w:hint="eastAsia" w:ascii="仿宋" w:hAnsi="仿宋" w:eastAsia="仿宋" w:cs="仿宋"/>
          <w:b/>
          <w:color w:val="auto"/>
          <w:sz w:val="28"/>
          <w:szCs w:val="28"/>
        </w:rPr>
        <w:t>1.构建精密化、多功能的气象监测体系</w:t>
      </w:r>
      <w:bookmarkEnd w:id="93"/>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建设分辨率更高、感知度更强的气象观测网络。开展“一网多能”建设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优化现有监测台站设备，丰富监测要素内容，实现基本气象要素分钟级全空间覆盖。开展天气现象自动化智能识别设备应用，提供朝阳区高精度分辨率的气温、风、降水等气象监测数据服务资源。</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94" w:name="_Toc2009"/>
      <w:r>
        <w:rPr>
          <w:rFonts w:hint="eastAsia" w:ascii="仿宋" w:hAnsi="仿宋" w:eastAsia="仿宋" w:cs="仿宋"/>
          <w:b/>
          <w:color w:val="auto"/>
          <w:sz w:val="28"/>
          <w:szCs w:val="28"/>
        </w:rPr>
        <w:t>2.完善精准化、多要素的气象预报预警体系</w:t>
      </w:r>
      <w:bookmarkEnd w:id="94"/>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提升气象预报精准化，加强暴雨、雷电等高影响灾害性天气预警能力，2025年强对流天气平均预警提前量达到80分钟以上。利用智能网格预报模型，实现短时临近、短中期、延伸期及气候气象预报预测及时、精准、高效。针对奥体中心区、国家体育场、国家会议中心等大型活动场馆及关键区域提供0-24小时的逐小时，以及10天以内的逐3小时的1公里网格化多种气象要素预报产品，使朝阳区重大活动和突发事件气象服务保障能力达国内领先水平。</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95" w:name="_Toc17758"/>
      <w:r>
        <w:rPr>
          <w:rFonts w:hint="eastAsia" w:ascii="仿宋" w:hAnsi="仿宋" w:eastAsia="仿宋" w:cs="仿宋"/>
          <w:b/>
          <w:color w:val="auto"/>
          <w:sz w:val="28"/>
          <w:szCs w:val="28"/>
        </w:rPr>
        <w:t>3.建设智慧化、多样性的气象服务体系</w:t>
      </w:r>
      <w:bookmarkEnd w:id="95"/>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强化朝阳重大活动保障能力。明晰“十四五”期间朝阳重大活动保障需求，针对关键区域，强化移动端设备应用，完善多种气象要素、百米级、逐小时、动态可视化的实况和预报水平，动态跟踪活动进程，提供逐3小时更新的气象风险评估分析产品，全面提升重大活动保障力度。</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提高朝阳气象公共服务水平。融合朝阳区发展规划，发挥气象对城市运行支撑和保障作用，提升朝阳气象在城市安全、生态环境、交通运输、智慧农业等方面的专项服务水平。构建均等化、个性化的公共气象服务体系，创造智慧型、多样化气象服务模式，保持公众气象服务满意度在较高水平。</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完善气象防灾减灾体系建设。构建全链条风险管理模式，挖掘典型气象灾害案例，开展承灾载体、致灾因子、应急管理等防灾减灾要素分析，制定气象风险区划机制，提升气象风险预警靶向发布水平，探索风险转移有效路径，全面提升朝阳气象防灾减灾能力。</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96" w:name="_Toc2422"/>
      <w:r>
        <w:rPr>
          <w:rFonts w:hint="eastAsia" w:ascii="仿宋" w:hAnsi="仿宋" w:eastAsia="仿宋" w:cs="仿宋"/>
          <w:b/>
          <w:color w:val="auto"/>
          <w:sz w:val="28"/>
          <w:szCs w:val="28"/>
        </w:rPr>
        <w:t>4.建设全方面、多元化的气象科普体系</w:t>
      </w:r>
      <w:bookmarkEnd w:id="96"/>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继续强化线下气象科普宣传力度，创办全国气象科普教育基地，开拓渠道发展线上科普平台及产品，扩大科普宣教受众面。收集社会关注热点，丰富现有宣传视频种类，挖掘公众对气象知识的探索兴趣，显著提高公众知识普及程度，增加全民气象科学素养。</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97" w:name="_Toc27750"/>
      <w:r>
        <w:rPr>
          <w:rFonts w:hint="eastAsia" w:ascii="仿宋" w:hAnsi="仿宋" w:eastAsia="仿宋" w:cs="仿宋"/>
          <w:b/>
          <w:color w:val="auto"/>
          <w:sz w:val="28"/>
          <w:szCs w:val="28"/>
        </w:rPr>
        <w:t>5.建设智能化、规范化的气象管理体系</w:t>
      </w:r>
      <w:bookmarkEnd w:id="97"/>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深化部门合作，利用联合发文、联合执法等方式，推行“互联网+监管”、“执法+专家”模式，实现监管方式向智能化、数字化、精准化方向转变，进一步提升监管效能，提升行业监管和依法行政能力，规范行政审批流程，提高气象社会管理水平。</w:t>
      </w:r>
    </w:p>
    <w:p>
      <w:pPr>
        <w:snapToGrid w:val="0"/>
        <w:spacing w:line="480" w:lineRule="exact"/>
        <w:jc w:val="center"/>
        <w:rPr>
          <w:rFonts w:hint="eastAsia" w:ascii="仿宋" w:hAnsi="仿宋" w:eastAsia="仿宋" w:cs="仿宋"/>
          <w:b/>
          <w:bCs/>
          <w:color w:val="auto"/>
          <w:sz w:val="28"/>
          <w:szCs w:val="28"/>
        </w:rPr>
      </w:pPr>
      <w:bookmarkStart w:id="98" w:name="_Toc1144"/>
      <w:bookmarkStart w:id="99" w:name="_Toc25921"/>
      <w:bookmarkStart w:id="100" w:name="_Toc5912"/>
      <w:bookmarkStart w:id="101" w:name="_Toc5783"/>
      <w:bookmarkStart w:id="102" w:name="_Toc30003"/>
      <w:bookmarkStart w:id="103" w:name="_Toc10637"/>
      <w:bookmarkStart w:id="104" w:name="_Toc28107"/>
      <w:r>
        <w:rPr>
          <w:rFonts w:hint="eastAsia" w:ascii="仿宋" w:hAnsi="仿宋" w:eastAsia="仿宋" w:cs="仿宋"/>
          <w:b/>
          <w:bCs/>
          <w:color w:val="auto"/>
          <w:sz w:val="28"/>
          <w:szCs w:val="28"/>
          <w:lang w:eastAsia="zh-CN"/>
        </w:rPr>
        <w:t>表</w:t>
      </w:r>
      <w:r>
        <w:rPr>
          <w:rFonts w:hint="eastAsia" w:ascii="仿宋" w:hAnsi="仿宋" w:eastAsia="仿宋" w:cs="仿宋"/>
          <w:b/>
          <w:bCs/>
          <w:color w:val="auto"/>
          <w:sz w:val="28"/>
          <w:szCs w:val="28"/>
          <w:lang w:val="en-US" w:eastAsia="zh-CN"/>
        </w:rPr>
        <w:t xml:space="preserve">1. </w:t>
      </w:r>
      <w:r>
        <w:rPr>
          <w:rFonts w:hint="eastAsia" w:ascii="仿宋" w:hAnsi="仿宋" w:eastAsia="仿宋" w:cs="仿宋"/>
          <w:b/>
          <w:bCs/>
          <w:color w:val="auto"/>
          <w:sz w:val="28"/>
          <w:szCs w:val="28"/>
        </w:rPr>
        <w:t>“十四五”时期朝阳区气象发展主要指标表</w:t>
      </w:r>
    </w:p>
    <w:tbl>
      <w:tblPr>
        <w:tblStyle w:val="26"/>
        <w:tblW w:w="89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4"/>
        <w:gridCol w:w="2448"/>
        <w:gridCol w:w="1701"/>
        <w:gridCol w:w="3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jc w:val="center"/>
        </w:trPr>
        <w:tc>
          <w:tcPr>
            <w:tcW w:w="1414" w:type="dxa"/>
            <w:vAlign w:val="center"/>
          </w:tcPr>
          <w:p>
            <w:pPr>
              <w:snapToGrid w:val="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类别</w:t>
            </w:r>
          </w:p>
        </w:tc>
        <w:tc>
          <w:tcPr>
            <w:tcW w:w="2448" w:type="dxa"/>
            <w:vAlign w:val="center"/>
          </w:tcPr>
          <w:p>
            <w:pPr>
              <w:snapToGrid w:val="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指标</w:t>
            </w:r>
          </w:p>
        </w:tc>
        <w:tc>
          <w:tcPr>
            <w:tcW w:w="1701" w:type="dxa"/>
            <w:vAlign w:val="center"/>
          </w:tcPr>
          <w:p>
            <w:pPr>
              <w:snapToGrid w:val="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“十三五”</w:t>
            </w:r>
          </w:p>
        </w:tc>
        <w:tc>
          <w:tcPr>
            <w:tcW w:w="3378" w:type="dxa"/>
            <w:vAlign w:val="center"/>
          </w:tcPr>
          <w:p>
            <w:pPr>
              <w:snapToGrid w:val="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“十四五”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08" w:hRule="atLeast"/>
          <w:jc w:val="center"/>
        </w:trPr>
        <w:tc>
          <w:tcPr>
            <w:tcW w:w="1414" w:type="dxa"/>
            <w:vAlign w:val="center"/>
          </w:tcPr>
          <w:p>
            <w:pPr>
              <w:snapToGrid w:val="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监测精密</w:t>
            </w:r>
          </w:p>
        </w:tc>
        <w:tc>
          <w:tcPr>
            <w:tcW w:w="2448" w:type="dxa"/>
            <w:vAlign w:val="center"/>
          </w:tcPr>
          <w:p>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关键区域地面气温、风、相对湿度、降水气象监测网格化实况产品</w:t>
            </w:r>
          </w:p>
        </w:tc>
        <w:tc>
          <w:tcPr>
            <w:tcW w:w="1701" w:type="dxa"/>
            <w:vAlign w:val="center"/>
          </w:tcPr>
          <w:p>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平均间距</w:t>
            </w:r>
          </w:p>
          <w:p>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3—4公里的站点产品</w:t>
            </w:r>
          </w:p>
        </w:tc>
        <w:tc>
          <w:tcPr>
            <w:tcW w:w="3378" w:type="dxa"/>
            <w:vAlign w:val="center"/>
          </w:tcPr>
          <w:p>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分辨率为1公里的网格化插值产品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211" w:hRule="atLeast"/>
          <w:jc w:val="center"/>
        </w:trPr>
        <w:tc>
          <w:tcPr>
            <w:tcW w:w="1414" w:type="dxa"/>
            <w:vAlign w:val="center"/>
          </w:tcPr>
          <w:p>
            <w:pPr>
              <w:snapToGrid w:val="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预报精准</w:t>
            </w:r>
          </w:p>
        </w:tc>
        <w:tc>
          <w:tcPr>
            <w:tcW w:w="2448" w:type="dxa"/>
            <w:vAlign w:val="center"/>
          </w:tcPr>
          <w:p>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暴雨、雷电等高影响气象灾害预警提前量</w:t>
            </w:r>
          </w:p>
        </w:tc>
        <w:tc>
          <w:tcPr>
            <w:tcW w:w="1701" w:type="dxa"/>
            <w:vAlign w:val="center"/>
          </w:tcPr>
          <w:p>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77分钟</w:t>
            </w:r>
          </w:p>
        </w:tc>
        <w:tc>
          <w:tcPr>
            <w:tcW w:w="3378" w:type="dxa"/>
            <w:vAlign w:val="center"/>
          </w:tcPr>
          <w:p>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≥80分钟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835" w:hRule="atLeast"/>
          <w:jc w:val="center"/>
        </w:trPr>
        <w:tc>
          <w:tcPr>
            <w:tcW w:w="1414" w:type="dxa"/>
            <w:vMerge w:val="restart"/>
            <w:vAlign w:val="center"/>
          </w:tcPr>
          <w:p>
            <w:pPr>
              <w:snapToGrid w:val="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服务精细</w:t>
            </w:r>
          </w:p>
          <w:p>
            <w:pPr>
              <w:snapToGrid w:val="0"/>
              <w:jc w:val="center"/>
              <w:rPr>
                <w:rFonts w:hint="eastAsia" w:ascii="仿宋" w:hAnsi="仿宋" w:eastAsia="仿宋" w:cs="仿宋"/>
                <w:b/>
                <w:bCs/>
                <w:color w:val="auto"/>
                <w:sz w:val="28"/>
                <w:szCs w:val="28"/>
              </w:rPr>
            </w:pPr>
          </w:p>
        </w:tc>
        <w:tc>
          <w:tcPr>
            <w:tcW w:w="2448" w:type="dxa"/>
            <w:vAlign w:val="center"/>
          </w:tcPr>
          <w:p>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重大活动气象服务精细化能力</w:t>
            </w:r>
          </w:p>
        </w:tc>
        <w:tc>
          <w:tcPr>
            <w:tcW w:w="1701" w:type="dxa"/>
            <w:vAlign w:val="center"/>
          </w:tcPr>
          <w:p>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0-1天逐小时预报，2-10天逐三小时预报</w:t>
            </w:r>
          </w:p>
        </w:tc>
        <w:tc>
          <w:tcPr>
            <w:tcW w:w="3378" w:type="dxa"/>
            <w:vAlign w:val="center"/>
          </w:tcPr>
          <w:p>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提供基于移动端的关键区域、多种气象要素、百米级、逐小时、动态可视化的实况和预报产品。并提供逐3小时更新的气象风险评估分析产品。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4" w:hRule="atLeast"/>
          <w:jc w:val="center"/>
        </w:trPr>
        <w:tc>
          <w:tcPr>
            <w:tcW w:w="1414" w:type="dxa"/>
            <w:vMerge w:val="continue"/>
            <w:vAlign w:val="center"/>
          </w:tcPr>
          <w:p>
            <w:pPr>
              <w:snapToGrid w:val="0"/>
              <w:jc w:val="center"/>
              <w:rPr>
                <w:rFonts w:hint="eastAsia" w:ascii="仿宋" w:hAnsi="仿宋" w:eastAsia="仿宋" w:cs="仿宋"/>
                <w:b/>
                <w:bCs/>
                <w:color w:val="auto"/>
                <w:sz w:val="28"/>
                <w:szCs w:val="28"/>
              </w:rPr>
            </w:pPr>
          </w:p>
        </w:tc>
        <w:tc>
          <w:tcPr>
            <w:tcW w:w="2448" w:type="dxa"/>
            <w:vAlign w:val="center"/>
          </w:tcPr>
          <w:p>
            <w:pPr>
              <w:widowControl/>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公众气象服务满意度</w:t>
            </w:r>
          </w:p>
        </w:tc>
        <w:tc>
          <w:tcPr>
            <w:tcW w:w="1701" w:type="dxa"/>
            <w:vAlign w:val="center"/>
          </w:tcPr>
          <w:p>
            <w:pPr>
              <w:widowControl/>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91</w:t>
            </w:r>
          </w:p>
        </w:tc>
        <w:tc>
          <w:tcPr>
            <w:tcW w:w="3378" w:type="dxa"/>
            <w:vAlign w:val="center"/>
          </w:tcPr>
          <w:p>
            <w:pPr>
              <w:widowControl/>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62" w:hRule="atLeast"/>
          <w:jc w:val="center"/>
        </w:trPr>
        <w:tc>
          <w:tcPr>
            <w:tcW w:w="1414" w:type="dxa"/>
            <w:vAlign w:val="center"/>
          </w:tcPr>
          <w:p>
            <w:pPr>
              <w:snapToGrid w:val="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防灾减灾能力提升</w:t>
            </w:r>
          </w:p>
        </w:tc>
        <w:tc>
          <w:tcPr>
            <w:tcW w:w="2448" w:type="dxa"/>
            <w:vAlign w:val="center"/>
          </w:tcPr>
          <w:p>
            <w:pPr>
              <w:widowControl/>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建立并开展气象风险管理业务</w:t>
            </w:r>
          </w:p>
        </w:tc>
        <w:tc>
          <w:tcPr>
            <w:tcW w:w="1701" w:type="dxa"/>
            <w:vAlign w:val="center"/>
          </w:tcPr>
          <w:p>
            <w:pPr>
              <w:widowControl/>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无</w:t>
            </w:r>
          </w:p>
        </w:tc>
        <w:tc>
          <w:tcPr>
            <w:tcW w:w="3378" w:type="dxa"/>
            <w:vAlign w:val="center"/>
          </w:tcPr>
          <w:p>
            <w:pPr>
              <w:widowControl/>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建立并开展从历史灾情收集、承灾体普查、致灾阈值研究、气象风险区划、气象风险预警靶向发布到风险转移、气象灾害风险防控效益评估全链条的气象风险管理业务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79" w:hRule="atLeast"/>
          <w:jc w:val="center"/>
        </w:trPr>
        <w:tc>
          <w:tcPr>
            <w:tcW w:w="1414" w:type="dxa"/>
            <w:vAlign w:val="center"/>
          </w:tcPr>
          <w:p>
            <w:pPr>
              <w:snapToGrid w:val="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科普宣教能力提升</w:t>
            </w:r>
          </w:p>
        </w:tc>
        <w:tc>
          <w:tcPr>
            <w:tcW w:w="2448" w:type="dxa"/>
            <w:vAlign w:val="center"/>
          </w:tcPr>
          <w:p>
            <w:pPr>
              <w:widowControl/>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创办全国气象科普教育基地</w:t>
            </w:r>
          </w:p>
        </w:tc>
        <w:tc>
          <w:tcPr>
            <w:tcW w:w="1701" w:type="dxa"/>
            <w:vAlign w:val="center"/>
          </w:tcPr>
          <w:p>
            <w:pPr>
              <w:widowControl/>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无</w:t>
            </w:r>
          </w:p>
        </w:tc>
        <w:tc>
          <w:tcPr>
            <w:tcW w:w="3378" w:type="dxa"/>
            <w:vAlign w:val="center"/>
          </w:tcPr>
          <w:p>
            <w:pPr>
              <w:widowControl/>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1个</w:t>
            </w:r>
          </w:p>
        </w:tc>
      </w:tr>
    </w:tbl>
    <w:p>
      <w:pPr>
        <w:pStyle w:val="2"/>
        <w:keepNext/>
        <w:keepLines/>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both"/>
        <w:textAlignment w:val="auto"/>
        <w:outlineLvl w:val="0"/>
        <w:rPr>
          <w:rFonts w:hint="default"/>
          <w:b/>
          <w:bCs/>
          <w:color w:val="auto"/>
          <w:sz w:val="36"/>
          <w:szCs w:val="36"/>
        </w:rPr>
      </w:pPr>
      <w:bookmarkStart w:id="105" w:name="_Toc82608944"/>
      <w:bookmarkStart w:id="106" w:name="_Toc1626"/>
      <w:r>
        <w:rPr>
          <w:rFonts w:hint="default"/>
          <w:b/>
          <w:bCs/>
          <w:color w:val="auto"/>
          <w:sz w:val="36"/>
          <w:szCs w:val="36"/>
        </w:rPr>
        <w:t>三</w:t>
      </w:r>
      <w:r>
        <w:rPr>
          <w:rFonts w:hint="eastAsia"/>
          <w:b/>
          <w:bCs/>
          <w:color w:val="auto"/>
          <w:sz w:val="36"/>
          <w:szCs w:val="36"/>
          <w:lang w:eastAsia="zh-CN"/>
        </w:rPr>
        <w:t>、“十四五”时期的</w:t>
      </w:r>
      <w:r>
        <w:rPr>
          <w:rFonts w:hint="default"/>
          <w:b/>
          <w:bCs/>
          <w:color w:val="auto"/>
          <w:sz w:val="36"/>
          <w:szCs w:val="36"/>
        </w:rPr>
        <w:t>主要任务</w:t>
      </w:r>
      <w:bookmarkEnd w:id="98"/>
      <w:bookmarkEnd w:id="99"/>
      <w:bookmarkEnd w:id="100"/>
      <w:bookmarkEnd w:id="101"/>
      <w:bookmarkEnd w:id="102"/>
      <w:bookmarkEnd w:id="103"/>
      <w:bookmarkEnd w:id="104"/>
      <w:bookmarkEnd w:id="105"/>
      <w:bookmarkEnd w:id="106"/>
    </w:p>
    <w:p>
      <w:pPr>
        <w:pStyle w:val="3"/>
        <w:keepNext/>
        <w:keepLines/>
        <w:pageBreakBefore w:val="0"/>
        <w:widowControl w:val="0"/>
        <w:kinsoku/>
        <w:wordWrap/>
        <w:overflowPunct/>
        <w:topLinePunct w:val="0"/>
        <w:autoSpaceDE/>
        <w:autoSpaceDN/>
        <w:bidi w:val="0"/>
        <w:adjustRightInd/>
        <w:snapToGrid w:val="0"/>
        <w:spacing w:before="200" w:beforeLines="0" w:beforeAutospacing="0" w:after="100" w:afterAutospacing="0" w:line="560" w:lineRule="exact"/>
        <w:ind w:left="420" w:leftChars="200" w:right="0" w:rightChars="0" w:firstLine="0" w:firstLineChars="0"/>
        <w:jc w:val="both"/>
        <w:textAlignment w:val="auto"/>
        <w:outlineLvl w:val="1"/>
        <w:rPr>
          <w:rFonts w:hint="default" w:ascii="仿宋" w:hAnsi="仿宋" w:eastAsia="仿宋" w:cs="仿宋"/>
          <w:b/>
          <w:bCs/>
          <w:color w:val="auto"/>
          <w:kern w:val="2"/>
          <w:sz w:val="32"/>
          <w:szCs w:val="32"/>
        </w:rPr>
      </w:pPr>
      <w:bookmarkStart w:id="107" w:name="_Toc16100"/>
      <w:bookmarkStart w:id="108" w:name="_Toc82608945"/>
      <w:r>
        <w:rPr>
          <w:rFonts w:hint="default" w:ascii="仿宋" w:hAnsi="仿宋" w:eastAsia="仿宋" w:cs="仿宋"/>
          <w:b/>
          <w:bCs/>
          <w:color w:val="auto"/>
          <w:kern w:val="2"/>
          <w:sz w:val="32"/>
          <w:szCs w:val="32"/>
        </w:rPr>
        <w:t>（一）围绕高质量高标准需求，提升气象</w:t>
      </w:r>
      <w:r>
        <w:rPr>
          <w:rFonts w:hint="eastAsia" w:ascii="仿宋" w:hAnsi="仿宋" w:eastAsia="仿宋" w:cs="仿宋"/>
          <w:b/>
          <w:bCs/>
          <w:color w:val="auto"/>
          <w:kern w:val="2"/>
          <w:sz w:val="32"/>
          <w:szCs w:val="32"/>
        </w:rPr>
        <w:t>现代化</w:t>
      </w:r>
      <w:r>
        <w:rPr>
          <w:rFonts w:hint="default" w:ascii="仿宋" w:hAnsi="仿宋" w:eastAsia="仿宋" w:cs="仿宋"/>
          <w:b/>
          <w:bCs/>
          <w:color w:val="auto"/>
          <w:kern w:val="2"/>
          <w:sz w:val="32"/>
          <w:szCs w:val="32"/>
        </w:rPr>
        <w:t>业务能力</w:t>
      </w:r>
      <w:bookmarkEnd w:id="107"/>
      <w:bookmarkEnd w:id="108"/>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09" w:name="_Toc22025"/>
      <w:r>
        <w:rPr>
          <w:rFonts w:hint="eastAsia" w:ascii="仿宋" w:hAnsi="仿宋" w:eastAsia="仿宋" w:cs="仿宋"/>
          <w:b/>
          <w:color w:val="auto"/>
          <w:sz w:val="28"/>
          <w:szCs w:val="28"/>
        </w:rPr>
        <w:t>1.提升气象监测能力，加强观测数据质量控制</w:t>
      </w:r>
      <w:bookmarkEnd w:id="109"/>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积极发展气象监测“一网多能”建设，逐步升级改造区域自动站监测设备。针对重大活动场馆、</w:t>
      </w:r>
      <w:r>
        <w:rPr>
          <w:rFonts w:hint="eastAsia" w:ascii="Times New Roman" w:hAnsi="Times New Roman" w:eastAsia="仿宋" w:cs="仿宋"/>
          <w:color w:val="auto"/>
          <w:sz w:val="28"/>
          <w:szCs w:val="28"/>
        </w:rPr>
        <w:t>CBD</w:t>
      </w:r>
      <w:r>
        <w:rPr>
          <w:rFonts w:hint="eastAsia" w:ascii="仿宋" w:hAnsi="仿宋" w:eastAsia="仿宋" w:cs="仿宋"/>
          <w:color w:val="auto"/>
          <w:sz w:val="28"/>
          <w:szCs w:val="28"/>
        </w:rPr>
        <w:t>商务区、使馆区、首都机场、朝阳站等关键地区和人员密集区，加强气象监测水平，扩展周边区域自动站观测要素。开展自动化天气现象智能识别设备应用，构建全天候、高时空分辨率、高精度的精细化三维立体协同观测网络，实现对云、天气现象、辐射等气象要素的全自动化观测。推进新一代信息技术应用，完善观测设备、观测数据、数据处理、运行保障等多方面质量管理体系建设，加强观测数据质量控制。建立对现有台站设施、设备的安全隐患排查制度，确保台站运行安全，为气象监测能力提供有效保障。</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10" w:name="_Toc4734"/>
      <w:r>
        <w:rPr>
          <w:rFonts w:hint="eastAsia" w:ascii="仿宋" w:hAnsi="仿宋" w:eastAsia="仿宋" w:cs="仿宋"/>
          <w:b/>
          <w:color w:val="auto"/>
          <w:sz w:val="28"/>
          <w:szCs w:val="28"/>
        </w:rPr>
        <w:t>2.强化预报预警水平，提升精准预报预警能力</w:t>
      </w:r>
      <w:bookmarkEnd w:id="110"/>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充分利用市级</w:t>
      </w:r>
      <w:r>
        <w:rPr>
          <w:rFonts w:hint="eastAsia" w:ascii="Times New Roman" w:hAnsi="Times New Roman" w:eastAsia="仿宋" w:cs="仿宋"/>
          <w:color w:val="auto"/>
          <w:sz w:val="28"/>
          <w:szCs w:val="28"/>
        </w:rPr>
        <w:t>iGrAPS</w:t>
      </w:r>
      <w:r>
        <w:rPr>
          <w:rFonts w:hint="eastAsia" w:ascii="仿宋" w:hAnsi="仿宋" w:eastAsia="仿宋" w:cs="仿宋"/>
          <w:color w:val="auto"/>
          <w:sz w:val="28"/>
          <w:szCs w:val="28"/>
        </w:rPr>
        <w:t>智能网格预报平台、睿图等数值模式，为朝阳区提供短期、中期的分区域、多要素的精细化气象预报预测产品。开展暴雨、大风、冰雹等灾害性天气特征研究，提高灾害性天气短时临近研判分析能力，实现朝阳区气象预报预警信息的准确性和实效性稳步提升。</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11" w:name="_Toc19165"/>
      <w:r>
        <w:rPr>
          <w:rFonts w:hint="eastAsia" w:ascii="仿宋" w:hAnsi="仿宋" w:eastAsia="仿宋" w:cs="仿宋"/>
          <w:b/>
          <w:color w:val="auto"/>
          <w:sz w:val="28"/>
          <w:szCs w:val="28"/>
        </w:rPr>
        <w:t>3.深入气象机理研究，增强气象科技攻关水平</w:t>
      </w:r>
      <w:bookmarkEnd w:id="111"/>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围绕朝阳区建设发展需求，开拓研究平台，重点培养专业研究人才，强化队伍建设，解决气象科技发展的急迫需求，造就一批具有高科技水平、勇于创新发展的气象综合业务带头人和高水平气象科技重点领域创新团队。发挥领军人才在课题研究、科研攻关方面的带头作用，积极与知名高校和研究机构合作，通过加强气象监测技术和预报技术的科技研发，提升业务能力，同时加强科技成果转化应用，为气象事业发展提供强有力的支撑，助推朝阳社会经济高质量发展。</w:t>
      </w:r>
    </w:p>
    <w:p>
      <w:pPr>
        <w:pStyle w:val="3"/>
        <w:keepNext/>
        <w:keepLines/>
        <w:pageBreakBefore w:val="0"/>
        <w:widowControl w:val="0"/>
        <w:kinsoku/>
        <w:wordWrap/>
        <w:overflowPunct/>
        <w:topLinePunct w:val="0"/>
        <w:autoSpaceDE/>
        <w:autoSpaceDN/>
        <w:bidi w:val="0"/>
        <w:adjustRightInd/>
        <w:snapToGrid w:val="0"/>
        <w:spacing w:before="200" w:beforeLines="0" w:beforeAutospacing="0" w:after="100" w:afterAutospacing="0" w:line="560" w:lineRule="exact"/>
        <w:ind w:left="420" w:leftChars="200" w:right="0" w:rightChars="0" w:firstLine="0" w:firstLineChars="0"/>
        <w:jc w:val="both"/>
        <w:textAlignment w:val="auto"/>
        <w:outlineLvl w:val="1"/>
        <w:rPr>
          <w:rFonts w:hint="default" w:ascii="仿宋" w:hAnsi="仿宋" w:eastAsia="仿宋" w:cs="仿宋"/>
          <w:b/>
          <w:bCs/>
          <w:color w:val="auto"/>
          <w:kern w:val="2"/>
          <w:sz w:val="32"/>
          <w:szCs w:val="32"/>
        </w:rPr>
      </w:pPr>
      <w:bookmarkStart w:id="112" w:name="_Toc15929"/>
      <w:bookmarkStart w:id="113" w:name="_Toc82608946"/>
      <w:r>
        <w:rPr>
          <w:rFonts w:hint="default" w:ascii="仿宋" w:hAnsi="仿宋" w:eastAsia="仿宋" w:cs="仿宋"/>
          <w:b/>
          <w:bCs/>
          <w:color w:val="auto"/>
          <w:kern w:val="2"/>
          <w:sz w:val="32"/>
          <w:szCs w:val="32"/>
        </w:rPr>
        <w:t>（二）强化气象服务优质供给，提升气象精细服务能力</w:t>
      </w:r>
      <w:bookmarkEnd w:id="112"/>
      <w:bookmarkEnd w:id="113"/>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14" w:name="_Toc7600"/>
      <w:r>
        <w:rPr>
          <w:rFonts w:hint="eastAsia" w:ascii="仿宋" w:hAnsi="仿宋" w:eastAsia="仿宋" w:cs="仿宋"/>
          <w:b/>
          <w:color w:val="auto"/>
          <w:sz w:val="28"/>
          <w:szCs w:val="28"/>
        </w:rPr>
        <w:t>1.紧密围绕行业需求，强化专项气象服务水平</w:t>
      </w:r>
      <w:bookmarkEnd w:id="114"/>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加强专业气象服务技术研发。开展助力城市运行、文化旅游、生态建设</w:t>
      </w:r>
      <w:r>
        <w:rPr>
          <w:rFonts w:hint="eastAsia" w:ascii="仿宋" w:hAnsi="仿宋" w:eastAsia="仿宋" w:cs="仿宋"/>
          <w:b w:val="0"/>
          <w:bCs w:val="0"/>
          <w:color w:val="auto"/>
          <w:sz w:val="28"/>
          <w:szCs w:val="28"/>
        </w:rPr>
        <w:t>等不同行业部门的专项化气象服务，开</w:t>
      </w:r>
      <w:r>
        <w:rPr>
          <w:rFonts w:hint="eastAsia" w:ascii="仿宋" w:hAnsi="仿宋" w:eastAsia="仿宋" w:cs="仿宋"/>
          <w:color w:val="auto"/>
          <w:sz w:val="28"/>
          <w:szCs w:val="28"/>
        </w:rPr>
        <w:t>展专业气象监测预警、风险评估和决策咨询服务，提升专业专项气象服务的科技含量和精细化水平。</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560"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color w:val="auto"/>
          <w:sz w:val="28"/>
          <w:szCs w:val="28"/>
        </w:rPr>
        <w:t>针对朝阳站等铁路、交通部门提供重要交通线路的大风、雨雪、雷电、低能见度、道路结冰等多要素的交通安全风</w:t>
      </w:r>
      <w:r>
        <w:rPr>
          <w:rFonts w:hint="eastAsia" w:ascii="仿宋" w:hAnsi="仿宋" w:eastAsia="仿宋" w:cs="仿宋"/>
          <w:color w:val="auto"/>
          <w:sz w:val="28"/>
          <w:szCs w:val="28"/>
          <w:highlight w:val="none"/>
        </w:rPr>
        <w:t>险预警服务。针对试点区域开展降水、温度、湿度等要素变化的监测，形成分析评估产品，为海绵城市建设提供支撑。为我区建筑工地、危化品储运仓库等高风险场所提供大风、雷电、降雨影响预报服务。为智慧水务等调度系统提供高精度、高时效的降水信息，保障朝阳区防洪排涝能力。为重点区域提供杨柳飞絮预测和道路降尘作业指数预测，推进生态环境治理。加强卫星遥感生态监测气象服务本地化应用，针对沙尘、雾霾天气开展立体监测，加强重污染天气及气</w:t>
      </w:r>
      <w:r>
        <w:rPr>
          <w:rFonts w:hint="eastAsia" w:ascii="仿宋" w:hAnsi="仿宋" w:eastAsia="仿宋" w:cs="仿宋"/>
          <w:color w:val="auto"/>
          <w:sz w:val="28"/>
          <w:szCs w:val="28"/>
        </w:rPr>
        <w:t>象条件评估，为打好污染防治攻坚战提供气象支撑。围绕北京实现碳达峰目标和碳中和愿</w:t>
      </w:r>
      <w:r>
        <w:rPr>
          <w:rFonts w:hint="eastAsia" w:ascii="仿宋" w:hAnsi="仿宋" w:eastAsia="仿宋" w:cs="仿宋"/>
          <w:color w:val="auto"/>
          <w:sz w:val="28"/>
          <w:szCs w:val="28"/>
          <w:u w:val="none"/>
        </w:rPr>
        <w:t>景，开展朝阳区包括</w:t>
      </w:r>
      <w:r>
        <w:rPr>
          <w:rFonts w:hint="eastAsia" w:ascii="Times New Roman" w:hAnsi="Times New Roman" w:eastAsia="仿宋" w:cs="仿宋"/>
          <w:color w:val="auto"/>
          <w:sz w:val="28"/>
          <w:szCs w:val="28"/>
          <w:u w:val="none"/>
        </w:rPr>
        <w:t>CO</w:t>
      </w:r>
      <w:r>
        <w:rPr>
          <w:rFonts w:hint="eastAsia" w:ascii="仿宋" w:hAnsi="仿宋" w:eastAsia="仿宋" w:cs="仿宋"/>
          <w:color w:val="auto"/>
          <w:sz w:val="28"/>
          <w:szCs w:val="28"/>
          <w:u w:val="none"/>
          <w:vertAlign w:val="subscript"/>
        </w:rPr>
        <w:t>2</w:t>
      </w:r>
      <w:r>
        <w:rPr>
          <w:rFonts w:hint="eastAsia" w:ascii="仿宋" w:hAnsi="仿宋" w:eastAsia="仿宋" w:cs="仿宋"/>
          <w:color w:val="auto"/>
          <w:sz w:val="28"/>
          <w:szCs w:val="28"/>
          <w:u w:val="none"/>
        </w:rPr>
        <w:t>浓度在内的气体长序列和实时动态监测。提升旅游文化气象服务</w:t>
      </w:r>
      <w:r>
        <w:rPr>
          <w:rFonts w:hint="eastAsia" w:ascii="仿宋" w:hAnsi="仿宋" w:eastAsia="仿宋" w:cs="仿宋"/>
          <w:color w:val="auto"/>
          <w:sz w:val="28"/>
          <w:szCs w:val="28"/>
          <w:u w:val="none"/>
          <w:lang w:eastAsia="zh-CN"/>
        </w:rPr>
        <w:t>能力</w:t>
      </w:r>
      <w:r>
        <w:rPr>
          <w:rFonts w:hint="eastAsia" w:ascii="仿宋" w:hAnsi="仿宋" w:eastAsia="仿宋" w:cs="仿宋"/>
          <w:color w:val="auto"/>
          <w:sz w:val="28"/>
          <w:szCs w:val="28"/>
          <w:u w:val="none"/>
        </w:rPr>
        <w:t>，为“双奥”地标景点、三里屯、望京、潘家园等国际文化景观区域开</w:t>
      </w:r>
      <w:r>
        <w:rPr>
          <w:rFonts w:hint="eastAsia" w:ascii="仿宋" w:hAnsi="仿宋" w:eastAsia="仿宋" w:cs="仿宋"/>
          <w:color w:val="auto"/>
          <w:sz w:val="28"/>
          <w:szCs w:val="28"/>
          <w:u w:val="none"/>
          <w:lang w:eastAsia="zh-CN"/>
        </w:rPr>
        <w:t>发</w:t>
      </w:r>
      <w:r>
        <w:rPr>
          <w:rFonts w:hint="eastAsia" w:ascii="仿宋" w:hAnsi="仿宋" w:eastAsia="仿宋" w:cs="仿宋"/>
          <w:color w:val="auto"/>
          <w:sz w:val="28"/>
          <w:szCs w:val="28"/>
          <w:u w:val="none"/>
        </w:rPr>
        <w:t>特色旅游气象服务产品，发挥气象经济效益。</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15" w:name="_Toc26073"/>
      <w:r>
        <w:rPr>
          <w:rFonts w:hint="eastAsia" w:ascii="仿宋" w:hAnsi="仿宋" w:eastAsia="仿宋" w:cs="仿宋"/>
          <w:b/>
          <w:color w:val="auto"/>
          <w:sz w:val="28"/>
          <w:szCs w:val="28"/>
        </w:rPr>
        <w:t>2.重点关注保障需求，强化重大活动保障能力</w:t>
      </w:r>
      <w:bookmarkEnd w:id="115"/>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围绕朝阳区重大活动服务保障任务对</w:t>
      </w:r>
      <w:r>
        <w:rPr>
          <w:rFonts w:hint="eastAsia" w:ascii="仿宋" w:hAnsi="仿宋" w:eastAsia="仿宋" w:cs="仿宋"/>
          <w:b w:val="0"/>
          <w:bCs w:val="0"/>
          <w:color w:val="auto"/>
          <w:sz w:val="28"/>
          <w:szCs w:val="28"/>
        </w:rPr>
        <w:t>精细度、准确率、时效性和针对性的高要求，从重点区域观测能力、预报预警能力、风险评估水平、信息技术应用等多角度强化重大活动保障能力。着</w:t>
      </w:r>
      <w:r>
        <w:rPr>
          <w:rFonts w:hint="eastAsia" w:ascii="仿宋" w:hAnsi="仿宋" w:eastAsia="仿宋" w:cs="仿宋"/>
          <w:color w:val="auto"/>
          <w:sz w:val="28"/>
          <w:szCs w:val="28"/>
        </w:rPr>
        <w:t>力提升奥体中心区、国家体育场、国家会议中心等重大国事活动关键区域气象观测能力。依托移动监测设备、特种监测设备等开展精细化气象观测。按照不同时间节点，提供降水、大风、雾、霾气象风险评估。利用精细化格点预报产品，提供关键活动区逐小时、多要素气象预报，并结合室内、户外等不同服务侧重点提供针对性气象服务，形成常态化气象服务保障体系。同时基于大量气象资料深度挖掘分析技术，建立重大活动服务保障气象资料库，为辖区重大活动的开展，提供预报预警服务支撑和高质量气象服务保障。</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16" w:name="_Toc24609"/>
      <w:r>
        <w:rPr>
          <w:rFonts w:hint="eastAsia" w:ascii="仿宋" w:hAnsi="仿宋" w:eastAsia="仿宋" w:cs="仿宋"/>
          <w:b/>
          <w:color w:val="auto"/>
          <w:sz w:val="28"/>
          <w:szCs w:val="28"/>
        </w:rPr>
        <w:t>3.针对不同用户群体，提供多元气象公共服务</w:t>
      </w:r>
      <w:bookmarkEnd w:id="116"/>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形成个性定制、互动参与、精准投放的智慧型公共气象服务业务。依托新媒体、移动客户端，收集社会公众在不同领域的气象需求，提供基于位置和个人偏好的定制化服务。向公众提供内容丰富、形式多样的气象实况、预报、预警、生活指数类公众气象服务产品，提升气象公共服务能力。</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17" w:name="_Toc9647"/>
      <w:r>
        <w:rPr>
          <w:rFonts w:hint="eastAsia" w:ascii="仿宋" w:hAnsi="仿宋" w:eastAsia="仿宋" w:cs="仿宋"/>
          <w:b/>
          <w:color w:val="auto"/>
          <w:sz w:val="28"/>
          <w:szCs w:val="28"/>
        </w:rPr>
        <w:t>4.借助科技创新力量，提升智能气象服务水平</w:t>
      </w:r>
      <w:bookmarkEnd w:id="117"/>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以科技冬奥、数治朝阳为契机，大力发展人工智能、云计算、大数据在智慧气象中的应用。加强与高校、研究机构合作，引入社会企业力量，助力气象科技创新与成果转化。基于市级气象大数据云平台、区级大数据智慧平台等，深化大数据应用，构建朝阳区智慧气象信息服务系统，提升气象服务智能化水平，为城市高效化管理提供有力支撑。</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18" w:name="_Toc29125"/>
      <w:r>
        <w:rPr>
          <w:rFonts w:hint="eastAsia" w:ascii="仿宋" w:hAnsi="仿宋" w:eastAsia="仿宋" w:cs="仿宋"/>
          <w:b/>
          <w:color w:val="auto"/>
          <w:sz w:val="28"/>
          <w:szCs w:val="28"/>
        </w:rPr>
        <w:t>5.推进智能规范管理，提高气象法治管理水平</w:t>
      </w:r>
      <w:bookmarkEnd w:id="118"/>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梳理朝阳区范围内重点气象法治监管对象信息，融合数字化管理手段，精简流程化管理链条，明确职能分工，强化履职能力，提高工作效率，保障事前、事中、事后全流程监管力度。加强执法监管人员队伍建设，强化队伍专业能力建设，增强行政执法人员运用法治思维和法治方式解决问题的意识，提高气象依法行政监管能力和水平。</w:t>
      </w:r>
    </w:p>
    <w:p>
      <w:pPr>
        <w:pStyle w:val="3"/>
        <w:keepNext/>
        <w:keepLines/>
        <w:pageBreakBefore w:val="0"/>
        <w:widowControl w:val="0"/>
        <w:kinsoku/>
        <w:wordWrap/>
        <w:overflowPunct/>
        <w:topLinePunct w:val="0"/>
        <w:autoSpaceDE/>
        <w:autoSpaceDN/>
        <w:bidi w:val="0"/>
        <w:adjustRightInd/>
        <w:snapToGrid w:val="0"/>
        <w:spacing w:before="200" w:beforeLines="0" w:beforeAutospacing="0" w:after="100" w:afterAutospacing="0" w:line="560" w:lineRule="exact"/>
        <w:ind w:left="420" w:leftChars="200" w:right="0" w:rightChars="0" w:firstLine="0" w:firstLineChars="0"/>
        <w:jc w:val="both"/>
        <w:textAlignment w:val="auto"/>
        <w:outlineLvl w:val="1"/>
        <w:rPr>
          <w:rFonts w:hint="default" w:ascii="仿宋" w:hAnsi="仿宋" w:eastAsia="仿宋" w:cs="仿宋"/>
          <w:b/>
          <w:bCs/>
          <w:color w:val="auto"/>
          <w:kern w:val="2"/>
          <w:sz w:val="32"/>
          <w:szCs w:val="32"/>
        </w:rPr>
      </w:pPr>
      <w:bookmarkStart w:id="119" w:name="_Toc18807"/>
      <w:bookmarkStart w:id="120" w:name="_Toc82608947"/>
      <w:r>
        <w:rPr>
          <w:rFonts w:hint="default" w:ascii="仿宋" w:hAnsi="仿宋" w:eastAsia="仿宋" w:cs="仿宋"/>
          <w:b/>
          <w:bCs/>
          <w:color w:val="auto"/>
          <w:kern w:val="2"/>
          <w:sz w:val="32"/>
          <w:szCs w:val="32"/>
        </w:rPr>
        <w:t>（三）增强防灾减灾能力建设，筑牢城市运行安全保障</w:t>
      </w:r>
      <w:bookmarkEnd w:id="119"/>
      <w:bookmarkEnd w:id="120"/>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21" w:name="_Toc6133"/>
      <w:r>
        <w:rPr>
          <w:rFonts w:hint="eastAsia" w:ascii="仿宋" w:hAnsi="仿宋" w:eastAsia="仿宋" w:cs="仿宋"/>
          <w:b/>
          <w:color w:val="auto"/>
          <w:sz w:val="28"/>
          <w:szCs w:val="28"/>
        </w:rPr>
        <w:t>1.完善预报预警机制，提升气象信息发布能力</w:t>
      </w:r>
      <w:bookmarkEnd w:id="121"/>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以“对外拓展渠道+对内技术升级”的思路，充分优化健全气象预警信息发布机制。对接区内各类信息发布平台，有效融合、提高气象预警信息发布能力。依托区突发事件预警信息发布中心，建立完善面向公众的预警信息发布渠道，完善“对外渠道”拓展性，扩大气象预警信息覆盖面，提升防灾减灾预警提示和服务能力。在现有平台基础上开展决策服务要素信息的自动监测、统计、分析，提升重大灾害性天气过程及突发性、局地性气象灾害决策服务能力。依托人工智能、大数据分析等智能技术以及移动式交互、智能定向信息发布等新型信息传播技术，拓展传统气象信息发布渠道，开展风险预报预警产品智能化制作及预警信息靶向化传输研究，实现“对内技术升级”，保障气象灾害预警信息产品在气象信息员、应急责任人等基层气象预警信息传播网络中的快速定向传输。</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22" w:name="_Toc20330"/>
      <w:r>
        <w:rPr>
          <w:rFonts w:hint="eastAsia" w:ascii="仿宋" w:hAnsi="仿宋" w:eastAsia="仿宋" w:cs="仿宋"/>
          <w:b/>
          <w:color w:val="auto"/>
          <w:sz w:val="28"/>
          <w:szCs w:val="28"/>
        </w:rPr>
        <w:t>2.完善风险防范体系，提升气象信息共享能力</w:t>
      </w:r>
      <w:bookmarkEnd w:id="122"/>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围绕区应急管理体系建设，健全以气象预警信息为先导的气象灾害应对部门联动和社会响应机制。建立与应急、水务、文旅、交通、环境等相关部门信息互联互通机制，实现气象灾害风险隐患、预报预警、灾情动态等各类信息资源的跨部门共建与共享，协同开展精细化、针对性的气象灾害风险防控。强化基层气象灾害防御队伍建设，完善气象防灾减灾科普宣教体系，进一步提升群众气象灾害防范能力。</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23" w:name="_Toc5419"/>
      <w:r>
        <w:rPr>
          <w:rFonts w:hint="eastAsia" w:ascii="仿宋" w:hAnsi="仿宋" w:eastAsia="仿宋" w:cs="仿宋"/>
          <w:b/>
          <w:color w:val="auto"/>
          <w:sz w:val="28"/>
          <w:szCs w:val="28"/>
        </w:rPr>
        <w:t>3.开展灾害风险普查，加强气象灾害风险管理</w:t>
      </w:r>
      <w:bookmarkEnd w:id="123"/>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遵照全国第一次自然灾害风险普查相关标准，开展具有朝阳区域特色的气象灾害风险评估和风险区划工作。持续深化开展气象灾害风险普查，建立朝阳区气象灾害风险数据库，开展暴雨、雷电、冰雹等灾害性天气特征研究，结合风险普查结果及朝阳气象风险系统性分析，开展气象灾害风险评估和区划，提升朝阳动态风险管理水平。</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24" w:name="_Toc16572"/>
      <w:r>
        <w:rPr>
          <w:rFonts w:hint="eastAsia" w:ascii="仿宋" w:hAnsi="仿宋" w:eastAsia="仿宋" w:cs="仿宋"/>
          <w:b/>
          <w:color w:val="auto"/>
          <w:sz w:val="28"/>
          <w:szCs w:val="28"/>
        </w:rPr>
        <w:t>4.完善科普基地建设，丰富气象科普宣教资源</w:t>
      </w:r>
      <w:bookmarkEnd w:id="124"/>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继续加强气象科普基地建设，开展面向朝阳区中、小学生特色气象研学活动。创新新媒体线上传播形式，制作丰富多样的气象科普产品，打造朝阳区特色科普宣教气象品牌，借助区融媒体、各大网络平台等方式扩展科普受众面。收集公众聚焦热点，推出针对性、特色化科普产品，强化气象知识社会普及化。</w:t>
      </w:r>
    </w:p>
    <w:p>
      <w:pPr>
        <w:pStyle w:val="2"/>
        <w:keepNext/>
        <w:keepLines/>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both"/>
        <w:textAlignment w:val="auto"/>
        <w:outlineLvl w:val="0"/>
        <w:rPr>
          <w:rFonts w:hint="default"/>
          <w:b/>
          <w:bCs/>
          <w:color w:val="auto"/>
          <w:sz w:val="36"/>
          <w:szCs w:val="36"/>
        </w:rPr>
      </w:pPr>
      <w:bookmarkStart w:id="125" w:name="_Toc15220"/>
      <w:bookmarkStart w:id="126" w:name="_Toc82608949"/>
      <w:bookmarkStart w:id="127" w:name="_Toc26652"/>
      <w:bookmarkStart w:id="128" w:name="_Toc19866"/>
      <w:bookmarkStart w:id="129" w:name="_Toc9041"/>
      <w:bookmarkStart w:id="130" w:name="_Toc3091"/>
      <w:bookmarkStart w:id="131" w:name="_Toc16178"/>
      <w:bookmarkStart w:id="132" w:name="_Toc21946"/>
      <w:bookmarkStart w:id="133" w:name="_Toc17404"/>
      <w:r>
        <w:rPr>
          <w:rFonts w:hint="default"/>
          <w:b/>
          <w:bCs/>
          <w:color w:val="auto"/>
          <w:sz w:val="36"/>
          <w:szCs w:val="36"/>
        </w:rPr>
        <w:t>四</w:t>
      </w:r>
      <w:r>
        <w:rPr>
          <w:rFonts w:hint="eastAsia"/>
          <w:b/>
          <w:bCs/>
          <w:color w:val="auto"/>
          <w:sz w:val="36"/>
          <w:szCs w:val="36"/>
          <w:lang w:eastAsia="zh-CN"/>
        </w:rPr>
        <w:t>、“十四五”时期的</w:t>
      </w:r>
      <w:r>
        <w:rPr>
          <w:rFonts w:hint="default"/>
          <w:b/>
          <w:bCs/>
          <w:color w:val="auto"/>
          <w:sz w:val="36"/>
          <w:szCs w:val="36"/>
        </w:rPr>
        <w:t>重点工程</w:t>
      </w:r>
      <w:bookmarkEnd w:id="125"/>
      <w:bookmarkEnd w:id="126"/>
      <w:bookmarkEnd w:id="127"/>
      <w:bookmarkEnd w:id="128"/>
      <w:bookmarkEnd w:id="129"/>
      <w:bookmarkEnd w:id="130"/>
      <w:bookmarkEnd w:id="131"/>
      <w:bookmarkEnd w:id="132"/>
      <w:bookmarkEnd w:id="133"/>
    </w:p>
    <w:p>
      <w:pPr>
        <w:pStyle w:val="3"/>
        <w:keepNext/>
        <w:keepLines/>
        <w:pageBreakBefore w:val="0"/>
        <w:widowControl w:val="0"/>
        <w:kinsoku/>
        <w:wordWrap/>
        <w:overflowPunct/>
        <w:topLinePunct w:val="0"/>
        <w:autoSpaceDE/>
        <w:autoSpaceDN/>
        <w:bidi w:val="0"/>
        <w:adjustRightInd/>
        <w:snapToGrid w:val="0"/>
        <w:spacing w:before="200" w:beforeLines="0" w:beforeAutospacing="0" w:after="100" w:afterAutospacing="0" w:line="560" w:lineRule="exact"/>
        <w:ind w:left="420" w:leftChars="200" w:right="0" w:rightChars="0" w:firstLine="0" w:firstLineChars="0"/>
        <w:jc w:val="both"/>
        <w:textAlignment w:val="auto"/>
        <w:outlineLvl w:val="1"/>
        <w:rPr>
          <w:rFonts w:hint="default" w:ascii="仿宋" w:hAnsi="仿宋" w:eastAsia="仿宋" w:cs="仿宋"/>
          <w:b/>
          <w:bCs/>
          <w:color w:val="auto"/>
          <w:kern w:val="2"/>
          <w:sz w:val="32"/>
          <w:szCs w:val="32"/>
        </w:rPr>
      </w:pPr>
      <w:bookmarkStart w:id="134" w:name="_Toc82608950"/>
      <w:bookmarkStart w:id="135" w:name="_Toc29460"/>
      <w:bookmarkStart w:id="136" w:name="_Toc30327"/>
      <w:bookmarkStart w:id="137" w:name="_Toc365"/>
      <w:bookmarkStart w:id="138" w:name="_Toc29650"/>
      <w:bookmarkStart w:id="139" w:name="_Toc21321"/>
      <w:bookmarkStart w:id="140" w:name="_Toc3320"/>
      <w:bookmarkStart w:id="141" w:name="_Toc4892"/>
      <w:bookmarkStart w:id="142" w:name="_Toc31673"/>
      <w:r>
        <w:rPr>
          <w:rFonts w:hint="default" w:ascii="仿宋" w:hAnsi="仿宋" w:eastAsia="仿宋" w:cs="仿宋"/>
          <w:b/>
          <w:bCs/>
          <w:color w:val="auto"/>
          <w:kern w:val="2"/>
          <w:sz w:val="32"/>
          <w:szCs w:val="32"/>
        </w:rPr>
        <w:t>（一）朝阳区精密气象监测能力提升工程</w:t>
      </w:r>
      <w:bookmarkEnd w:id="134"/>
      <w:bookmarkEnd w:id="135"/>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43" w:name="_Toc25960"/>
      <w:bookmarkStart w:id="144" w:name="_Toc6964"/>
      <w:r>
        <w:rPr>
          <w:rFonts w:hint="eastAsia" w:ascii="仿宋" w:hAnsi="仿宋" w:eastAsia="仿宋" w:cs="仿宋"/>
          <w:b/>
          <w:color w:val="auto"/>
          <w:sz w:val="28"/>
          <w:szCs w:val="28"/>
        </w:rPr>
        <w:t>1.全区观测站网能力优化升级项目</w:t>
      </w:r>
      <w:bookmarkEnd w:id="143"/>
      <w:bookmarkEnd w:id="144"/>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对全区现有监测台站设备进行设备更新、功能扩展、升级改造，加强观测自动化水平，完善监测要素种类。开展自动化天气现象智能识别设备应用，构建全天候、高时空分辨率、高精度的精细化三维立体协同观测网络，提升大气垂直观测能力。针对探测环境遭到破坏，导致观测质量受影响的站点进行改造、迁移，保障观测数据质量。</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45" w:name="_Toc9236"/>
      <w:bookmarkStart w:id="146" w:name="_Toc8902"/>
      <w:r>
        <w:rPr>
          <w:rFonts w:hint="eastAsia" w:ascii="仿宋" w:hAnsi="仿宋" w:eastAsia="仿宋" w:cs="仿宋"/>
          <w:b/>
          <w:color w:val="auto"/>
          <w:sz w:val="28"/>
          <w:szCs w:val="28"/>
        </w:rPr>
        <w:t>2.重点区域局部观测能力提升项目</w:t>
      </w:r>
      <w:bookmarkEnd w:id="145"/>
      <w:bookmarkEnd w:id="146"/>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针对朝阳区中小河流域、主要交通干道、重大活动场馆等区域加强气象监测，扩展周边区域自动站观测要素，针对暴雨洪涝、低能见度、强风等高影响天气提升监测及预报预警能力。</w:t>
      </w:r>
    </w:p>
    <w:p>
      <w:pPr>
        <w:pStyle w:val="3"/>
        <w:keepNext/>
        <w:keepLines/>
        <w:pageBreakBefore w:val="0"/>
        <w:widowControl w:val="0"/>
        <w:kinsoku/>
        <w:wordWrap/>
        <w:overflowPunct/>
        <w:topLinePunct w:val="0"/>
        <w:autoSpaceDE/>
        <w:autoSpaceDN/>
        <w:bidi w:val="0"/>
        <w:adjustRightInd/>
        <w:snapToGrid w:val="0"/>
        <w:spacing w:before="200" w:beforeLines="0" w:beforeAutospacing="0" w:after="100" w:afterAutospacing="0" w:line="560" w:lineRule="exact"/>
        <w:ind w:left="420" w:leftChars="200" w:right="0" w:rightChars="0" w:firstLine="0" w:firstLineChars="0"/>
        <w:jc w:val="both"/>
        <w:textAlignment w:val="auto"/>
        <w:outlineLvl w:val="1"/>
        <w:rPr>
          <w:rFonts w:hint="default" w:ascii="仿宋" w:hAnsi="仿宋" w:eastAsia="仿宋" w:cs="仿宋"/>
          <w:b/>
          <w:bCs/>
          <w:color w:val="auto"/>
          <w:kern w:val="2"/>
          <w:sz w:val="32"/>
          <w:szCs w:val="32"/>
        </w:rPr>
      </w:pPr>
      <w:bookmarkStart w:id="147" w:name="_Toc82608951"/>
      <w:bookmarkStart w:id="148" w:name="_Toc27565"/>
      <w:r>
        <w:rPr>
          <w:rFonts w:hint="default" w:ascii="仿宋" w:hAnsi="仿宋" w:eastAsia="仿宋" w:cs="仿宋"/>
          <w:b/>
          <w:bCs/>
          <w:color w:val="auto"/>
          <w:kern w:val="2"/>
          <w:sz w:val="32"/>
          <w:szCs w:val="32"/>
        </w:rPr>
        <w:t>（二）朝阳区智慧气象服务能力提升工程</w:t>
      </w:r>
      <w:bookmarkEnd w:id="147"/>
      <w:bookmarkEnd w:id="148"/>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49" w:name="_Toc32757"/>
      <w:bookmarkStart w:id="150" w:name="_Toc5075"/>
      <w:r>
        <w:rPr>
          <w:rFonts w:hint="eastAsia" w:ascii="仿宋" w:hAnsi="仿宋" w:eastAsia="仿宋" w:cs="仿宋"/>
          <w:b/>
          <w:color w:val="auto"/>
          <w:sz w:val="28"/>
          <w:szCs w:val="28"/>
        </w:rPr>
        <w:t>1.智慧气象服务系统平台建设项目</w:t>
      </w:r>
      <w:bookmarkEnd w:id="149"/>
      <w:bookmarkEnd w:id="150"/>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依托气象大数据，开发智慧气象服务系统，实现决策服务要素信息的自动监测、统计、分析和可视化展示。基于智能解析技术构建气象云字典，囊括不同影响天气及防御措施建议，为预报员提供素材服务，实现服务产品智能制作、快速发布。结合风险普查结果，开发风险点周边气象信息自动识别、靶向发布的功能，实现灾害气象信息快速定向传输。通过“气象+”与“+气象”的大数据融合分析，融入朝阳区“城市大脑”建设，推进朝阳区智慧城市发展，为城市运行提供气象保障。</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51" w:name="_Toc9720"/>
      <w:bookmarkStart w:id="152" w:name="_Toc28098"/>
      <w:r>
        <w:rPr>
          <w:rFonts w:hint="eastAsia" w:ascii="仿宋" w:hAnsi="仿宋" w:eastAsia="仿宋" w:cs="仿宋"/>
          <w:b/>
          <w:color w:val="auto"/>
          <w:sz w:val="28"/>
          <w:szCs w:val="28"/>
        </w:rPr>
        <w:t>2.重大活动服务保障系统建设项目</w:t>
      </w:r>
      <w:bookmarkEnd w:id="151"/>
      <w:bookmarkEnd w:id="152"/>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针对“两轴两带三区”中的重大活动区域，国家会议中心、国家体育场、国家游泳中心等重大活动场馆，结合重大活动气象服务需求，完善重大活动相关监测设施，优化移动通信网络设备，开发重大活动服务保障系统，集成至智慧气象服务系统平台，形成重大活动服务保障模块，满足活动气象监测信息、服务信息采集传输需要。必要时可利用移动气象观测设备实现现场实时数据监测，保障气象信息研判与辅助决策，提供精细化的动态决策气象服务产品，提升重大活动气象保障和应急服务能力。</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53" w:name="_Toc24359"/>
      <w:bookmarkStart w:id="154" w:name="_Toc6142"/>
      <w:r>
        <w:rPr>
          <w:rFonts w:hint="eastAsia" w:ascii="仿宋" w:hAnsi="仿宋" w:eastAsia="仿宋" w:cs="仿宋"/>
          <w:b/>
          <w:color w:val="auto"/>
          <w:sz w:val="28"/>
          <w:szCs w:val="28"/>
        </w:rPr>
        <w:t>3.全国气象科普教育基地建设项目</w:t>
      </w:r>
      <w:bookmarkEnd w:id="153"/>
      <w:bookmarkEnd w:id="154"/>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承接已有科普宣教基地建设基础，拓展线下线上双渠道，丰富线上科普宣教资源形式及内容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增设交互式气象科普仪器，拓展科普宣教受众面，分受众、分人群积极回应社会关注问题</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开展气象科普教育基地建设，竞争气象科普教育基地建设国家级水平，提升公众气象知识储备，加强公众气象防灾减灾意识。</w:t>
      </w:r>
    </w:p>
    <w:p>
      <w:pPr>
        <w:pStyle w:val="3"/>
        <w:keepNext/>
        <w:keepLines/>
        <w:pageBreakBefore w:val="0"/>
        <w:widowControl w:val="0"/>
        <w:kinsoku/>
        <w:wordWrap/>
        <w:overflowPunct/>
        <w:topLinePunct w:val="0"/>
        <w:autoSpaceDE/>
        <w:autoSpaceDN/>
        <w:bidi w:val="0"/>
        <w:adjustRightInd/>
        <w:snapToGrid w:val="0"/>
        <w:spacing w:before="200" w:beforeLines="0" w:beforeAutospacing="0" w:after="100" w:afterAutospacing="0" w:line="560" w:lineRule="exact"/>
        <w:ind w:left="420" w:leftChars="200" w:right="0" w:rightChars="0" w:firstLine="0" w:firstLineChars="0"/>
        <w:jc w:val="both"/>
        <w:textAlignment w:val="auto"/>
        <w:outlineLvl w:val="1"/>
        <w:rPr>
          <w:rFonts w:hint="default" w:ascii="仿宋" w:hAnsi="仿宋" w:eastAsia="仿宋" w:cs="仿宋"/>
          <w:b/>
          <w:bCs/>
          <w:color w:val="auto"/>
          <w:kern w:val="2"/>
          <w:sz w:val="32"/>
          <w:szCs w:val="32"/>
        </w:rPr>
      </w:pPr>
      <w:bookmarkStart w:id="155" w:name="_Toc82608952"/>
      <w:bookmarkStart w:id="156" w:name="_Toc9117"/>
      <w:r>
        <w:rPr>
          <w:rFonts w:hint="default" w:ascii="仿宋" w:hAnsi="仿宋" w:eastAsia="仿宋" w:cs="仿宋"/>
          <w:b/>
          <w:bCs/>
          <w:color w:val="auto"/>
          <w:kern w:val="2"/>
          <w:sz w:val="32"/>
          <w:szCs w:val="32"/>
        </w:rPr>
        <w:t>（三）朝阳区气象防灾减灾能力提升工程</w:t>
      </w:r>
      <w:bookmarkEnd w:id="155"/>
      <w:bookmarkEnd w:id="156"/>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57" w:name="_Toc7917"/>
      <w:bookmarkStart w:id="158" w:name="_Toc2680"/>
      <w:r>
        <w:rPr>
          <w:rFonts w:hint="eastAsia" w:ascii="仿宋" w:hAnsi="仿宋" w:eastAsia="仿宋" w:cs="仿宋"/>
          <w:b/>
          <w:color w:val="auto"/>
          <w:sz w:val="28"/>
          <w:szCs w:val="28"/>
        </w:rPr>
        <w:t>1.气象灾害风险普查机制建设项目</w:t>
      </w:r>
      <w:bookmarkEnd w:id="157"/>
      <w:bookmarkEnd w:id="158"/>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开展朝阳区气象灾害综合风险普查工作，构建气象评估体系，编制朝阳区主要灾种的致灾因子、危险性评估、承灾体评估机制，实现气象对生态建设、应急管理等多个城市管理领域的影响评估。完成风险区划等专业图集和气象灾害风险区划报告。绘制朝阳区气象灾害风险图和综合防治区划图，开展气象灾害评估、预警及防灾减灾服务业务应用。</w:t>
      </w:r>
    </w:p>
    <w:p>
      <w:pPr>
        <w:keepNext w:val="0"/>
        <w:keepLines w:val="0"/>
        <w:pageBreakBefore w:val="0"/>
        <w:widowControl w:val="0"/>
        <w:kinsoku/>
        <w:wordWrap/>
        <w:overflowPunct/>
        <w:topLinePunct w:val="0"/>
        <w:autoSpaceDE/>
        <w:autoSpaceDN/>
        <w:bidi w:val="0"/>
        <w:adjustRightInd/>
        <w:snapToGrid w:val="0"/>
        <w:spacing w:before="100" w:line="560" w:lineRule="exact"/>
        <w:ind w:left="0" w:leftChars="0" w:right="0" w:rightChars="0" w:firstLine="560" w:firstLineChars="200"/>
        <w:jc w:val="both"/>
        <w:textAlignment w:val="auto"/>
        <w:outlineLvl w:val="2"/>
        <w:rPr>
          <w:rFonts w:hint="eastAsia" w:ascii="仿宋" w:hAnsi="仿宋" w:eastAsia="仿宋" w:cs="仿宋"/>
          <w:b/>
          <w:color w:val="auto"/>
          <w:sz w:val="28"/>
          <w:szCs w:val="28"/>
        </w:rPr>
      </w:pPr>
      <w:bookmarkStart w:id="159" w:name="_Toc20342"/>
      <w:bookmarkStart w:id="160" w:name="_Toc32429"/>
      <w:r>
        <w:rPr>
          <w:rFonts w:hint="eastAsia" w:ascii="仿宋" w:hAnsi="仿宋" w:eastAsia="仿宋" w:cs="仿宋"/>
          <w:b/>
          <w:color w:val="auto"/>
          <w:sz w:val="28"/>
          <w:szCs w:val="28"/>
        </w:rPr>
        <w:t>2.重大灾害天气数据系统建设项目</w:t>
      </w:r>
      <w:bookmarkEnd w:id="159"/>
      <w:bookmarkEnd w:id="160"/>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利用智能识别算法，建设重大灾害性天气案例库，包含气象观测数据、预报数据、地理信息数据、灾情数据等，结合风险普查成果及评估机制建设，实现各类气象数据动态查询检索及灾害天气评估，保障各类决策服务材料的智能制作、审核、签发、发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并集成至智慧气象服务系统平台，为气象智慧服务提供数据支撑。</w:t>
      </w:r>
      <w:bookmarkEnd w:id="136"/>
      <w:bookmarkEnd w:id="137"/>
      <w:bookmarkEnd w:id="138"/>
      <w:bookmarkEnd w:id="139"/>
      <w:bookmarkEnd w:id="140"/>
      <w:bookmarkEnd w:id="141"/>
      <w:bookmarkEnd w:id="142"/>
      <w:bookmarkStart w:id="161" w:name="_Toc21397"/>
      <w:bookmarkStart w:id="162" w:name="_Toc4020"/>
      <w:bookmarkStart w:id="163" w:name="_Toc28318"/>
      <w:bookmarkStart w:id="164" w:name="_Toc23208"/>
      <w:bookmarkStart w:id="165" w:name="_Toc13871"/>
      <w:bookmarkStart w:id="166" w:name="_Toc14859"/>
      <w:bookmarkStart w:id="167" w:name="_Toc4081"/>
    </w:p>
    <w:p>
      <w:pPr>
        <w:pStyle w:val="2"/>
        <w:keepNext/>
        <w:keepLines/>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both"/>
        <w:textAlignment w:val="auto"/>
        <w:outlineLvl w:val="0"/>
        <w:rPr>
          <w:rFonts w:hint="default"/>
          <w:b/>
          <w:bCs/>
          <w:color w:val="auto"/>
          <w:sz w:val="36"/>
          <w:szCs w:val="36"/>
        </w:rPr>
      </w:pPr>
      <w:bookmarkStart w:id="168" w:name="_Toc5613"/>
      <w:bookmarkStart w:id="169" w:name="_Toc82608953"/>
      <w:r>
        <w:rPr>
          <w:rFonts w:hint="default"/>
          <w:b/>
          <w:bCs/>
          <w:color w:val="auto"/>
          <w:sz w:val="36"/>
          <w:szCs w:val="36"/>
        </w:rPr>
        <w:t>五</w:t>
      </w:r>
      <w:r>
        <w:rPr>
          <w:rFonts w:hint="eastAsia"/>
          <w:b/>
          <w:bCs/>
          <w:color w:val="auto"/>
          <w:sz w:val="36"/>
          <w:szCs w:val="36"/>
          <w:lang w:eastAsia="zh-CN"/>
        </w:rPr>
        <w:t>、</w:t>
      </w:r>
      <w:r>
        <w:rPr>
          <w:rFonts w:hint="default"/>
          <w:b/>
          <w:bCs/>
          <w:color w:val="auto"/>
          <w:sz w:val="36"/>
          <w:szCs w:val="36"/>
        </w:rPr>
        <w:t>保障措施</w:t>
      </w:r>
      <w:bookmarkEnd w:id="161"/>
      <w:bookmarkEnd w:id="162"/>
      <w:bookmarkEnd w:id="163"/>
      <w:bookmarkEnd w:id="164"/>
      <w:bookmarkEnd w:id="165"/>
      <w:bookmarkEnd w:id="166"/>
      <w:bookmarkEnd w:id="167"/>
      <w:bookmarkEnd w:id="168"/>
      <w:bookmarkEnd w:id="169"/>
    </w:p>
    <w:p>
      <w:pPr>
        <w:pStyle w:val="3"/>
        <w:keepNext/>
        <w:keepLines/>
        <w:pageBreakBefore w:val="0"/>
        <w:widowControl w:val="0"/>
        <w:kinsoku/>
        <w:wordWrap/>
        <w:overflowPunct/>
        <w:topLinePunct w:val="0"/>
        <w:autoSpaceDE/>
        <w:autoSpaceDN/>
        <w:bidi w:val="0"/>
        <w:adjustRightInd/>
        <w:snapToGrid w:val="0"/>
        <w:spacing w:before="200" w:beforeLines="0" w:beforeAutospacing="0" w:after="100" w:afterAutospacing="0" w:line="560" w:lineRule="exact"/>
        <w:ind w:left="420" w:leftChars="200" w:right="0" w:rightChars="0" w:firstLine="0" w:firstLineChars="0"/>
        <w:jc w:val="both"/>
        <w:textAlignment w:val="auto"/>
        <w:outlineLvl w:val="1"/>
        <w:rPr>
          <w:rFonts w:hint="default" w:ascii="仿宋" w:hAnsi="仿宋" w:eastAsia="仿宋" w:cs="仿宋"/>
          <w:b/>
          <w:bCs/>
          <w:color w:val="auto"/>
          <w:kern w:val="2"/>
          <w:sz w:val="32"/>
          <w:szCs w:val="32"/>
        </w:rPr>
      </w:pPr>
      <w:bookmarkStart w:id="170" w:name="_Toc3071"/>
      <w:bookmarkStart w:id="171" w:name="_Toc3877"/>
      <w:bookmarkStart w:id="172" w:name="_Toc10370"/>
      <w:bookmarkStart w:id="173" w:name="_Toc1691"/>
      <w:bookmarkStart w:id="174" w:name="_Toc82608954"/>
      <w:bookmarkStart w:id="175" w:name="_Toc22279"/>
      <w:bookmarkStart w:id="176" w:name="_Toc5107"/>
      <w:bookmarkStart w:id="177" w:name="_Toc26517"/>
      <w:bookmarkStart w:id="178" w:name="_Toc27137"/>
      <w:r>
        <w:rPr>
          <w:rFonts w:hint="default" w:ascii="仿宋" w:hAnsi="仿宋" w:eastAsia="仿宋" w:cs="仿宋"/>
          <w:b/>
          <w:bCs/>
          <w:color w:val="auto"/>
          <w:kern w:val="2"/>
          <w:sz w:val="32"/>
          <w:szCs w:val="32"/>
        </w:rPr>
        <w:t>（一）加强组织领导，统筹协调落实</w:t>
      </w:r>
      <w:bookmarkEnd w:id="170"/>
      <w:bookmarkEnd w:id="171"/>
      <w:bookmarkEnd w:id="172"/>
      <w:bookmarkEnd w:id="173"/>
      <w:bookmarkEnd w:id="174"/>
      <w:bookmarkEnd w:id="175"/>
      <w:bookmarkEnd w:id="176"/>
      <w:bookmarkEnd w:id="177"/>
      <w:bookmarkEnd w:id="178"/>
      <w:r>
        <w:rPr>
          <w:rFonts w:hint="default" w:ascii="仿宋" w:hAnsi="仿宋" w:eastAsia="仿宋" w:cs="仿宋"/>
          <w:b/>
          <w:bCs/>
          <w:color w:val="auto"/>
          <w:kern w:val="2"/>
          <w:sz w:val="32"/>
          <w:szCs w:val="32"/>
        </w:rPr>
        <w:tab/>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将“十四五”气象事业发展规划实施情况纳入党组议事事项，明确领导班子及各科室工作责任，加强对规划实施的统筹协调，调动全局力量做好规划实施工作。加深气象规划与市级、区级规划以及相关行业规划之间的衔接机制，落实一张蓝图绘到底。制定规划实施考核、跟踪分析评估工作，在规划方向的指引下，通过规划实施推进气象事业高质量发展。</w:t>
      </w:r>
    </w:p>
    <w:p>
      <w:pPr>
        <w:pStyle w:val="3"/>
        <w:keepNext/>
        <w:keepLines/>
        <w:pageBreakBefore w:val="0"/>
        <w:widowControl w:val="0"/>
        <w:kinsoku/>
        <w:wordWrap/>
        <w:overflowPunct/>
        <w:topLinePunct w:val="0"/>
        <w:autoSpaceDE/>
        <w:autoSpaceDN/>
        <w:bidi w:val="0"/>
        <w:adjustRightInd/>
        <w:snapToGrid w:val="0"/>
        <w:spacing w:before="200" w:beforeLines="0" w:beforeAutospacing="0" w:after="100" w:afterAutospacing="0" w:line="560" w:lineRule="exact"/>
        <w:ind w:left="420" w:leftChars="200" w:right="0" w:rightChars="0" w:firstLine="0" w:firstLineChars="0"/>
        <w:jc w:val="both"/>
        <w:textAlignment w:val="auto"/>
        <w:outlineLvl w:val="1"/>
        <w:rPr>
          <w:rFonts w:hint="default" w:ascii="仿宋" w:hAnsi="仿宋" w:eastAsia="仿宋" w:cs="仿宋"/>
          <w:b/>
          <w:bCs/>
          <w:color w:val="auto"/>
          <w:kern w:val="2"/>
          <w:sz w:val="32"/>
          <w:szCs w:val="32"/>
        </w:rPr>
      </w:pPr>
      <w:bookmarkStart w:id="179" w:name="_Toc16858"/>
      <w:bookmarkStart w:id="180" w:name="_Toc2049"/>
      <w:bookmarkStart w:id="181" w:name="_Toc19045"/>
      <w:bookmarkStart w:id="182" w:name="_Toc31153"/>
      <w:bookmarkStart w:id="183" w:name="_Toc1037"/>
      <w:bookmarkStart w:id="184" w:name="_Toc82608955"/>
      <w:bookmarkStart w:id="185" w:name="_Toc18597"/>
      <w:bookmarkStart w:id="186" w:name="_Toc1400"/>
      <w:bookmarkStart w:id="187" w:name="_Toc32762"/>
      <w:r>
        <w:rPr>
          <w:rFonts w:hint="default" w:ascii="仿宋" w:hAnsi="仿宋" w:eastAsia="仿宋" w:cs="仿宋"/>
          <w:b/>
          <w:bCs/>
          <w:color w:val="auto"/>
          <w:kern w:val="2"/>
          <w:sz w:val="32"/>
          <w:szCs w:val="32"/>
        </w:rPr>
        <w:t>（二）强化资金保障，确保规划实施</w:t>
      </w:r>
      <w:bookmarkEnd w:id="179"/>
      <w:bookmarkEnd w:id="180"/>
      <w:bookmarkEnd w:id="181"/>
      <w:bookmarkEnd w:id="182"/>
      <w:bookmarkEnd w:id="183"/>
      <w:bookmarkEnd w:id="184"/>
      <w:bookmarkEnd w:id="185"/>
      <w:bookmarkEnd w:id="186"/>
      <w:bookmarkEnd w:id="187"/>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充分发挥政府对气象发展投资资金作用，建立长期稳定的气象发展财政投入机制，加大在气象灾害监测预警、信息发布、应急指挥及防灾减灾工程等重大项目、科学研究和成果应用等方面的经费投入，为朝阳区气象事业发展提供财力支撑。合理安排预算，强化对财政资金使用的审计监督。加强财政专项资金管理，提高财政资金使用的规范性和效益性。</w:t>
      </w:r>
    </w:p>
    <w:p>
      <w:pPr>
        <w:pStyle w:val="3"/>
        <w:keepNext/>
        <w:keepLines/>
        <w:pageBreakBefore w:val="0"/>
        <w:widowControl w:val="0"/>
        <w:kinsoku/>
        <w:wordWrap/>
        <w:overflowPunct/>
        <w:topLinePunct w:val="0"/>
        <w:autoSpaceDE/>
        <w:autoSpaceDN/>
        <w:bidi w:val="0"/>
        <w:adjustRightInd/>
        <w:snapToGrid w:val="0"/>
        <w:spacing w:before="200" w:beforeLines="0" w:beforeAutospacing="0" w:after="100" w:afterAutospacing="0" w:line="560" w:lineRule="exact"/>
        <w:ind w:left="420" w:leftChars="200" w:right="0" w:rightChars="0" w:firstLine="0" w:firstLineChars="0"/>
        <w:jc w:val="both"/>
        <w:textAlignment w:val="auto"/>
        <w:outlineLvl w:val="1"/>
        <w:rPr>
          <w:rFonts w:hint="default" w:ascii="仿宋" w:hAnsi="仿宋" w:eastAsia="仿宋" w:cs="仿宋"/>
          <w:b/>
          <w:bCs/>
          <w:color w:val="auto"/>
          <w:kern w:val="2"/>
          <w:sz w:val="32"/>
          <w:szCs w:val="32"/>
        </w:rPr>
      </w:pPr>
      <w:bookmarkStart w:id="188" w:name="_Toc9776"/>
      <w:bookmarkStart w:id="189" w:name="_Toc22827"/>
      <w:bookmarkStart w:id="190" w:name="_Toc254"/>
      <w:bookmarkStart w:id="191" w:name="_Toc3095"/>
      <w:bookmarkStart w:id="192" w:name="_Toc25930"/>
      <w:bookmarkStart w:id="193" w:name="_Toc82608956"/>
      <w:bookmarkStart w:id="194" w:name="_Toc22546"/>
      <w:bookmarkStart w:id="195" w:name="_Toc8149"/>
      <w:bookmarkStart w:id="196" w:name="_Toc10341"/>
      <w:r>
        <w:rPr>
          <w:rFonts w:hint="default" w:ascii="仿宋" w:hAnsi="仿宋" w:eastAsia="仿宋" w:cs="仿宋"/>
          <w:b/>
          <w:bCs/>
          <w:color w:val="auto"/>
          <w:kern w:val="2"/>
          <w:sz w:val="32"/>
          <w:szCs w:val="32"/>
        </w:rPr>
        <w:t>（三）强化科技支撑，创新驱动发展</w:t>
      </w:r>
      <w:bookmarkEnd w:id="188"/>
      <w:bookmarkEnd w:id="189"/>
      <w:bookmarkEnd w:id="190"/>
      <w:bookmarkEnd w:id="191"/>
      <w:bookmarkEnd w:id="192"/>
      <w:bookmarkEnd w:id="193"/>
      <w:bookmarkEnd w:id="194"/>
      <w:bookmarkEnd w:id="195"/>
      <w:bookmarkEnd w:id="196"/>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积极加强与北京市气象局科研业务机构、朝阳区科学技术协会以及相关科技公司和高等院校的交流合作，逐步推动科研项目由“独立研发”向“联合研发”模式的转变。围绕重大活动保障、气象灾害风险区划和宜居城市建设等气象主要任务，强化数据共享机制，促进天气预报预警技术研究和本地化的发展，不断提高智慧气象服务能力。</w:t>
      </w:r>
    </w:p>
    <w:p>
      <w:pPr>
        <w:pStyle w:val="3"/>
        <w:keepNext/>
        <w:keepLines/>
        <w:pageBreakBefore w:val="0"/>
        <w:widowControl w:val="0"/>
        <w:kinsoku/>
        <w:wordWrap/>
        <w:overflowPunct/>
        <w:topLinePunct w:val="0"/>
        <w:autoSpaceDE/>
        <w:autoSpaceDN/>
        <w:bidi w:val="0"/>
        <w:adjustRightInd/>
        <w:snapToGrid w:val="0"/>
        <w:spacing w:before="200" w:beforeLines="0" w:beforeAutospacing="0" w:after="100" w:afterAutospacing="0" w:line="560" w:lineRule="exact"/>
        <w:ind w:left="420" w:leftChars="200" w:right="0" w:rightChars="0" w:firstLine="0" w:firstLineChars="0"/>
        <w:jc w:val="both"/>
        <w:textAlignment w:val="auto"/>
        <w:outlineLvl w:val="1"/>
        <w:rPr>
          <w:rFonts w:hint="default" w:ascii="仿宋" w:hAnsi="仿宋" w:eastAsia="仿宋" w:cs="仿宋"/>
          <w:b/>
          <w:bCs/>
          <w:color w:val="auto"/>
          <w:kern w:val="2"/>
          <w:sz w:val="32"/>
          <w:szCs w:val="32"/>
        </w:rPr>
      </w:pPr>
      <w:bookmarkStart w:id="197" w:name="_Toc19025"/>
      <w:bookmarkStart w:id="198" w:name="_Toc21297"/>
      <w:bookmarkStart w:id="199" w:name="_Toc1999"/>
      <w:bookmarkStart w:id="200" w:name="_Toc82608957"/>
      <w:bookmarkStart w:id="201" w:name="_Toc8358"/>
      <w:bookmarkStart w:id="202" w:name="_Toc10218"/>
      <w:bookmarkStart w:id="203" w:name="_Toc1031"/>
      <w:bookmarkStart w:id="204" w:name="_Toc9639"/>
      <w:bookmarkStart w:id="205" w:name="_Toc19794"/>
      <w:r>
        <w:rPr>
          <w:rFonts w:hint="default" w:ascii="仿宋" w:hAnsi="仿宋" w:eastAsia="仿宋" w:cs="仿宋"/>
          <w:b/>
          <w:bCs/>
          <w:color w:val="auto"/>
          <w:kern w:val="2"/>
          <w:sz w:val="32"/>
          <w:szCs w:val="32"/>
        </w:rPr>
        <w:t>（四）健全法规体系，保障规划实施</w:t>
      </w:r>
      <w:bookmarkEnd w:id="197"/>
      <w:bookmarkEnd w:id="198"/>
      <w:bookmarkEnd w:id="199"/>
      <w:bookmarkEnd w:id="200"/>
      <w:bookmarkEnd w:id="201"/>
      <w:bookmarkEnd w:id="202"/>
      <w:bookmarkEnd w:id="203"/>
      <w:bookmarkEnd w:id="204"/>
      <w:bookmarkEnd w:id="205"/>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加强气象职能科室依法履职能力，在规划实施过程中，做到依法依规谋划建设重点工程，切实发挥好法律顾问、公职律师在重大决策、行政管理、重点工作中防范法律风险的作用。提升气象标准和规范的导向作用，规范项目管理体系，从气象项目立项到建设、运行维护全过程进行管理，切实提高项目建设质量，保障规划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nsolas">
    <w:panose1 w:val="020B0609020204030204"/>
    <w:charset w:val="00"/>
    <w:family w:val="modern"/>
    <w:pitch w:val="default"/>
    <w:sig w:usb0="A00002EF" w:usb1="40002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
    <w:altName w:val="楷体_GB2312"/>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Webdings">
    <w:altName w:val="MingLiU"/>
    <w:panose1 w:val="05030102010509060703"/>
    <w:charset w:val="00"/>
    <w:family w:val="auto"/>
    <w:pitch w:val="default"/>
    <w:sig w:usb0="00000000" w:usb1="00000000" w:usb2="00000000" w:usb3="00000000" w:csb0="80000000" w:csb1="00000000"/>
  </w:font>
  <w:font w:name="Vivaldi">
    <w:altName w:val="MingLiU"/>
    <w:panose1 w:val="03020602050506090804"/>
    <w:charset w:val="00"/>
    <w:family w:val="auto"/>
    <w:pitch w:val="default"/>
    <w:sig w:usb0="00000000" w:usb1="00000000" w:usb2="00000000" w:usb3="00000000" w:csb0="20000001" w:csb1="00000000"/>
  </w:font>
  <w:font w:name="Vani">
    <w:altName w:val="Corbel"/>
    <w:panose1 w:val="020B0502040204020203"/>
    <w:charset w:val="00"/>
    <w:family w:val="auto"/>
    <w:pitch w:val="default"/>
    <w:sig w:usb0="00000000" w:usb1="00000000" w:usb2="00000000" w:usb3="00000000" w:csb0="00000001" w:csb1="00000000"/>
  </w:font>
  <w:font w:name="Tw Cen MT Condensed Extra Bold">
    <w:altName w:val="Corbel"/>
    <w:panose1 w:val="020B0803020202020204"/>
    <w:charset w:val="00"/>
    <w:family w:val="auto"/>
    <w:pitch w:val="default"/>
    <w:sig w:usb0="00000000" w:usb1="00000000" w:usb2="00000000" w:usb3="00000000" w:csb0="20000003" w:csb1="00000000"/>
  </w:font>
  <w:font w:name="Tw Cen MT Condensed">
    <w:altName w:val="Microsoft Sans Serif"/>
    <w:panose1 w:val="020B0606020104020203"/>
    <w:charset w:val="00"/>
    <w:family w:val="auto"/>
    <w:pitch w:val="default"/>
    <w:sig w:usb0="00000000" w:usb1="00000000" w:usb2="00000000" w:usb3="00000000" w:csb0="20000003" w:csb1="00000000"/>
  </w:font>
  <w:font w:name="Tw Cen MT">
    <w:altName w:val="Corbel"/>
    <w:panose1 w:val="020B0602020104020603"/>
    <w:charset w:val="00"/>
    <w:family w:val="auto"/>
    <w:pitch w:val="default"/>
    <w:sig w:usb0="00000000" w:usb1="00000000" w:usb2="00000000" w:usb3="00000000" w:csb0="20000003" w:csb1="00000000"/>
  </w:font>
  <w:font w:name="Tunga">
    <w:altName w:val="Corbel"/>
    <w:panose1 w:val="020B0502040204020203"/>
    <w:charset w:val="00"/>
    <w:family w:val="auto"/>
    <w:pitch w:val="default"/>
    <w:sig w:usb0="00000000" w:usb1="00000000" w:usb2="00000000" w:usb3="00000000" w:csb0="00000001" w:csb1="00000000"/>
  </w:font>
  <w:font w:name="Trebuchet MS">
    <w:altName w:val="Corbel"/>
    <w:panose1 w:val="020B0603020202020204"/>
    <w:charset w:val="00"/>
    <w:family w:val="auto"/>
    <w:pitch w:val="default"/>
    <w:sig w:usb0="00000000" w:usb1="00000000" w:usb2="00000000" w:usb3="00000000" w:csb0="2000009F" w:csb1="00000000"/>
  </w:font>
  <w:font w:name="Traditional Arabic">
    <w:altName w:val="Constantia"/>
    <w:panose1 w:val="02020603050405020304"/>
    <w:charset w:val="00"/>
    <w:family w:val="auto"/>
    <w:pitch w:val="default"/>
    <w:sig w:usb0="00000000" w:usb1="00000000" w:usb2="00000008" w:usb3="00000000" w:csb0="00000041" w:csb1="20080000"/>
  </w:font>
  <w:font w:name="Tempus Sans ITC">
    <w:altName w:val="MingLiU"/>
    <w:panose1 w:val="04020404030D07020202"/>
    <w:charset w:val="00"/>
    <w:family w:val="auto"/>
    <w:pitch w:val="default"/>
    <w:sig w:usb0="00000000"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Wingdings">
    <w:altName w:val="MingLiU"/>
    <w:panose1 w:val="05000000000000000000"/>
    <w:charset w:val="00"/>
    <w:family w:val="auto"/>
    <w:pitch w:val="default"/>
    <w:sig w:usb0="00000000" w:usb1="00000000" w:usb2="00000000" w:usb3="00000000" w:csb0="80000000" w:csb1="00000000"/>
  </w:font>
  <w:font w:name="Wide Latin">
    <w:altName w:val="PMingLiU"/>
    <w:panose1 w:val="020A0A07050505020404"/>
    <w:charset w:val="00"/>
    <w:family w:val="auto"/>
    <w:pitch w:val="default"/>
    <w:sig w:usb0="00000000" w:usb1="00000000" w:usb2="00000000" w:usb3="00000000" w:csb0="20000001" w:csb1="00000000"/>
  </w:font>
  <w:font w:name="Vrinda">
    <w:altName w:val="Corbel"/>
    <w:panose1 w:val="020B0502040204020203"/>
    <w:charset w:val="00"/>
    <w:family w:val="auto"/>
    <w:pitch w:val="default"/>
    <w:sig w:usb0="00000000" w:usb1="00000000" w:usb2="00000000" w:usb3="00000000" w:csb0="00000001" w:csb1="00000000"/>
  </w:font>
  <w:font w:name="Vladimir Script">
    <w:altName w:val="MingLiU"/>
    <w:panose1 w:val="03050402040407070305"/>
    <w:charset w:val="00"/>
    <w:family w:val="auto"/>
    <w:pitch w:val="default"/>
    <w:sig w:usb0="00000000" w:usb1="00000000" w:usb2="00000000" w:usb3="00000000" w:csb0="20000001" w:csb1="00000000"/>
  </w:font>
  <w:font w:name="Viner Hand ITC">
    <w:altName w:val="MingLiU"/>
    <w:panose1 w:val="03070502030502020203"/>
    <w:charset w:val="00"/>
    <w:family w:val="auto"/>
    <w:pitch w:val="default"/>
    <w:sig w:usb0="00000000" w:usb1="00000000" w:usb2="00000000" w:usb3="00000000" w:csb0="20000001" w:csb1="00000000"/>
  </w:font>
  <w:font w:name="Vijaya">
    <w:altName w:val="Microsoft Sans Serif"/>
    <w:panose1 w:val="020B0604020202020204"/>
    <w:charset w:val="00"/>
    <w:family w:val="auto"/>
    <w:pitch w:val="default"/>
    <w:sig w:usb0="00000000" w:usb1="00000000" w:usb2="00000000" w:usb3="00000000" w:csb0="00000001" w:csb1="00000000"/>
  </w:font>
  <w:font w:name="Verdana">
    <w:altName w:val="Tahoma"/>
    <w:panose1 w:val="020B0604030504040204"/>
    <w:charset w:val="00"/>
    <w:family w:val="auto"/>
    <w:pitch w:val="default"/>
    <w:sig w:usb0="00000000" w:usb1="00000000" w:usb2="00000010" w:usb3="00000000" w:csb0="2000019F" w:csb1="00000000"/>
  </w:font>
  <w:font w:name="Utsaah">
    <w:altName w:val="Microsoft Sans Serif"/>
    <w:panose1 w:val="020B0604020202020204"/>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 w:name="Corbel">
    <w:panose1 w:val="020B0503020204020204"/>
    <w:charset w:val="00"/>
    <w:family w:val="auto"/>
    <w:pitch w:val="default"/>
    <w:sig w:usb0="A00002EF" w:usb1="4000204B" w:usb2="00000000" w:usb3="00000000" w:csb0="2000009F" w:csb1="00000000"/>
  </w:font>
  <w:font w:name="Constantia">
    <w:panose1 w:val="02030602050306030303"/>
    <w:charset w:val="00"/>
    <w:family w:val="auto"/>
    <w:pitch w:val="default"/>
    <w:sig w:usb0="A00002EF" w:usb1="4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17</w:t>
    </w:r>
    <w: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8D"/>
    <w:rsid w:val="00057A8D"/>
    <w:rsid w:val="006610DE"/>
    <w:rsid w:val="00763B36"/>
    <w:rsid w:val="007E7905"/>
    <w:rsid w:val="00885169"/>
    <w:rsid w:val="00D66B66"/>
    <w:rsid w:val="00E277C5"/>
    <w:rsid w:val="00E6473F"/>
    <w:rsid w:val="04F95A18"/>
    <w:rsid w:val="05E36AA5"/>
    <w:rsid w:val="066C4F83"/>
    <w:rsid w:val="0A133FBC"/>
    <w:rsid w:val="0B222312"/>
    <w:rsid w:val="0BD87FAC"/>
    <w:rsid w:val="10DD5B59"/>
    <w:rsid w:val="12041009"/>
    <w:rsid w:val="1309784A"/>
    <w:rsid w:val="13F01BB9"/>
    <w:rsid w:val="18B05A27"/>
    <w:rsid w:val="199C712D"/>
    <w:rsid w:val="1C7D5B3A"/>
    <w:rsid w:val="1EAF732A"/>
    <w:rsid w:val="1FD832BC"/>
    <w:rsid w:val="1FE51D7F"/>
    <w:rsid w:val="20CA3452"/>
    <w:rsid w:val="220B3672"/>
    <w:rsid w:val="24712658"/>
    <w:rsid w:val="28D722C3"/>
    <w:rsid w:val="296F10AE"/>
    <w:rsid w:val="30101A7C"/>
    <w:rsid w:val="3140354F"/>
    <w:rsid w:val="319F272C"/>
    <w:rsid w:val="3383470F"/>
    <w:rsid w:val="34A86100"/>
    <w:rsid w:val="37365320"/>
    <w:rsid w:val="3BBE074D"/>
    <w:rsid w:val="3D626A7C"/>
    <w:rsid w:val="3E547D97"/>
    <w:rsid w:val="427F1AC9"/>
    <w:rsid w:val="44D01B63"/>
    <w:rsid w:val="45C516C3"/>
    <w:rsid w:val="4DAE4931"/>
    <w:rsid w:val="51B40E52"/>
    <w:rsid w:val="522A2018"/>
    <w:rsid w:val="5E9C4016"/>
    <w:rsid w:val="60557F9E"/>
    <w:rsid w:val="60C96A10"/>
    <w:rsid w:val="6C8D6B56"/>
    <w:rsid w:val="6DC529EE"/>
    <w:rsid w:val="6E986767"/>
    <w:rsid w:val="70652156"/>
    <w:rsid w:val="74A5754F"/>
    <w:rsid w:val="75511D83"/>
    <w:rsid w:val="79362063"/>
    <w:rsid w:val="79C93A60"/>
    <w:rsid w:val="7B1D6FD6"/>
    <w:rsid w:val="7DDD6928"/>
    <w:rsid w:val="7E5E1CAC"/>
    <w:rsid w:val="7E9B03F6"/>
    <w:rsid w:val="7F344DF7"/>
    <w:rsid w:val="7FEF5A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3"/>
    <w:link w:val="38"/>
    <w:qFormat/>
    <w:uiPriority w:val="9"/>
    <w:pPr>
      <w:keepNext/>
      <w:keepLines/>
      <w:spacing w:before="480" w:after="480"/>
      <w:outlineLvl w:val="0"/>
    </w:pPr>
    <w:rPr>
      <w:b/>
      <w:bCs/>
      <w:kern w:val="44"/>
      <w:sz w:val="44"/>
      <w:szCs w:val="44"/>
    </w:rPr>
  </w:style>
  <w:style w:type="paragraph" w:styleId="3">
    <w:name w:val="heading 2"/>
    <w:basedOn w:val="1"/>
    <w:next w:val="1"/>
    <w:link w:val="39"/>
    <w:qFormat/>
    <w:uiPriority w:val="9"/>
    <w:pPr>
      <w:spacing w:beforeAutospacing="1" w:afterAutospacing="1"/>
      <w:jc w:val="left"/>
      <w:outlineLvl w:val="1"/>
    </w:pPr>
    <w:rPr>
      <w:rFonts w:hint="eastAsia" w:ascii="宋体" w:hAnsi="宋体" w:cs="Times New Roman"/>
      <w:kern w:val="0"/>
      <w:sz w:val="36"/>
      <w:szCs w:val="36"/>
    </w:rPr>
  </w:style>
  <w:style w:type="paragraph" w:styleId="4">
    <w:name w:val="heading 3"/>
    <w:basedOn w:val="3"/>
    <w:next w:val="5"/>
    <w:link w:val="40"/>
    <w:qFormat/>
    <w:uiPriority w:val="9"/>
    <w:pPr>
      <w:spacing w:beforeLines="50" w:line="360" w:lineRule="auto"/>
      <w:outlineLvl w:val="2"/>
    </w:pPr>
    <w:rPr>
      <w:sz w:val="30"/>
    </w:rPr>
  </w:style>
  <w:style w:type="paragraph" w:styleId="5">
    <w:name w:val="heading 4"/>
    <w:basedOn w:val="4"/>
    <w:next w:val="1"/>
    <w:qFormat/>
    <w:uiPriority w:val="0"/>
    <w:pPr>
      <w:outlineLvl w:val="3"/>
    </w:pPr>
    <w:rPr>
      <w:sz w:val="28"/>
      <w:szCs w:val="28"/>
    </w:rPr>
  </w:style>
  <w:style w:type="character" w:default="1" w:styleId="17">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4"/>
    <w:qFormat/>
    <w:uiPriority w:val="0"/>
    <w:rPr>
      <w:b/>
      <w:bCs/>
    </w:rPr>
  </w:style>
  <w:style w:type="paragraph" w:styleId="7">
    <w:name w:val="annotation text"/>
    <w:basedOn w:val="1"/>
    <w:link w:val="33"/>
    <w:qFormat/>
    <w:uiPriority w:val="0"/>
    <w:pPr>
      <w:jc w:val="left"/>
    </w:pPr>
  </w:style>
  <w:style w:type="paragraph" w:styleId="8">
    <w:name w:val="Document Map"/>
    <w:basedOn w:val="1"/>
    <w:link w:val="27"/>
    <w:qFormat/>
    <w:uiPriority w:val="0"/>
    <w:rPr>
      <w:rFonts w:ascii="宋体"/>
      <w:sz w:val="18"/>
      <w:szCs w:val="18"/>
    </w:rPr>
  </w:style>
  <w:style w:type="paragraph" w:styleId="9">
    <w:name w:val="toc 5"/>
    <w:basedOn w:val="1"/>
    <w:next w:val="1"/>
    <w:qFormat/>
    <w:uiPriority w:val="39"/>
    <w:pPr>
      <w:ind w:left="1680" w:leftChars="800"/>
    </w:pPr>
  </w:style>
  <w:style w:type="paragraph" w:styleId="10">
    <w:name w:val="toc 3"/>
    <w:basedOn w:val="1"/>
    <w:next w:val="1"/>
    <w:qFormat/>
    <w:uiPriority w:val="39"/>
    <w:pPr>
      <w:ind w:left="840" w:leftChars="400"/>
    </w:pPr>
  </w:style>
  <w:style w:type="paragraph" w:styleId="11">
    <w:name w:val="Balloon Text"/>
    <w:basedOn w:val="1"/>
    <w:link w:val="35"/>
    <w:qFormat/>
    <w:uiPriority w:val="0"/>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4"/>
    <w:basedOn w:val="1"/>
    <w:next w:val="1"/>
    <w:qFormat/>
    <w:uiPriority w:val="39"/>
    <w:pPr>
      <w:ind w:left="1260" w:leftChars="600"/>
    </w:pPr>
  </w:style>
  <w:style w:type="paragraph" w:styleId="16">
    <w:name w:val="toc 2"/>
    <w:basedOn w:val="1"/>
    <w:next w:val="1"/>
    <w:qFormat/>
    <w:uiPriority w:val="39"/>
    <w:pPr>
      <w:ind w:left="420" w:leftChars="200"/>
    </w:pPr>
    <w:rPr>
      <w:rFonts w:eastAsia="黑体"/>
      <w:sz w:val="36"/>
    </w:rPr>
  </w:style>
  <w:style w:type="character" w:styleId="18">
    <w:name w:val="Strong"/>
    <w:basedOn w:val="17"/>
    <w:qFormat/>
    <w:uiPriority w:val="0"/>
    <w:rPr>
      <w:b/>
      <w:bCs/>
    </w:rPr>
  </w:style>
  <w:style w:type="character" w:styleId="19">
    <w:name w:val="FollowedHyperlink"/>
    <w:basedOn w:val="17"/>
    <w:qFormat/>
    <w:uiPriority w:val="0"/>
    <w:rPr>
      <w:color w:val="337AB7"/>
      <w:u w:val="none"/>
    </w:rPr>
  </w:style>
  <w:style w:type="character" w:styleId="20">
    <w:name w:val="HTML Definition"/>
    <w:basedOn w:val="17"/>
    <w:qFormat/>
    <w:uiPriority w:val="0"/>
    <w:rPr>
      <w:i/>
      <w:iCs/>
    </w:rPr>
  </w:style>
  <w:style w:type="character" w:styleId="21">
    <w:name w:val="Hyperlink"/>
    <w:qFormat/>
    <w:uiPriority w:val="99"/>
    <w:rPr>
      <w:color w:val="0000FF"/>
      <w:u w:val="single"/>
    </w:rPr>
  </w:style>
  <w:style w:type="character" w:styleId="22">
    <w:name w:val="HTML Code"/>
    <w:basedOn w:val="17"/>
    <w:qFormat/>
    <w:uiPriority w:val="0"/>
    <w:rPr>
      <w:rFonts w:hint="default" w:ascii="Consolas" w:hAnsi="Consolas" w:eastAsia="Consolas" w:cs="Consolas"/>
      <w:color w:val="C7254E"/>
      <w:sz w:val="21"/>
      <w:szCs w:val="21"/>
      <w:shd w:val="clear" w:color="auto" w:fill="F9F2F4"/>
    </w:rPr>
  </w:style>
  <w:style w:type="character" w:styleId="23">
    <w:name w:val="annotation reference"/>
    <w:basedOn w:val="17"/>
    <w:qFormat/>
    <w:uiPriority w:val="0"/>
    <w:rPr>
      <w:sz w:val="21"/>
      <w:szCs w:val="21"/>
    </w:rPr>
  </w:style>
  <w:style w:type="character" w:styleId="24">
    <w:name w:val="HTML Keyboard"/>
    <w:basedOn w:val="17"/>
    <w:qFormat/>
    <w:uiPriority w:val="0"/>
    <w:rPr>
      <w:rFonts w:ascii="Consolas" w:hAnsi="Consolas" w:eastAsia="Consolas" w:cs="Consolas"/>
      <w:color w:val="FFFFFF"/>
      <w:sz w:val="21"/>
      <w:szCs w:val="21"/>
      <w:shd w:val="clear" w:color="auto" w:fill="333333"/>
    </w:rPr>
  </w:style>
  <w:style w:type="character" w:styleId="25">
    <w:name w:val="HTML Sample"/>
    <w:basedOn w:val="17"/>
    <w:qFormat/>
    <w:uiPriority w:val="0"/>
    <w:rPr>
      <w:rFonts w:hint="default" w:ascii="Consolas" w:hAnsi="Consolas" w:eastAsia="Consolas" w:cs="Consolas"/>
      <w:sz w:val="21"/>
      <w:szCs w:val="21"/>
    </w:rPr>
  </w:style>
  <w:style w:type="character" w:customStyle="1" w:styleId="27">
    <w:name w:val="文档结构图 Char"/>
    <w:basedOn w:val="17"/>
    <w:link w:val="8"/>
    <w:qFormat/>
    <w:uiPriority w:val="0"/>
    <w:rPr>
      <w:rFonts w:ascii="宋体" w:eastAsia="宋体"/>
      <w:kern w:val="2"/>
      <w:sz w:val="18"/>
      <w:szCs w:val="18"/>
    </w:rPr>
  </w:style>
  <w:style w:type="character" w:customStyle="1" w:styleId="28">
    <w:name w:val="页眉 Char"/>
    <w:basedOn w:val="17"/>
    <w:link w:val="13"/>
    <w:qFormat/>
    <w:uiPriority w:val="0"/>
    <w:rPr>
      <w:kern w:val="2"/>
      <w:sz w:val="18"/>
      <w:szCs w:val="18"/>
    </w:rPr>
  </w:style>
  <w:style w:type="character" w:customStyle="1" w:styleId="29">
    <w:name w:val="页脚 Char"/>
    <w:basedOn w:val="17"/>
    <w:link w:val="12"/>
    <w:qFormat/>
    <w:uiPriority w:val="99"/>
    <w:rPr>
      <w:kern w:val="2"/>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WPSOffice手动目录 2"/>
    <w:qFormat/>
    <w:uiPriority w:val="0"/>
    <w:pPr>
      <w:ind w:left="200" w:leftChars="200"/>
    </w:pPr>
    <w:rPr>
      <w:rFonts w:ascii="Calibri" w:hAnsi="Calibri" w:eastAsia="宋体" w:cs="宋体"/>
      <w:lang w:val="en-US" w:eastAsia="zh-CN" w:bidi="ar-SA"/>
    </w:rPr>
  </w:style>
  <w:style w:type="paragraph" w:customStyle="1" w:styleId="32">
    <w:name w:val="WPSOffice手动目录 3"/>
    <w:qFormat/>
    <w:uiPriority w:val="0"/>
    <w:pPr>
      <w:ind w:left="400" w:leftChars="400"/>
    </w:pPr>
    <w:rPr>
      <w:rFonts w:ascii="Calibri" w:hAnsi="Calibri" w:eastAsia="宋体" w:cs="宋体"/>
      <w:lang w:val="en-US" w:eastAsia="zh-CN" w:bidi="ar-SA"/>
    </w:rPr>
  </w:style>
  <w:style w:type="character" w:customStyle="1" w:styleId="33">
    <w:name w:val="批注文字 Char"/>
    <w:basedOn w:val="17"/>
    <w:link w:val="7"/>
    <w:qFormat/>
    <w:uiPriority w:val="0"/>
    <w:rPr>
      <w:rFonts w:ascii="Calibri" w:hAnsi="Calibri" w:eastAsia="宋体" w:cs="宋体"/>
      <w:kern w:val="2"/>
      <w:sz w:val="21"/>
      <w:szCs w:val="24"/>
    </w:rPr>
  </w:style>
  <w:style w:type="character" w:customStyle="1" w:styleId="34">
    <w:name w:val="批注主题 Char"/>
    <w:basedOn w:val="33"/>
    <w:link w:val="6"/>
    <w:qFormat/>
    <w:uiPriority w:val="0"/>
    <w:rPr>
      <w:rFonts w:ascii="Calibri" w:hAnsi="Calibri" w:eastAsia="宋体" w:cs="宋体"/>
      <w:b/>
      <w:bCs/>
      <w:kern w:val="2"/>
      <w:sz w:val="21"/>
      <w:szCs w:val="24"/>
    </w:rPr>
  </w:style>
  <w:style w:type="character" w:customStyle="1" w:styleId="35">
    <w:name w:val="批注框文本 Char"/>
    <w:basedOn w:val="17"/>
    <w:link w:val="11"/>
    <w:qFormat/>
    <w:uiPriority w:val="0"/>
    <w:rPr>
      <w:rFonts w:ascii="Calibri" w:hAnsi="Calibri" w:eastAsia="宋体" w:cs="宋体"/>
      <w:kern w:val="2"/>
      <w:sz w:val="18"/>
      <w:szCs w:val="18"/>
    </w:rPr>
  </w:style>
  <w:style w:type="character" w:customStyle="1" w:styleId="36">
    <w:name w:val="fontstyle01"/>
    <w:basedOn w:val="17"/>
    <w:qFormat/>
    <w:uiPriority w:val="0"/>
    <w:rPr>
      <w:rFonts w:ascii="仿宋_GB2312" w:hAnsi="仿宋_GB2312" w:eastAsia="仿宋_GB2312" w:cs="仿宋_GB2312"/>
      <w:color w:val="000000"/>
      <w:sz w:val="32"/>
      <w:szCs w:val="32"/>
    </w:rPr>
  </w:style>
  <w:style w:type="character" w:customStyle="1" w:styleId="37">
    <w:name w:val="fontstyle11"/>
    <w:basedOn w:val="17"/>
    <w:qFormat/>
    <w:uiPriority w:val="0"/>
    <w:rPr>
      <w:rFonts w:ascii="宋体" w:hAnsi="宋体" w:eastAsia="宋体" w:cs="宋体"/>
      <w:color w:val="000000"/>
      <w:sz w:val="28"/>
      <w:szCs w:val="28"/>
    </w:rPr>
  </w:style>
  <w:style w:type="character" w:customStyle="1" w:styleId="38">
    <w:name w:val="标题 1 Char"/>
    <w:basedOn w:val="17"/>
    <w:link w:val="2"/>
    <w:qFormat/>
    <w:uiPriority w:val="9"/>
    <w:rPr>
      <w:rFonts w:ascii="Calibri" w:hAnsi="Calibri" w:eastAsia="宋体" w:cs="宋体"/>
      <w:b/>
      <w:bCs/>
      <w:kern w:val="44"/>
      <w:sz w:val="44"/>
      <w:szCs w:val="44"/>
    </w:rPr>
  </w:style>
  <w:style w:type="character" w:customStyle="1" w:styleId="39">
    <w:name w:val="标题 2 Char"/>
    <w:basedOn w:val="17"/>
    <w:link w:val="3"/>
    <w:qFormat/>
    <w:uiPriority w:val="9"/>
    <w:rPr>
      <w:rFonts w:ascii="宋体" w:hAnsi="宋体"/>
      <w:sz w:val="36"/>
      <w:szCs w:val="36"/>
    </w:rPr>
  </w:style>
  <w:style w:type="character" w:customStyle="1" w:styleId="40">
    <w:name w:val="标题 3 Char"/>
    <w:basedOn w:val="17"/>
    <w:link w:val="4"/>
    <w:qFormat/>
    <w:uiPriority w:val="9"/>
    <w:rPr>
      <w:rFonts w:ascii="宋体" w:hAnsi="宋体"/>
      <w:sz w:val="30"/>
      <w:szCs w:val="36"/>
    </w:rPr>
  </w:style>
  <w:style w:type="paragraph" w:customStyle="1" w:styleId="41">
    <w:name w:val="h正文"/>
    <w:basedOn w:val="1"/>
    <w:link w:val="42"/>
    <w:qFormat/>
    <w:uiPriority w:val="0"/>
    <w:pPr>
      <w:spacing w:line="360" w:lineRule="auto"/>
      <w:ind w:firstLine="200" w:firstLineChars="200"/>
    </w:pPr>
    <w:rPr>
      <w:rFonts w:ascii="宋体" w:hAnsi="Times New Roman" w:cs="Times New Roman"/>
      <w:kern w:val="0"/>
      <w:sz w:val="28"/>
      <w:szCs w:val="28"/>
    </w:rPr>
  </w:style>
  <w:style w:type="character" w:customStyle="1" w:styleId="42">
    <w:name w:val="h正文 Char"/>
    <w:link w:val="41"/>
    <w:qFormat/>
    <w:uiPriority w:val="0"/>
    <w:rPr>
      <w:rFonts w:ascii="宋体"/>
      <w:sz w:val="28"/>
      <w:szCs w:val="28"/>
    </w:rPr>
  </w:style>
  <w:style w:type="paragraph" w:customStyle="1" w:styleId="43">
    <w:name w:val="TOC Heading_6bcf884b-7536-40bd-b3cc-468aa16f00f0"/>
    <w:basedOn w:val="2"/>
    <w:next w:val="1"/>
    <w:qFormat/>
    <w:uiPriority w:val="39"/>
    <w:pPr>
      <w:widowControl/>
      <w:spacing w:before="240" w:after="0" w:line="259" w:lineRule="auto"/>
      <w:jc w:val="left"/>
      <w:outlineLvl w:val="9"/>
    </w:pPr>
    <w:rPr>
      <w:rFonts w:ascii="Calibri Light" w:hAnsi="Calibri Light"/>
      <w:b w:val="0"/>
      <w:bCs w:val="0"/>
      <w:color w:val="2E75B6"/>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C65E13-9D69-45E6-A0E5-5DA6644ECC58}">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19</Pages>
  <Words>2080</Words>
  <Characters>11860</Characters>
  <Lines>98</Lines>
  <Paragraphs>27</Paragraphs>
  <ScaleCrop>false</ScaleCrop>
  <LinksUpToDate>false</LinksUpToDate>
  <CharactersWithSpaces>13913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2021-11-10T08:55:00Z</dcterms:created>
  <dc:creator>ceris</dc:creator>
  <cp:lastModifiedBy>Administrator</cp:lastModifiedBy>
  <cp:lastPrinted>2021-10-14T08:50:00Z</cp:lastPrinted>
  <dcterms:modified xsi:type="dcterms:W3CDTF">2022-04-15T01:34:15Z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72436D2B07F6413C88790743262A6137</vt:lpwstr>
  </property>
</Properties>
</file>