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570"/>
        <w:jc w:val="center"/>
        <w:rPr>
          <w:rStyle w:val="4"/>
          <w:color w:val="000000"/>
          <w:sz w:val="29"/>
          <w:szCs w:val="29"/>
        </w:rPr>
      </w:pPr>
      <w:bookmarkStart w:id="0" w:name="_GoBack"/>
      <w:bookmarkEnd w:id="0"/>
      <w:r>
        <w:rPr>
          <w:rStyle w:val="4"/>
          <w:rFonts w:hint="eastAsia"/>
          <w:color w:val="000000"/>
          <w:sz w:val="29"/>
          <w:szCs w:val="29"/>
        </w:rPr>
        <w:t>北京市朝阳区市场监督管理领域</w:t>
      </w:r>
    </w:p>
    <w:p>
      <w:pPr>
        <w:jc w:val="center"/>
        <w:rPr>
          <w:rStyle w:val="4"/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9"/>
          <w:szCs w:val="29"/>
        </w:rPr>
        <w:t>婚姻介绍服务机构经营行为规范指引（征求意见稿）制定依据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《中华人民共和国民法典》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《中华人民共和国消费者权益保护法》</w:t>
      </w:r>
    </w:p>
    <w:p>
      <w:pPr>
        <w:rPr>
          <w:rFonts w:hint="eastAsia"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《中华人民共和国消费者权益保护法实施条例》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《中华人民共和国反不正当竞争法》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《中华人民共和国电子商务法》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《中华人民共和国价格法》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《明码标价和禁止价格欺诈规定》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《中华人民共和国广告法》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《中华人民共和国标准化法》</w:t>
      </w:r>
    </w:p>
    <w:p>
      <w:pPr>
        <w:rPr>
          <w:rFonts w:ascii="宋体" w:hAnsi="宋体" w:eastAsia="宋体"/>
          <w:color w:val="000000"/>
          <w:sz w:val="29"/>
          <w:szCs w:val="29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《中华人民共和国市场主体登记管理条例》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000000"/>
          <w:sz w:val="29"/>
          <w:szCs w:val="29"/>
        </w:rPr>
        <w:t>《合同行政监督管理办法》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F"/>
    <w:rsid w:val="0075450F"/>
    <w:rsid w:val="008E134F"/>
    <w:rsid w:val="484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2024-06-01T07:30:00Z</dcterms:created>
  <dc:creator>WU XUE</dc:creator>
  <cp:lastModifiedBy>admin</cp:lastModifiedBy>
  <dcterms:modified xsi:type="dcterms:W3CDTF">2024-06-03T01:28:10Z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