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default" w:ascii="仿宋" w:hAnsi="仿宋" w:eastAsia="仿宋" w:cs="仿宋"/>
          <w:color w:val="FFFFFF"/>
          <w:w w:val="1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黑体" w:hAnsi="黑体" w:eastAsia="黑体" w:cs="黑体"/>
          <w:color w:val="FFFFFF"/>
          <w:w w:val="10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黑体" w:hAnsi="黑体" w:eastAsia="黑体" w:cs="黑体"/>
          <w:color w:val="FFFFFF"/>
          <w:w w:val="100"/>
          <w:sz w:val="32"/>
          <w:szCs w:val="32"/>
          <w:lang w:eastAsia="zh-CN"/>
        </w:rPr>
      </w:pPr>
    </w:p>
    <w:p>
      <w:pPr>
        <w:jc w:val="center"/>
        <w:rPr>
          <w:rFonts w:hint="eastAsia" w:ascii="方正小标宋简体" w:hAnsi="方正小标宋简体" w:eastAsia="方正小标宋简体" w:cs="方正小标宋简体"/>
          <w:color w:val="FF0000"/>
          <w:w w:val="52"/>
          <w:sz w:val="90"/>
          <w:szCs w:val="100"/>
          <w:lang w:eastAsia="zh-CN"/>
        </w:rPr>
      </w:pPr>
      <w:r>
        <w:rPr>
          <w:rFonts w:hint="eastAsia" w:ascii="方正小标宋简体" w:hAnsi="方正小标宋简体" w:eastAsia="方正小标宋简体" w:cs="方正小标宋简体"/>
          <w:color w:val="FF0000"/>
          <w:w w:val="52"/>
          <w:sz w:val="90"/>
          <w:szCs w:val="100"/>
          <w:lang w:eastAsia="zh-CN"/>
        </w:rPr>
        <w:t>北京市朝阳区城市管理综合行政执法局文件</w:t>
      </w:r>
    </w:p>
    <w:p>
      <w:pPr>
        <w:spacing w:line="560" w:lineRule="exact"/>
        <w:ind w:left="0" w:leftChars="0" w:firstLine="0" w:firstLineChars="0"/>
        <w:jc w:val="both"/>
        <w:rPr>
          <w:rFonts w:eastAsia="仿宋_GB2312"/>
          <w:sz w:val="32"/>
          <w:szCs w:val="32"/>
        </w:rPr>
      </w:pPr>
    </w:p>
    <w:p>
      <w:pPr>
        <w:spacing w:line="560" w:lineRule="exact"/>
        <w:ind w:left="0" w:leftChars="0" w:firstLine="0" w:firstLineChars="0"/>
        <w:jc w:val="center"/>
        <w:rPr>
          <w:rFonts w:ascii="方正小标宋简体" w:hAnsi="方正小标宋简体" w:eastAsia="方正小标宋简体" w:cs="方正小标宋简体"/>
          <w:bCs/>
          <w:sz w:val="44"/>
          <w:szCs w:val="44"/>
        </w:rPr>
      </w:pPr>
      <w:r>
        <w:rPr>
          <w:rFonts w:eastAsia="仿宋_GB2312"/>
          <w:sz w:val="32"/>
          <w:szCs w:val="32"/>
        </w:rPr>
        <w:t>京朝城管</w:t>
      </w:r>
      <w:r>
        <w:rPr>
          <w:rFonts w:hint="eastAsia" w:eastAsia="仿宋_GB2312"/>
          <w:sz w:val="32"/>
          <w:szCs w:val="32"/>
          <w:lang w:eastAsia="zh-CN"/>
        </w:rPr>
        <w:t>发</w:t>
      </w:r>
      <w:r>
        <w:rPr>
          <w:rFonts w:eastAsia="仿宋_GB2312"/>
          <w:sz w:val="32"/>
          <w:szCs w:val="32"/>
        </w:rPr>
        <w:t>〔</w:t>
      </w:r>
      <w:r>
        <w:rPr>
          <w:rFonts w:hint="eastAsia" w:ascii="Times New Roman" w:hAnsi="Times New Roman" w:eastAsia="仿宋_GB2312" w:cs="Times New Roman"/>
          <w:sz w:val="32"/>
          <w:szCs w:val="32"/>
          <w:lang w:val="en-US" w:eastAsia="zh-CN"/>
        </w:rPr>
        <w:t>2022</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w:t>
      </w:r>
      <w:r>
        <w:rPr>
          <w:rFonts w:hint="eastAsia" w:cs="Times New Roman"/>
          <w:sz w:val="32"/>
          <w:szCs w:val="32"/>
          <w:lang w:val="en-US" w:eastAsia="zh-CN"/>
        </w:rPr>
        <w:t>5</w:t>
      </w:r>
      <w:r>
        <w:rPr>
          <w:rFonts w:eastAsia="仿宋_GB2312"/>
          <w:sz w:val="32"/>
          <w:szCs w:val="32"/>
        </w:rPr>
        <w:t>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方正小标宋简体" w:eastAsia="方正小标宋简体"/>
          <w:sz w:val="44"/>
          <w:szCs w:val="44"/>
          <w:lang w:eastAsia="zh-CN"/>
        </w:rPr>
      </w:pPr>
      <w:r>
        <w:rPr>
          <w:w w:val="46"/>
          <w:sz w:val="100"/>
          <w:szCs w:val="100"/>
        </w:rPr>
        <mc:AlternateContent>
          <mc:Choice Requires="wps">
            <w:drawing>
              <wp:anchor distT="0" distB="0" distL="114300" distR="114300" simplePos="0" relativeHeight="251659264" behindDoc="0" locked="0" layoutInCell="1" allowOverlap="1">
                <wp:simplePos x="0" y="0"/>
                <wp:positionH relativeFrom="column">
                  <wp:posOffset>-11430</wp:posOffset>
                </wp:positionH>
                <wp:positionV relativeFrom="paragraph">
                  <wp:posOffset>36195</wp:posOffset>
                </wp:positionV>
                <wp:extent cx="5628640" cy="17145"/>
                <wp:effectExtent l="0" t="7620" r="10160" b="13335"/>
                <wp:wrapNone/>
                <wp:docPr id="2" name="直接连接符 2"/>
                <wp:cNvGraphicFramePr/>
                <a:graphic xmlns:a="http://schemas.openxmlformats.org/drawingml/2006/main">
                  <a:graphicData uri="http://schemas.microsoft.com/office/word/2010/wordprocessingShape">
                    <wps:wsp>
                      <wps:cNvCnPr/>
                      <wps:spPr>
                        <a:xfrm flipV="1">
                          <a:off x="0" y="0"/>
                          <a:ext cx="5628640" cy="17145"/>
                        </a:xfrm>
                        <a:prstGeom prst="line">
                          <a:avLst/>
                        </a:prstGeom>
                        <a:ln w="15875" cap="flat" cmpd="sng">
                          <a:solidFill>
                            <a:srgbClr val="FF0000"/>
                          </a:solidFill>
                          <a:prstDash val="solid"/>
                          <a:round/>
                          <a:headEnd type="none" w="med" len="med"/>
                          <a:tailEnd type="none" w="med" len="med"/>
                        </a:ln>
                      </wps:spPr>
                      <wps:bodyPr upright="1"/>
                    </wps:wsp>
                  </a:graphicData>
                </a:graphic>
              </wp:anchor>
            </w:drawing>
          </mc:Choice>
          <mc:Fallback>
            <w:pict>
              <v:line id="_x0000_s1026" o:spid="_x0000_s1026" o:spt="20" style="position:absolute;left:0pt;flip:y;margin-left:-0.9pt;margin-top:2.85pt;height:1.35pt;width:443.2pt;z-index:251659264;mso-width-relative:page;mso-height-relative:page;" filled="f" stroked="t" coordsize="21600,21600" o:gfxdata="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pxV&#10;s9UAAAAGAQAADwAAAAAAAAABACAAAAAiAAAAZHJzL2Rvd25yZXYueG1sUEsBAhQAFAAAAAgAh07i&#10;QAFmK4HsAQAArwMAAA4AAAAAAAAAAQAgAAAAJAEAAGRycy9lMm9Eb2MueG1sUEsFBgAAAAAGAAYA&#10;WQEAAIIFAAAAAA==&#10;">
                <v:fill on="f" focussize="0,0"/>
                <v:stroke weight="1.25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北京市朝阳区城市管理综合行政执法局</w:t>
      </w:r>
      <w:r>
        <w:rPr>
          <w:rFonts w:hint="eastAsia" w:ascii="方正小标宋简体" w:hAnsi="方正小标宋简体" w:eastAsia="方正小标宋简体" w:cs="方正小标宋简体"/>
          <w:b w:val="0"/>
          <w:bCs w:val="0"/>
          <w:sz w:val="44"/>
          <w:szCs w:val="44"/>
        </w:rPr>
        <w:t>关于</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案件审核权限变更的通知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局各科室、队、中心，奥林匹克公园执法大队：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lang w:val="en-US" w:eastAsia="zh-CN"/>
        </w:rPr>
        <w:t>根据《中华人民共和国行政处罚法》第五十七条规定，案件调查终结，行政机关负责人应当对调查结果进行审查，并根据不同情况分别作出不予处罚、行政处罚等决定。依据</w:t>
      </w:r>
      <w:r>
        <w:rPr>
          <w:rFonts w:hint="eastAsia" w:ascii="仿宋_GB2312" w:hAnsi="仿宋_GB2312" w:eastAsia="仿宋_GB2312" w:cs="仿宋_GB2312"/>
          <w:b w:val="0"/>
          <w:bCs w:val="0"/>
          <w:color w:val="auto"/>
          <w:sz w:val="32"/>
          <w:szCs w:val="32"/>
          <w:lang w:val="en-US" w:eastAsia="zh-CN"/>
        </w:rPr>
        <w:t>《北京市行政处罚案卷标准（2021版）》</w:t>
      </w:r>
      <w:r>
        <w:rPr>
          <w:rFonts w:hint="eastAsia" w:ascii="仿宋_GB2312" w:hAnsi="仿宋_GB2312" w:eastAsia="仿宋_GB2312" w:cs="仿宋_GB2312"/>
          <w:sz w:val="32"/>
          <w:szCs w:val="32"/>
          <w:lang w:val="en-US" w:eastAsia="zh-CN"/>
        </w:rPr>
        <w:t>规定，行政机关负责人包括</w:t>
      </w:r>
      <w:r>
        <w:rPr>
          <w:rFonts w:hint="eastAsia" w:ascii="仿宋_GB2312" w:hAnsi="仿宋_GB2312" w:eastAsia="仿宋_GB2312" w:cs="仿宋_GB2312"/>
          <w:sz w:val="32"/>
          <w:szCs w:val="32"/>
          <w:shd w:val="clear" w:color="auto" w:fill="auto"/>
        </w:rPr>
        <w:t>行政机关的正职、副职负责人、参与分管工作的副职级别的负责人以及其他参与分管</w:t>
      </w:r>
      <w:r>
        <w:rPr>
          <w:rFonts w:hint="eastAsia" w:ascii="仿宋_GB2312" w:hAnsi="仿宋_GB2312" w:eastAsia="仿宋_GB2312" w:cs="仿宋_GB2312"/>
          <w:sz w:val="32"/>
          <w:szCs w:val="32"/>
          <w:shd w:val="clear" w:color="auto" w:fill="auto"/>
          <w:lang w:eastAsia="zh-CN"/>
        </w:rPr>
        <w:t>工作</w:t>
      </w:r>
      <w:r>
        <w:rPr>
          <w:rFonts w:hint="eastAsia" w:ascii="仿宋_GB2312" w:hAnsi="仿宋_GB2312" w:eastAsia="仿宋_GB2312" w:cs="仿宋_GB2312"/>
          <w:sz w:val="32"/>
          <w:szCs w:val="32"/>
          <w:shd w:val="clear" w:color="auto" w:fill="auto"/>
        </w:rPr>
        <w:t>的负责人</w:t>
      </w:r>
      <w:r>
        <w:rPr>
          <w:rFonts w:hint="eastAsia" w:ascii="仿宋_GB2312" w:hAnsi="仿宋_GB2312" w:eastAsia="仿宋_GB2312" w:cs="仿宋_GB2312"/>
          <w:sz w:val="32"/>
          <w:szCs w:val="32"/>
          <w:shd w:val="clear" w:color="auto" w:fill="auto"/>
          <w:lang w:eastAsia="zh-CN"/>
        </w:rPr>
        <w:t>；经行政机关法定代表人授权，行政机关的综合执法机构和依法受委托组织的负责人可以在授权范围内行使有关审核和决定权力。同时</w:t>
      </w:r>
      <w:r>
        <w:rPr>
          <w:rFonts w:hint="eastAsia" w:ascii="仿宋_GB2312" w:hAnsi="仿宋_GB2312" w:cs="仿宋_GB2312"/>
          <w:sz w:val="32"/>
          <w:szCs w:val="32"/>
          <w:shd w:val="clear" w:color="auto" w:fill="auto"/>
          <w:lang w:eastAsia="zh-CN"/>
        </w:rPr>
        <w:t>根据</w:t>
      </w:r>
      <w:r>
        <w:rPr>
          <w:rFonts w:hint="eastAsia" w:ascii="仿宋_GB2312" w:hAnsi="仿宋_GB2312" w:eastAsia="仿宋_GB2312" w:cs="仿宋_GB2312"/>
          <w:sz w:val="32"/>
          <w:szCs w:val="32"/>
          <w:shd w:val="clear" w:color="auto" w:fill="auto"/>
          <w:lang w:eastAsia="zh-CN"/>
        </w:rPr>
        <w:t>朝阳区</w:t>
      </w:r>
      <w:r>
        <w:rPr>
          <w:rFonts w:hint="eastAsia" w:ascii="仿宋_GB2312" w:hAnsi="仿宋_GB2312" w:eastAsia="仿宋_GB2312" w:cs="仿宋_GB2312"/>
          <w:sz w:val="32"/>
          <w:szCs w:val="32"/>
          <w:shd w:val="clear" w:color="auto" w:fill="auto"/>
          <w:lang w:val="en-US" w:eastAsia="zh-CN"/>
        </w:rPr>
        <w:t>2022年度行政执法部门案卷评查工作的反馈意见，自2022年8月26日起北京市朝阳区城市管理综合行政执法局对案件审核权限进行以下变更：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一、非重大法制审核案件。案件调查终结，并签写承办机构法制审核意见（法制员填写）、承办机构负责人意见（执法队队长填写）后，局各直属队直接报承办机构的主管领导审批，并在案件呈批表行政机关负责人意见一栏中签署行政机关负责人意见；奥林匹克公园执法大队各执法队直接报奥林匹克公园执法大队大队长审批，并在案件呈批表行政机关负责人意见一栏中签署行政机关负责人意见。</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二、重大法制审核案件。案件调查终结，并签写承办机构法制审核意见（法制员填写）、承办机构负责人意见（执法队队长填写）后，报送法制科进行重大执法决定法制审核，法制科审核后在案件呈批表法制审核机构负责人一栏中填写法制审核机构负责人意见出具法制审核意见书，并由法制科报主管领导审批并在案件呈批表行政机</w:t>
      </w:r>
      <w:bookmarkStart w:id="0" w:name="_GoBack"/>
      <w:bookmarkEnd w:id="0"/>
      <w:r>
        <w:rPr>
          <w:rFonts w:hint="eastAsia" w:ascii="仿宋_GB2312" w:hAnsi="仿宋_GB2312" w:eastAsia="仿宋_GB2312" w:cs="仿宋_GB2312"/>
          <w:sz w:val="32"/>
          <w:szCs w:val="32"/>
          <w:shd w:val="clear" w:color="auto" w:fill="auto"/>
          <w:lang w:val="en-US" w:eastAsia="zh-CN"/>
        </w:rPr>
        <w:t>关负责人意见一栏中签署行政机关负责人意见，报请局重大行政执法决定法制审核委员会集体讨论。</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请局各直属队和奥林匹克公园执法大队按通知要求做好案卷制作和报批工作。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shd w:val="clear" w:color="auto" w:fill="auto"/>
          <w:lang w:val="en-US" w:eastAsia="zh-CN"/>
        </w:rPr>
        <w:t>特此通知。</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附件：1.《北京市城市管理综合行政执法部门重大行政执法决定法制审核目录清单》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color w:val="FF0000"/>
          <w:sz w:val="32"/>
          <w:szCs w:val="32"/>
          <w:lang w:val="en-US" w:eastAsia="zh-CN"/>
        </w:rPr>
        <w:t xml:space="preserve"> </w:t>
      </w:r>
      <w:r>
        <w:rPr>
          <w:rFonts w:hint="eastAsia" w:ascii="仿宋_GB2312" w:hAnsi="仿宋_GB2312" w:eastAsia="仿宋_GB2312" w:cs="仿宋_GB2312"/>
          <w:sz w:val="32"/>
          <w:szCs w:val="32"/>
          <w:shd w:val="clear" w:color="auto" w:fill="auto"/>
          <w:lang w:val="en-US" w:eastAsia="zh-CN"/>
        </w:rPr>
        <w:t>2.《关于奥林匹克公园执法大队大队长行使行政处罚有关审核和决定权限的授权书》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6400" w:leftChars="100" w:right="0" w:rightChars="0" w:hanging="6080" w:hangingChars="19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2022年8月26日</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righ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方正小标宋简体" w:hAnsi="宋体" w:eastAsia="方正小标宋简体" w:cs="宋体"/>
          <w:b w:val="0"/>
          <w:bCs w:val="0"/>
          <w:kern w:val="0"/>
          <w:sz w:val="44"/>
          <w:szCs w:val="44"/>
          <w:highlight w:val="none"/>
          <w:lang w:eastAsia="zh-CN"/>
        </w:rPr>
      </w:pPr>
      <w:r>
        <w:rPr>
          <w:rFonts w:hint="eastAsia" w:ascii="仿宋_GB2312" w:hAnsi="仿宋_GB2312" w:eastAsia="仿宋_GB2312" w:cs="仿宋_GB2312"/>
          <w:b w:val="0"/>
          <w:bCs w:val="0"/>
          <w:kern w:val="0"/>
          <w:sz w:val="32"/>
          <w:szCs w:val="32"/>
          <w:highlight w:val="none"/>
          <w:lang w:eastAsia="zh-CN"/>
        </w:rPr>
        <w:t>附件</w:t>
      </w:r>
      <w:r>
        <w:rPr>
          <w:rFonts w:hint="eastAsia" w:ascii="仿宋_GB2312" w:hAnsi="仿宋_GB2312" w:eastAsia="仿宋_GB2312" w:cs="仿宋_GB2312"/>
          <w:b w:val="0"/>
          <w:bCs w:val="0"/>
          <w:kern w:val="0"/>
          <w:sz w:val="32"/>
          <w:szCs w:val="32"/>
          <w:highlight w:val="none"/>
          <w:lang w:val="en-US" w:eastAsia="zh-CN"/>
        </w:rPr>
        <w:t>1</w:t>
      </w:r>
      <w:r>
        <w:rPr>
          <w:rFonts w:hint="eastAsia" w:ascii="仿宋_GB2312" w:hAnsi="仿宋_GB2312" w:eastAsia="仿宋_GB2312" w:cs="仿宋_GB2312"/>
          <w:b w:val="0"/>
          <w:bCs w:val="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小标宋简体" w:hAnsi="宋体" w:eastAsia="方正小标宋简体" w:cs="宋体"/>
          <w:b w:val="0"/>
          <w:bCs w:val="0"/>
          <w:kern w:val="0"/>
          <w:sz w:val="44"/>
          <w:szCs w:val="44"/>
          <w:highlight w:val="none"/>
          <w:lang w:eastAsia="zh-CN"/>
        </w:rPr>
      </w:pPr>
      <w:r>
        <w:rPr>
          <w:rFonts w:hint="eastAsia" w:ascii="方正小标宋简体" w:hAnsi="宋体" w:eastAsia="方正小标宋简体" w:cs="宋体"/>
          <w:b w:val="0"/>
          <w:bCs w:val="0"/>
          <w:kern w:val="0"/>
          <w:sz w:val="44"/>
          <w:szCs w:val="44"/>
          <w:highlight w:val="none"/>
        </w:rPr>
        <w:t>北京市</w:t>
      </w:r>
      <w:r>
        <w:rPr>
          <w:rFonts w:hint="eastAsia" w:ascii="方正小标宋简体" w:hAnsi="宋体" w:eastAsia="方正小标宋简体" w:cs="宋体"/>
          <w:b w:val="0"/>
          <w:bCs w:val="0"/>
          <w:kern w:val="0"/>
          <w:sz w:val="44"/>
          <w:szCs w:val="44"/>
          <w:highlight w:val="none"/>
          <w:lang w:eastAsia="zh-CN"/>
        </w:rPr>
        <w:t>城市管理综合行政执法部门</w:t>
      </w:r>
    </w:p>
    <w:tbl>
      <w:tblPr>
        <w:tblStyle w:val="10"/>
        <w:tblpPr w:leftFromText="180" w:rightFromText="180" w:vertAnchor="text" w:horzAnchor="page" w:tblpX="1747" w:tblpY="892"/>
        <w:tblOverlap w:val="never"/>
        <w:tblW w:w="8999" w:type="dxa"/>
        <w:tblInd w:w="0" w:type="dxa"/>
        <w:tblLayout w:type="fixed"/>
        <w:tblCellMar>
          <w:top w:w="0" w:type="dxa"/>
          <w:left w:w="108" w:type="dxa"/>
          <w:bottom w:w="0" w:type="dxa"/>
          <w:right w:w="108" w:type="dxa"/>
        </w:tblCellMar>
      </w:tblPr>
      <w:tblGrid>
        <w:gridCol w:w="785"/>
        <w:gridCol w:w="1091"/>
        <w:gridCol w:w="7123"/>
      </w:tblGrid>
      <w:tr>
        <w:tblPrEx>
          <w:tblLayout w:type="fixed"/>
          <w:tblCellMar>
            <w:top w:w="0" w:type="dxa"/>
            <w:left w:w="108" w:type="dxa"/>
            <w:bottom w:w="0" w:type="dxa"/>
            <w:right w:w="108" w:type="dxa"/>
          </w:tblCellMar>
        </w:tblPrEx>
        <w:trPr>
          <w:trHeight w:val="0" w:hRule="atLeast"/>
        </w:trPr>
        <w:tc>
          <w:tcPr>
            <w:tcW w:w="7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黑体" w:hAnsi="黑体" w:eastAsia="黑体" w:cs="黑体"/>
                <w:b w:val="0"/>
                <w:bCs w:val="0"/>
                <w:kern w:val="0"/>
                <w:sz w:val="28"/>
                <w:szCs w:val="28"/>
                <w:highlight w:val="none"/>
              </w:rPr>
            </w:pPr>
            <w:r>
              <w:rPr>
                <w:rFonts w:hint="eastAsia" w:ascii="黑体" w:hAnsi="黑体" w:eastAsia="黑体" w:cs="黑体"/>
                <w:b w:val="0"/>
                <w:bCs w:val="0"/>
                <w:kern w:val="0"/>
                <w:sz w:val="28"/>
                <w:szCs w:val="28"/>
                <w:highlight w:val="none"/>
              </w:rPr>
              <w:t>序</w:t>
            </w:r>
            <w:r>
              <w:rPr>
                <w:rFonts w:hint="eastAsia" w:ascii="黑体" w:hAnsi="黑体" w:eastAsia="黑体" w:cs="黑体"/>
                <w:b w:val="0"/>
                <w:bCs w:val="0"/>
                <w:kern w:val="0"/>
                <w:sz w:val="28"/>
                <w:szCs w:val="28"/>
                <w:highlight w:val="none"/>
              </w:rPr>
              <w:br w:type="textWrapping"/>
            </w:r>
            <w:r>
              <w:rPr>
                <w:rFonts w:hint="eastAsia" w:ascii="黑体" w:hAnsi="黑体" w:eastAsia="黑体" w:cs="黑体"/>
                <w:b w:val="0"/>
                <w:bCs w:val="0"/>
                <w:kern w:val="0"/>
                <w:sz w:val="28"/>
                <w:szCs w:val="28"/>
                <w:highlight w:val="none"/>
              </w:rPr>
              <w:t>号</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黑体" w:hAnsi="黑体" w:eastAsia="黑体" w:cs="黑体"/>
                <w:b w:val="0"/>
                <w:bCs w:val="0"/>
                <w:kern w:val="0"/>
                <w:sz w:val="28"/>
                <w:szCs w:val="28"/>
                <w:highlight w:val="none"/>
              </w:rPr>
            </w:pPr>
            <w:r>
              <w:rPr>
                <w:rFonts w:hint="eastAsia" w:ascii="黑体" w:hAnsi="黑体" w:eastAsia="黑体" w:cs="黑体"/>
                <w:b w:val="0"/>
                <w:bCs w:val="0"/>
                <w:kern w:val="0"/>
                <w:sz w:val="28"/>
                <w:szCs w:val="28"/>
                <w:highlight w:val="none"/>
              </w:rPr>
              <w:t>决定</w:t>
            </w:r>
            <w:r>
              <w:rPr>
                <w:rFonts w:hint="eastAsia" w:ascii="黑体" w:hAnsi="黑体" w:eastAsia="黑体" w:cs="黑体"/>
                <w:b w:val="0"/>
                <w:bCs w:val="0"/>
                <w:kern w:val="0"/>
                <w:sz w:val="28"/>
                <w:szCs w:val="28"/>
                <w:highlight w:val="none"/>
              </w:rPr>
              <w:br w:type="textWrapping"/>
            </w:r>
            <w:r>
              <w:rPr>
                <w:rFonts w:hint="eastAsia" w:ascii="黑体" w:hAnsi="黑体" w:eastAsia="黑体" w:cs="黑体"/>
                <w:b w:val="0"/>
                <w:bCs w:val="0"/>
                <w:kern w:val="0"/>
                <w:sz w:val="28"/>
                <w:szCs w:val="28"/>
                <w:highlight w:val="none"/>
              </w:rPr>
              <w:t>种类</w:t>
            </w:r>
          </w:p>
        </w:tc>
        <w:tc>
          <w:tcPr>
            <w:tcW w:w="712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黑体" w:hAnsi="黑体" w:eastAsia="黑体" w:cs="黑体"/>
                <w:b w:val="0"/>
                <w:bCs w:val="0"/>
                <w:kern w:val="0"/>
                <w:sz w:val="28"/>
                <w:szCs w:val="28"/>
                <w:highlight w:val="none"/>
              </w:rPr>
            </w:pPr>
            <w:r>
              <w:rPr>
                <w:rFonts w:hint="eastAsia" w:ascii="黑体" w:hAnsi="黑体" w:eastAsia="黑体" w:cs="黑体"/>
                <w:b w:val="0"/>
                <w:bCs w:val="0"/>
                <w:kern w:val="0"/>
                <w:sz w:val="28"/>
                <w:szCs w:val="28"/>
                <w:highlight w:val="none"/>
              </w:rPr>
              <w:t>具体事项</w:t>
            </w:r>
          </w:p>
        </w:tc>
      </w:tr>
      <w:tr>
        <w:tblPrEx>
          <w:tblLayout w:type="fixed"/>
          <w:tblCellMar>
            <w:top w:w="0" w:type="dxa"/>
            <w:left w:w="108" w:type="dxa"/>
            <w:bottom w:w="0" w:type="dxa"/>
            <w:right w:w="108" w:type="dxa"/>
          </w:tblCellMar>
        </w:tblPrEx>
        <w:trPr>
          <w:trHeight w:val="0" w:hRule="atLeast"/>
        </w:trPr>
        <w:tc>
          <w:tcPr>
            <w:tcW w:w="78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1</w:t>
            </w:r>
          </w:p>
        </w:tc>
        <w:tc>
          <w:tcPr>
            <w:tcW w:w="109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行政</w:t>
            </w:r>
          </w:p>
          <w:p>
            <w:pPr>
              <w:widowControl/>
              <w:jc w:val="center"/>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处罚</w:t>
            </w:r>
          </w:p>
        </w:tc>
        <w:tc>
          <w:tcPr>
            <w:tcW w:w="7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吊销许可证件的行政处罚决定</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责令停产停业的行政处罚决定</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责令关闭的行政处罚决定</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对公民处以超过5000元、对法人或其他组织处以超过5万元的较大数额罚款符合听证条件的行政处罚决定</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没收较大数额违法所得的行政处罚决定（参照较大数额罚款的额度执行）</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没收无证违法建设的行政处罚决定</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both"/>
              <w:textAlignment w:val="auto"/>
              <w:outlineLvl w:val="9"/>
              <w:rPr>
                <w:rFonts w:hint="eastAsia" w:ascii="仿宋_GB2312" w:hAnsi="宋体" w:eastAsia="仿宋_GB2312" w:cs="宋体"/>
                <w:b w:val="0"/>
                <w:bCs w:val="0"/>
                <w:kern w:val="0"/>
                <w:sz w:val="24"/>
                <w:highlight w:val="none"/>
                <w:lang w:eastAsia="zh-CN"/>
              </w:rPr>
            </w:pPr>
            <w:r>
              <w:rPr>
                <w:rFonts w:hint="eastAsia" w:ascii="仿宋_GB2312" w:hAnsi="宋体" w:eastAsia="仿宋_GB2312" w:cs="宋体"/>
                <w:b w:val="0"/>
                <w:bCs w:val="0"/>
                <w:kern w:val="0"/>
                <w:sz w:val="24"/>
                <w:highlight w:val="none"/>
                <w:lang w:eastAsia="zh-CN"/>
              </w:rPr>
              <w:t>法律、法规规定应当进行法制审核的其他行政处罚决定</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both"/>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lang w:eastAsia="zh-CN"/>
              </w:rPr>
              <w:t>城管执法</w:t>
            </w:r>
            <w:r>
              <w:rPr>
                <w:rFonts w:hint="eastAsia" w:hAnsi="宋体" w:cs="宋体"/>
                <w:b w:val="0"/>
                <w:bCs w:val="0"/>
                <w:kern w:val="0"/>
                <w:sz w:val="24"/>
                <w:highlight w:val="none"/>
                <w:lang w:eastAsia="zh-CN"/>
              </w:rPr>
              <w:t>部门</w:t>
            </w:r>
            <w:r>
              <w:rPr>
                <w:rFonts w:hint="eastAsia" w:ascii="仿宋_GB2312" w:hAnsi="宋体" w:eastAsia="仿宋_GB2312" w:cs="宋体"/>
                <w:b w:val="0"/>
                <w:bCs w:val="0"/>
                <w:kern w:val="0"/>
                <w:sz w:val="24"/>
                <w:highlight w:val="none"/>
                <w:lang w:eastAsia="zh-CN"/>
              </w:rPr>
              <w:t>认为重大的其他</w:t>
            </w:r>
            <w:r>
              <w:rPr>
                <w:rFonts w:hint="eastAsia" w:ascii="仿宋_GB2312" w:hAnsi="宋体" w:eastAsia="仿宋_GB2312" w:cs="宋体"/>
                <w:b w:val="0"/>
                <w:bCs w:val="0"/>
                <w:kern w:val="0"/>
                <w:sz w:val="24"/>
                <w:highlight w:val="none"/>
              </w:rPr>
              <w:t>行政处罚决定</w:t>
            </w:r>
          </w:p>
        </w:tc>
      </w:tr>
      <w:tr>
        <w:tblPrEx>
          <w:tblLayout w:type="fixed"/>
          <w:tblCellMar>
            <w:top w:w="0" w:type="dxa"/>
            <w:left w:w="108" w:type="dxa"/>
            <w:bottom w:w="0" w:type="dxa"/>
            <w:right w:w="108" w:type="dxa"/>
          </w:tblCellMar>
        </w:tblPrEx>
        <w:trPr>
          <w:trHeight w:val="0" w:hRule="atLeast"/>
        </w:trPr>
        <w:tc>
          <w:tcPr>
            <w:tcW w:w="78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2</w:t>
            </w:r>
          </w:p>
        </w:tc>
        <w:tc>
          <w:tcPr>
            <w:tcW w:w="109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行政</w:t>
            </w:r>
          </w:p>
          <w:p>
            <w:pPr>
              <w:widowControl/>
              <w:jc w:val="center"/>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强制</w:t>
            </w:r>
          </w:p>
        </w:tc>
        <w:tc>
          <w:tcPr>
            <w:tcW w:w="7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对违法建设、</w:t>
            </w:r>
            <w:r>
              <w:rPr>
                <w:rFonts w:hint="eastAsia" w:hAnsi="宋体" w:cs="宋体"/>
                <w:b w:val="0"/>
                <w:bCs w:val="0"/>
                <w:kern w:val="0"/>
                <w:sz w:val="24"/>
                <w:highlight w:val="none"/>
                <w:lang w:eastAsia="zh-CN"/>
              </w:rPr>
              <w:t>违法</w:t>
            </w:r>
            <w:r>
              <w:rPr>
                <w:rFonts w:hint="eastAsia" w:ascii="仿宋_GB2312" w:hAnsi="宋体" w:eastAsia="仿宋_GB2312" w:cs="宋体"/>
                <w:b w:val="0"/>
                <w:bCs w:val="0"/>
                <w:kern w:val="0"/>
                <w:sz w:val="24"/>
                <w:highlight w:val="none"/>
              </w:rPr>
              <w:t>户外广告</w:t>
            </w:r>
            <w:r>
              <w:rPr>
                <w:rFonts w:hint="eastAsia" w:ascii="仿宋_GB2312" w:hAnsi="宋体" w:eastAsia="仿宋_GB2312" w:cs="宋体"/>
                <w:b w:val="0"/>
                <w:bCs w:val="0"/>
                <w:kern w:val="0"/>
                <w:sz w:val="24"/>
                <w:highlight w:val="none"/>
                <w:lang w:eastAsia="zh-CN"/>
              </w:rPr>
              <w:t>、牌匾标识</w:t>
            </w:r>
            <w:r>
              <w:rPr>
                <w:rFonts w:hint="eastAsia" w:ascii="仿宋_GB2312" w:hAnsi="宋体" w:eastAsia="仿宋_GB2312" w:cs="宋体"/>
                <w:b w:val="0"/>
                <w:bCs w:val="0"/>
                <w:kern w:val="0"/>
                <w:sz w:val="24"/>
                <w:highlight w:val="none"/>
              </w:rPr>
              <w:t>等作出的拆除决定（在施违法建设除外）</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拍卖或变卖当事人合法财物用以抵缴罚款的行政强制执行决定</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lang w:eastAsia="zh-CN"/>
              </w:rPr>
              <w:t>城管执法</w:t>
            </w:r>
            <w:r>
              <w:rPr>
                <w:rFonts w:hint="eastAsia" w:hAnsi="宋体" w:cs="宋体"/>
                <w:b w:val="0"/>
                <w:bCs w:val="0"/>
                <w:kern w:val="0"/>
                <w:sz w:val="24"/>
                <w:highlight w:val="none"/>
                <w:lang w:eastAsia="zh-CN"/>
              </w:rPr>
              <w:t>部门</w:t>
            </w:r>
            <w:r>
              <w:rPr>
                <w:rFonts w:hint="eastAsia" w:ascii="仿宋_GB2312" w:hAnsi="宋体" w:eastAsia="仿宋_GB2312" w:cs="宋体"/>
                <w:b w:val="0"/>
                <w:bCs w:val="0"/>
                <w:kern w:val="0"/>
                <w:sz w:val="24"/>
                <w:highlight w:val="none"/>
                <w:lang w:eastAsia="zh-CN"/>
              </w:rPr>
              <w:t>认为重大的其他</w:t>
            </w:r>
            <w:r>
              <w:rPr>
                <w:rFonts w:hint="eastAsia" w:ascii="仿宋_GB2312" w:hAnsi="宋体" w:eastAsia="仿宋_GB2312" w:cs="宋体"/>
                <w:b w:val="0"/>
                <w:bCs w:val="0"/>
                <w:kern w:val="0"/>
                <w:sz w:val="24"/>
                <w:highlight w:val="none"/>
              </w:rPr>
              <w:t>行政</w:t>
            </w:r>
            <w:r>
              <w:rPr>
                <w:rFonts w:hint="eastAsia" w:hAnsi="宋体" w:cs="宋体"/>
                <w:b w:val="0"/>
                <w:bCs w:val="0"/>
                <w:kern w:val="0"/>
                <w:sz w:val="24"/>
                <w:highlight w:val="none"/>
                <w:lang w:eastAsia="zh-CN"/>
              </w:rPr>
              <w:t>强制</w:t>
            </w:r>
            <w:r>
              <w:rPr>
                <w:rFonts w:hint="eastAsia" w:ascii="仿宋_GB2312" w:hAnsi="宋体" w:eastAsia="仿宋_GB2312" w:cs="宋体"/>
                <w:b w:val="0"/>
                <w:bCs w:val="0"/>
                <w:kern w:val="0"/>
                <w:sz w:val="24"/>
                <w:highlight w:val="none"/>
              </w:rPr>
              <w:t>决定</w:t>
            </w:r>
          </w:p>
        </w:tc>
      </w:tr>
      <w:tr>
        <w:tblPrEx>
          <w:tblLayout w:type="fixed"/>
          <w:tblCellMar>
            <w:top w:w="0" w:type="dxa"/>
            <w:left w:w="108" w:type="dxa"/>
            <w:bottom w:w="0" w:type="dxa"/>
            <w:right w:w="108" w:type="dxa"/>
          </w:tblCellMar>
        </w:tblPrEx>
        <w:trPr>
          <w:trHeight w:val="0" w:hRule="atLeast"/>
        </w:trPr>
        <w:tc>
          <w:tcPr>
            <w:tcW w:w="78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3</w:t>
            </w:r>
          </w:p>
        </w:tc>
        <w:tc>
          <w:tcPr>
            <w:tcW w:w="109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其他</w:t>
            </w:r>
          </w:p>
        </w:tc>
        <w:tc>
          <w:tcPr>
            <w:tcW w:w="712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涉及重大公共利益的执法决定</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可能造成重大社会影响或引发社会风险的执法决定</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直接关系</w:t>
            </w:r>
            <w:r>
              <w:rPr>
                <w:rFonts w:hint="eastAsia" w:ascii="仿宋_GB2312" w:hAnsi="宋体" w:eastAsia="仿宋_GB2312" w:cs="宋体"/>
                <w:b w:val="0"/>
                <w:bCs w:val="0"/>
                <w:kern w:val="0"/>
                <w:sz w:val="24"/>
                <w:highlight w:val="none"/>
                <w:lang w:eastAsia="zh-CN"/>
              </w:rPr>
              <w:t>当事人</w:t>
            </w:r>
            <w:r>
              <w:rPr>
                <w:rFonts w:hint="eastAsia" w:ascii="仿宋_GB2312" w:hAnsi="宋体" w:eastAsia="仿宋_GB2312" w:cs="宋体"/>
                <w:b w:val="0"/>
                <w:bCs w:val="0"/>
                <w:kern w:val="0"/>
                <w:sz w:val="24"/>
                <w:highlight w:val="none"/>
              </w:rPr>
              <w:t>或第三人重大权益的执法决定</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案件情况疑难复杂、涉及多个法律关系的执法决定</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both"/>
              <w:textAlignment w:val="auto"/>
              <w:outlineLvl w:val="9"/>
              <w:rPr>
                <w:rFonts w:hint="eastAsia" w:ascii="仿宋_GB2312" w:hAnsi="宋体" w:eastAsia="仿宋_GB2312" w:cs="宋体"/>
                <w:b w:val="0"/>
                <w:bCs w:val="0"/>
                <w:kern w:val="0"/>
                <w:sz w:val="24"/>
                <w:highlight w:val="none"/>
                <w:lang w:eastAsia="zh-CN"/>
              </w:rPr>
            </w:pPr>
            <w:r>
              <w:rPr>
                <w:rFonts w:hint="eastAsia" w:ascii="仿宋_GB2312" w:hAnsi="宋体" w:eastAsia="仿宋_GB2312" w:cs="宋体"/>
                <w:b w:val="0"/>
                <w:bCs w:val="0"/>
                <w:kern w:val="0"/>
                <w:sz w:val="24"/>
                <w:highlight w:val="none"/>
                <w:lang w:eastAsia="zh-CN"/>
              </w:rPr>
              <w:t>向公安机关移送涉嫌犯罪案件或者向监察机关移送涉嫌职务违法、职务犯罪案件的决定</w:t>
            </w:r>
          </w:p>
        </w:tc>
      </w:tr>
      <w:tr>
        <w:tblPrEx>
          <w:tblLayout w:type="fixed"/>
          <w:tblCellMar>
            <w:top w:w="0" w:type="dxa"/>
            <w:left w:w="108" w:type="dxa"/>
            <w:bottom w:w="0" w:type="dxa"/>
            <w:right w:w="108" w:type="dxa"/>
          </w:tblCellMar>
        </w:tblPrEx>
        <w:trPr>
          <w:trHeight w:val="0" w:hRule="atLeast"/>
        </w:trPr>
        <w:tc>
          <w:tcPr>
            <w:tcW w:w="7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109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val="0"/>
                <w:bCs w:val="0"/>
                <w:kern w:val="0"/>
                <w:sz w:val="24"/>
                <w:highlight w:val="none"/>
              </w:rPr>
            </w:pPr>
          </w:p>
        </w:tc>
        <w:tc>
          <w:tcPr>
            <w:tcW w:w="712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left"/>
              <w:textAlignment w:val="auto"/>
              <w:outlineLvl w:val="9"/>
              <w:rPr>
                <w:rFonts w:hint="eastAsia" w:ascii="仿宋_GB2312" w:hAnsi="宋体" w:eastAsia="仿宋_GB2312" w:cs="宋体"/>
                <w:b w:val="0"/>
                <w:bCs w:val="0"/>
                <w:kern w:val="0"/>
                <w:sz w:val="24"/>
                <w:highlight w:val="none"/>
              </w:rPr>
            </w:pPr>
            <w:r>
              <w:rPr>
                <w:rFonts w:hint="eastAsia" w:ascii="仿宋_GB2312" w:hAnsi="宋体" w:eastAsia="仿宋_GB2312" w:cs="宋体"/>
                <w:b w:val="0"/>
                <w:bCs w:val="0"/>
                <w:kern w:val="0"/>
                <w:sz w:val="24"/>
                <w:highlight w:val="none"/>
              </w:rPr>
              <w:t>其他需要法制审核的执法决定</w:t>
            </w:r>
          </w:p>
        </w:tc>
      </w:tr>
    </w:tbl>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小标宋简体" w:hAnsi="宋体" w:eastAsia="方正小标宋简体" w:cs="宋体"/>
          <w:b w:val="0"/>
          <w:bCs w:val="0"/>
          <w:kern w:val="0"/>
          <w:sz w:val="44"/>
          <w:szCs w:val="44"/>
          <w:highlight w:val="none"/>
          <w:lang w:eastAsia="zh-CN"/>
        </w:rPr>
      </w:pPr>
      <w:r>
        <w:rPr>
          <w:rFonts w:hint="eastAsia" w:ascii="方正小标宋简体" w:hAnsi="宋体" w:eastAsia="方正小标宋简体" w:cs="宋体"/>
          <w:b w:val="0"/>
          <w:bCs w:val="0"/>
          <w:kern w:val="0"/>
          <w:sz w:val="44"/>
          <w:szCs w:val="44"/>
          <w:highlight w:val="none"/>
        </w:rPr>
        <w:t>重大行政执法决定法制审核目录清单</w:t>
      </w:r>
    </w:p>
    <w:sectPr>
      <w:headerReference r:id="rId3" w:type="default"/>
      <w:footerReference r:id="rId4" w:type="default"/>
      <w:pgSz w:w="11906" w:h="16838"/>
      <w:pgMar w:top="1587" w:right="1417" w:bottom="1417" w:left="1417" w:header="851" w:footer="992" w:gutter="0"/>
      <w:cols w:space="0" w:num="1"/>
      <w:rtlGutter w:val="0"/>
      <w:docGrid w:type="lines" w:linePitch="44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22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1ZmMwMjhlNGI4Njk3YmRiNzhjODJjNDdiODNkMDgifQ=="/>
  </w:docVars>
  <w:rsids>
    <w:rsidRoot w:val="5EB17BB7"/>
    <w:rsid w:val="0156388E"/>
    <w:rsid w:val="03471652"/>
    <w:rsid w:val="098408AE"/>
    <w:rsid w:val="0C6C142E"/>
    <w:rsid w:val="0ECB2A16"/>
    <w:rsid w:val="125B5F6B"/>
    <w:rsid w:val="15B72481"/>
    <w:rsid w:val="17021117"/>
    <w:rsid w:val="187C53A6"/>
    <w:rsid w:val="201A316B"/>
    <w:rsid w:val="22B624EA"/>
    <w:rsid w:val="2347727D"/>
    <w:rsid w:val="23EB7F8A"/>
    <w:rsid w:val="25CC5AA9"/>
    <w:rsid w:val="297C1397"/>
    <w:rsid w:val="2A603222"/>
    <w:rsid w:val="31947E17"/>
    <w:rsid w:val="329D31CF"/>
    <w:rsid w:val="36904C3C"/>
    <w:rsid w:val="37887F23"/>
    <w:rsid w:val="43DF243D"/>
    <w:rsid w:val="478656E8"/>
    <w:rsid w:val="58BA319A"/>
    <w:rsid w:val="5A164063"/>
    <w:rsid w:val="5EB17BB7"/>
    <w:rsid w:val="662D05E9"/>
    <w:rsid w:val="6D723965"/>
    <w:rsid w:val="70947C8C"/>
    <w:rsid w:val="719042F2"/>
    <w:rsid w:val="73546302"/>
    <w:rsid w:val="76037728"/>
    <w:rsid w:val="7C600E13"/>
    <w:rsid w:val="7E4E65B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uiPriority w:val="0"/>
    <w:pPr>
      <w:widowControl/>
      <w:spacing w:line="580" w:lineRule="exact"/>
      <w:jc w:val="left"/>
    </w:pPr>
    <w:rPr>
      <w:color w:val="000000"/>
      <w:kern w:val="0"/>
    </w:rPr>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4">
    <w:name w:val="Normal Indent"/>
    <w:basedOn w:val="1"/>
    <w:qFormat/>
    <w:uiPriority w:val="0"/>
    <w:pPr>
      <w:spacing w:line="480" w:lineRule="exact"/>
      <w:ind w:firstLine="567"/>
    </w:pPr>
    <w:rPr>
      <w:sz w:val="28"/>
      <w:szCs w:val="20"/>
    </w:rPr>
  </w:style>
  <w:style w:type="paragraph" w:styleId="5">
    <w:name w:val="Body Text Indent"/>
    <w:basedOn w:val="1"/>
    <w:qFormat/>
    <w:uiPriority w:val="0"/>
    <w:pPr>
      <w:spacing w:after="12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2"/>
    <w:basedOn w:val="5"/>
    <w:qFormat/>
    <w:uiPriority w:val="0"/>
    <w:pPr>
      <w:ind w:firstLine="420" w:firstLineChars="200"/>
    </w:p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2022-08-08T02:03:00Z</dcterms:created>
  <dc:creator>王莉</dc:creator>
  <cp:lastModifiedBy>王莉</cp:lastModifiedBy>
  <cp:lastPrinted>2022-08-08T07:07:00Z</cp:lastPrinted>
  <dcterms:modified xsi:type="dcterms:W3CDTF">2023-03-23T01:39:18Z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y fmtid="{D5CDD505-2E9C-101B-9397-08002B2CF9AE}" pid="3" name="ICV">
    <vt:lpwstr>128D93AA3E6B4489B1798E230662C586</vt:lpwstr>
  </property>
</Properties>
</file>