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41" w:rsidRDefault="00795BB2">
      <w:pPr>
        <w:adjustRightInd w:val="0"/>
        <w:spacing w:line="48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2022年1-12月朝阳区主要经济指标数据</w:t>
      </w:r>
    </w:p>
    <w:p w:rsidR="005C4341" w:rsidRDefault="005C4341">
      <w:pPr>
        <w:spacing w:line="480" w:lineRule="auto"/>
        <w:ind w:firstLineChars="200" w:firstLine="560"/>
        <w:rPr>
          <w:rFonts w:ascii="宋体" w:hAnsi="宋体" w:cs="宋体"/>
          <w:sz w:val="28"/>
          <w:szCs w:val="28"/>
        </w:rPr>
      </w:pPr>
    </w:p>
    <w:p w:rsidR="005C4341" w:rsidRDefault="00795BB2">
      <w:pPr>
        <w:spacing w:line="48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1．地区生产总值</w:t>
      </w:r>
    </w:p>
    <w:p w:rsidR="005C4341" w:rsidRDefault="00795BB2">
      <w:pPr>
        <w:spacing w:line="480" w:lineRule="auto"/>
        <w:ind w:firstLineChars="200" w:firstLine="56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  <w:lang w:bidi="en-US"/>
        </w:rPr>
        <w:t>2022年1-4季度，朝阳区实现地区生产总值</w:t>
      </w:r>
      <w:r w:rsidR="00DB66D1">
        <w:rPr>
          <w:rFonts w:ascii="宋体" w:hAnsi="宋体" w:hint="eastAsia"/>
          <w:color w:val="000000"/>
          <w:kern w:val="0"/>
          <w:sz w:val="28"/>
          <w:szCs w:val="28"/>
          <w:lang w:bidi="en-US"/>
        </w:rPr>
        <w:t>（GDP）</w:t>
      </w:r>
      <w:r>
        <w:rPr>
          <w:rFonts w:hint="eastAsia"/>
          <w:sz w:val="28"/>
          <w:szCs w:val="28"/>
        </w:rPr>
        <w:t>7911.2</w:t>
      </w:r>
      <w:r>
        <w:rPr>
          <w:rFonts w:ascii="宋体" w:hAnsi="宋体" w:hint="eastAsia"/>
          <w:color w:val="000000"/>
          <w:kern w:val="0"/>
          <w:sz w:val="28"/>
          <w:szCs w:val="28"/>
          <w:lang w:bidi="en-US"/>
        </w:rPr>
        <w:t>亿元，按不变价格计算，同比增长0.7%。其中，第一产业实现增加值3.0亿元，增长5.5%；第二产业实现增加值519.3亿元，下降1.9%；第三产业实现增加值7389.0亿元，增长0.9%。</w:t>
      </w:r>
    </w:p>
    <w:p w:rsidR="005C4341" w:rsidRDefault="00795BB2">
      <w:pPr>
        <w:spacing w:line="48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2.工业生产</w:t>
      </w:r>
    </w:p>
    <w:p w:rsidR="005C4341" w:rsidRDefault="00795BB2">
      <w:pPr>
        <w:spacing w:line="48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1-12月，朝阳区实现规模以上工业总产值746.4亿元，</w:t>
      </w:r>
      <w:r>
        <w:rPr>
          <w:rFonts w:ascii="宋体" w:hAnsi="宋体" w:cs="宋体" w:hint="eastAsia"/>
          <w:color w:val="000000"/>
          <w:sz w:val="28"/>
          <w:szCs w:val="28"/>
        </w:rPr>
        <w:t>同比下降1.0%。</w:t>
      </w:r>
      <w:r>
        <w:rPr>
          <w:rFonts w:ascii="宋体" w:hAnsi="宋体" w:cs="宋体" w:hint="eastAsia"/>
          <w:sz w:val="28"/>
          <w:szCs w:val="28"/>
        </w:rPr>
        <w:t>分行业看，1-12月，在27个工业大类行业中，9个行业产值同比增长，18个行业同比下降。</w:t>
      </w:r>
    </w:p>
    <w:p w:rsidR="005C4341" w:rsidRDefault="00795BB2">
      <w:pPr>
        <w:spacing w:line="480" w:lineRule="auto"/>
        <w:jc w:val="center"/>
        <w:rPr>
          <w:rFonts w:ascii="宋体" w:hAnsi="宋体" w:cs="宋体"/>
          <w:b/>
          <w:w w:val="90"/>
          <w:sz w:val="28"/>
          <w:szCs w:val="28"/>
        </w:rPr>
      </w:pPr>
      <w:r>
        <w:rPr>
          <w:rFonts w:ascii="宋体" w:hAnsi="宋体" w:cs="宋体" w:hint="eastAsia"/>
          <w:b/>
          <w:w w:val="90"/>
          <w:sz w:val="28"/>
          <w:szCs w:val="28"/>
        </w:rPr>
        <w:t>图1  2021年2月至2022年12月规模以上工业总产值累计增速（%）</w:t>
      </w:r>
    </w:p>
    <w:p w:rsidR="005C4341" w:rsidRDefault="00795BB2">
      <w:pPr>
        <w:spacing w:line="48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73040" cy="1830705"/>
            <wp:effectExtent l="0" t="0" r="10160" b="10795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4341" w:rsidRDefault="00795BB2">
      <w:pPr>
        <w:spacing w:line="480" w:lineRule="auto"/>
        <w:ind w:firstLineChars="200" w:firstLine="562"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3．固定资产投资</w:t>
      </w:r>
    </w:p>
    <w:p w:rsidR="005C4341" w:rsidRDefault="00795BB2">
      <w:pPr>
        <w:spacing w:line="48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1-12月，朝阳区固定资产投资（不含农户）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同比</w:t>
      </w:r>
      <w:r>
        <w:rPr>
          <w:rFonts w:asciiTheme="minorEastAsia" w:hAnsiTheme="minorEastAsia" w:hint="eastAsia"/>
          <w:sz w:val="28"/>
          <w:szCs w:val="28"/>
        </w:rPr>
        <w:t>增长13.0%</w:t>
      </w:r>
      <w:r>
        <w:rPr>
          <w:rFonts w:ascii="宋体" w:hAnsi="宋体" w:cs="宋体" w:hint="eastAsia"/>
          <w:sz w:val="28"/>
          <w:szCs w:val="28"/>
        </w:rPr>
        <w:t>。其中，房地产开发投资同比</w:t>
      </w:r>
      <w:r>
        <w:rPr>
          <w:rFonts w:asciiTheme="minorEastAsia" w:eastAsiaTheme="minorEastAsia" w:hAnsiTheme="minorEastAsia" w:hint="eastAsia"/>
          <w:sz w:val="28"/>
          <w:szCs w:val="32"/>
        </w:rPr>
        <w:t>增长20.5%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5C4341" w:rsidRDefault="005C4341">
      <w:pPr>
        <w:spacing w:line="480" w:lineRule="auto"/>
        <w:jc w:val="center"/>
        <w:rPr>
          <w:rFonts w:ascii="宋体" w:hAnsi="宋体" w:cs="宋体"/>
          <w:b/>
          <w:w w:val="90"/>
          <w:sz w:val="28"/>
          <w:szCs w:val="28"/>
        </w:rPr>
      </w:pPr>
    </w:p>
    <w:p w:rsidR="005C4341" w:rsidRDefault="005C4341">
      <w:pPr>
        <w:spacing w:line="480" w:lineRule="auto"/>
        <w:jc w:val="center"/>
        <w:rPr>
          <w:rFonts w:ascii="宋体" w:hAnsi="宋体" w:cs="宋体"/>
          <w:b/>
          <w:w w:val="90"/>
          <w:sz w:val="28"/>
          <w:szCs w:val="28"/>
        </w:rPr>
      </w:pPr>
    </w:p>
    <w:p w:rsidR="005C4341" w:rsidRDefault="00795BB2">
      <w:pPr>
        <w:spacing w:line="480" w:lineRule="auto"/>
        <w:jc w:val="center"/>
        <w:rPr>
          <w:rFonts w:ascii="宋体" w:hAnsi="宋体" w:cs="宋体"/>
          <w:b/>
          <w:w w:val="90"/>
          <w:sz w:val="28"/>
          <w:szCs w:val="28"/>
        </w:rPr>
      </w:pPr>
      <w:r>
        <w:rPr>
          <w:rFonts w:ascii="宋体" w:hAnsi="宋体" w:cs="宋体" w:hint="eastAsia"/>
          <w:b/>
          <w:w w:val="90"/>
          <w:sz w:val="28"/>
          <w:szCs w:val="28"/>
        </w:rPr>
        <w:lastRenderedPageBreak/>
        <w:t>图2  2021年2月至2022年12月固定资产投资（不含农户）累计增速（%）</w:t>
      </w:r>
    </w:p>
    <w:p w:rsidR="005C4341" w:rsidRDefault="00795BB2">
      <w:pPr>
        <w:spacing w:line="48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73040" cy="2174875"/>
            <wp:effectExtent l="0" t="0" r="10160" b="952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4341" w:rsidRDefault="00795BB2">
      <w:pPr>
        <w:spacing w:line="48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4．消费品市场</w:t>
      </w:r>
    </w:p>
    <w:p w:rsidR="005C4341" w:rsidRDefault="00795BB2">
      <w:pPr>
        <w:spacing w:line="48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1-12月，朝阳区实现社会消费品零售总额</w:t>
      </w:r>
      <w:r>
        <w:rPr>
          <w:rFonts w:asciiTheme="minorEastAsia" w:hAnsiTheme="minorEastAsia" w:hint="eastAsia"/>
          <w:sz w:val="28"/>
          <w:szCs w:val="28"/>
        </w:rPr>
        <w:t>3179.8亿元，同比下降10.5%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5C4341" w:rsidRDefault="00795BB2">
      <w:pPr>
        <w:spacing w:line="48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图3  2021年2月至2022年12月社会消费品零售总额累计增速（%）</w:t>
      </w:r>
    </w:p>
    <w:p w:rsidR="005C4341" w:rsidRDefault="00795BB2">
      <w:pPr>
        <w:spacing w:line="480" w:lineRule="auto"/>
        <w:jc w:val="center"/>
      </w:pPr>
      <w:r>
        <w:rPr>
          <w:noProof/>
        </w:rPr>
        <w:drawing>
          <wp:inline distT="0" distB="0" distL="114300" distR="114300">
            <wp:extent cx="5273040" cy="2118360"/>
            <wp:effectExtent l="0" t="0" r="10160" b="2540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4341" w:rsidRDefault="005C4341"/>
    <w:p w:rsidR="005C4341" w:rsidRDefault="00795BB2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地区生产总值数据由北京市统计局统一核算反馈；增加值绝对额按现价计算，增速按不变价计算。</w:t>
      </w:r>
    </w:p>
    <w:p w:rsidR="005C4341" w:rsidRDefault="00795BB2">
      <w:r>
        <w:rPr>
          <w:rFonts w:hint="eastAsia"/>
        </w:rPr>
        <w:t>2. GDP</w:t>
      </w:r>
      <w:r>
        <w:rPr>
          <w:rFonts w:hint="eastAsia"/>
        </w:rPr>
        <w:t>总量数据不等于各产业之和，是由于数据修约误差所致，未作机械调整。</w:t>
      </w:r>
    </w:p>
    <w:p w:rsidR="005C4341" w:rsidRDefault="00795BB2">
      <w:r>
        <w:rPr>
          <w:rFonts w:hint="eastAsia"/>
        </w:rPr>
        <w:t xml:space="preserve">3. </w:t>
      </w:r>
      <w:r>
        <w:rPr>
          <w:rFonts w:hint="eastAsia"/>
        </w:rPr>
        <w:t>三次产业分类依据国家统计局</w:t>
      </w:r>
      <w:r>
        <w:rPr>
          <w:rFonts w:hint="eastAsia"/>
        </w:rPr>
        <w:t>2018</w:t>
      </w:r>
      <w:r>
        <w:rPr>
          <w:rFonts w:hint="eastAsia"/>
        </w:rPr>
        <w:t>年修订的《三次产业划分规定》（国统设管函</w:t>
      </w:r>
      <w:r>
        <w:rPr>
          <w:rFonts w:hint="eastAsia"/>
        </w:rPr>
        <w:t>[2018]74</w:t>
      </w:r>
      <w:r>
        <w:rPr>
          <w:rFonts w:hint="eastAsia"/>
        </w:rPr>
        <w:t>号），行业分类采用《国民经济行业分类（</w:t>
      </w:r>
      <w:r>
        <w:rPr>
          <w:rFonts w:hint="eastAsia"/>
        </w:rPr>
        <w:t>GB/T4754-2017</w:t>
      </w:r>
      <w:r>
        <w:rPr>
          <w:rFonts w:hint="eastAsia"/>
        </w:rPr>
        <w:t>）》。</w:t>
      </w:r>
      <w:bookmarkStart w:id="0" w:name="_GoBack"/>
      <w:bookmarkEnd w:id="0"/>
    </w:p>
    <w:sectPr w:rsidR="005C4341" w:rsidSect="005C4341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ABE" w:rsidRDefault="00B54ABE" w:rsidP="005C4341">
      <w:r>
        <w:separator/>
      </w:r>
    </w:p>
  </w:endnote>
  <w:endnote w:type="continuationSeparator" w:id="1">
    <w:p w:rsidR="00B54ABE" w:rsidRDefault="00B54ABE" w:rsidP="005C4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77935"/>
    </w:sdtPr>
    <w:sdtContent>
      <w:p w:rsidR="005C4341" w:rsidRDefault="0073245D">
        <w:pPr>
          <w:pStyle w:val="a4"/>
          <w:jc w:val="center"/>
        </w:pPr>
        <w:r w:rsidRPr="0073245D">
          <w:fldChar w:fldCharType="begin"/>
        </w:r>
        <w:r w:rsidR="00795BB2">
          <w:instrText xml:space="preserve"> PAGE   \* MERGEFORMAT </w:instrText>
        </w:r>
        <w:r w:rsidRPr="0073245D">
          <w:fldChar w:fldCharType="separate"/>
        </w:r>
        <w:r w:rsidR="001F38D7" w:rsidRPr="001F38D7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5C4341" w:rsidRDefault="005C43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ABE" w:rsidRDefault="00B54ABE" w:rsidP="005C4341">
      <w:r>
        <w:separator/>
      </w:r>
    </w:p>
  </w:footnote>
  <w:footnote w:type="continuationSeparator" w:id="1">
    <w:p w:rsidR="00B54ABE" w:rsidRDefault="00B54ABE" w:rsidP="005C4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1E5"/>
    <w:rsid w:val="00007353"/>
    <w:rsid w:val="000174FA"/>
    <w:rsid w:val="000243C9"/>
    <w:rsid w:val="000430DE"/>
    <w:rsid w:val="00050BFE"/>
    <w:rsid w:val="00082B00"/>
    <w:rsid w:val="000906E9"/>
    <w:rsid w:val="000A3C19"/>
    <w:rsid w:val="000C07D5"/>
    <w:rsid w:val="000D4083"/>
    <w:rsid w:val="000F2A72"/>
    <w:rsid w:val="001110A1"/>
    <w:rsid w:val="0014294D"/>
    <w:rsid w:val="00156F60"/>
    <w:rsid w:val="001651E5"/>
    <w:rsid w:val="00166B17"/>
    <w:rsid w:val="00171FF5"/>
    <w:rsid w:val="00173FF1"/>
    <w:rsid w:val="001A2CAD"/>
    <w:rsid w:val="001F1861"/>
    <w:rsid w:val="001F38D7"/>
    <w:rsid w:val="00204E88"/>
    <w:rsid w:val="00234A41"/>
    <w:rsid w:val="00252BDF"/>
    <w:rsid w:val="00256B5C"/>
    <w:rsid w:val="002668C1"/>
    <w:rsid w:val="00282257"/>
    <w:rsid w:val="00282FED"/>
    <w:rsid w:val="00287C6F"/>
    <w:rsid w:val="002A1893"/>
    <w:rsid w:val="002B7FBA"/>
    <w:rsid w:val="002C7417"/>
    <w:rsid w:val="002E1BD9"/>
    <w:rsid w:val="002F011B"/>
    <w:rsid w:val="00313402"/>
    <w:rsid w:val="00313EF2"/>
    <w:rsid w:val="00315527"/>
    <w:rsid w:val="0034079B"/>
    <w:rsid w:val="003415F7"/>
    <w:rsid w:val="00346654"/>
    <w:rsid w:val="00350B0C"/>
    <w:rsid w:val="003676B6"/>
    <w:rsid w:val="00387D81"/>
    <w:rsid w:val="00396857"/>
    <w:rsid w:val="003B7401"/>
    <w:rsid w:val="003E7FE2"/>
    <w:rsid w:val="00414248"/>
    <w:rsid w:val="00417C4C"/>
    <w:rsid w:val="00421047"/>
    <w:rsid w:val="00476212"/>
    <w:rsid w:val="00497210"/>
    <w:rsid w:val="004A5B2D"/>
    <w:rsid w:val="004D4457"/>
    <w:rsid w:val="004E63F0"/>
    <w:rsid w:val="004F2736"/>
    <w:rsid w:val="00502EED"/>
    <w:rsid w:val="00504E29"/>
    <w:rsid w:val="00506056"/>
    <w:rsid w:val="00513146"/>
    <w:rsid w:val="005A5A04"/>
    <w:rsid w:val="005B0CC7"/>
    <w:rsid w:val="005C4341"/>
    <w:rsid w:val="005D4ACA"/>
    <w:rsid w:val="005D63B2"/>
    <w:rsid w:val="005E2D49"/>
    <w:rsid w:val="005F1B70"/>
    <w:rsid w:val="00603CAD"/>
    <w:rsid w:val="006109D6"/>
    <w:rsid w:val="00620C58"/>
    <w:rsid w:val="006812BB"/>
    <w:rsid w:val="006840BC"/>
    <w:rsid w:val="00686AAD"/>
    <w:rsid w:val="006B2BF0"/>
    <w:rsid w:val="006B7F69"/>
    <w:rsid w:val="006C07C9"/>
    <w:rsid w:val="006D6919"/>
    <w:rsid w:val="006E3080"/>
    <w:rsid w:val="006E68E4"/>
    <w:rsid w:val="006F0B88"/>
    <w:rsid w:val="006F1078"/>
    <w:rsid w:val="006F41A8"/>
    <w:rsid w:val="006F5391"/>
    <w:rsid w:val="00700E51"/>
    <w:rsid w:val="0070407B"/>
    <w:rsid w:val="00710499"/>
    <w:rsid w:val="0073245D"/>
    <w:rsid w:val="0073426D"/>
    <w:rsid w:val="00775F28"/>
    <w:rsid w:val="007760B2"/>
    <w:rsid w:val="00790652"/>
    <w:rsid w:val="00795BB2"/>
    <w:rsid w:val="007A7FA7"/>
    <w:rsid w:val="007B5378"/>
    <w:rsid w:val="007C2230"/>
    <w:rsid w:val="007D261D"/>
    <w:rsid w:val="008178CD"/>
    <w:rsid w:val="0083577C"/>
    <w:rsid w:val="0083665C"/>
    <w:rsid w:val="00860649"/>
    <w:rsid w:val="008A360B"/>
    <w:rsid w:val="008C54DD"/>
    <w:rsid w:val="008E1A7E"/>
    <w:rsid w:val="00901126"/>
    <w:rsid w:val="00903824"/>
    <w:rsid w:val="009111AC"/>
    <w:rsid w:val="0091740F"/>
    <w:rsid w:val="009415C3"/>
    <w:rsid w:val="00951E9F"/>
    <w:rsid w:val="00954469"/>
    <w:rsid w:val="00974BC9"/>
    <w:rsid w:val="00984BE8"/>
    <w:rsid w:val="009A7B0C"/>
    <w:rsid w:val="009C0CFF"/>
    <w:rsid w:val="009D2207"/>
    <w:rsid w:val="00A32187"/>
    <w:rsid w:val="00A4702D"/>
    <w:rsid w:val="00A506E1"/>
    <w:rsid w:val="00A526FE"/>
    <w:rsid w:val="00A57D70"/>
    <w:rsid w:val="00A62620"/>
    <w:rsid w:val="00A73BA4"/>
    <w:rsid w:val="00A82D6E"/>
    <w:rsid w:val="00A852A8"/>
    <w:rsid w:val="00AC6201"/>
    <w:rsid w:val="00AE055E"/>
    <w:rsid w:val="00AF4DF7"/>
    <w:rsid w:val="00AF7AE8"/>
    <w:rsid w:val="00B0507F"/>
    <w:rsid w:val="00B07926"/>
    <w:rsid w:val="00B17347"/>
    <w:rsid w:val="00B32EE7"/>
    <w:rsid w:val="00B4295D"/>
    <w:rsid w:val="00B54ABE"/>
    <w:rsid w:val="00B60FA0"/>
    <w:rsid w:val="00B67E07"/>
    <w:rsid w:val="00B93D8D"/>
    <w:rsid w:val="00B95F67"/>
    <w:rsid w:val="00BE29F5"/>
    <w:rsid w:val="00BF6415"/>
    <w:rsid w:val="00C21C9F"/>
    <w:rsid w:val="00C2780C"/>
    <w:rsid w:val="00C307FA"/>
    <w:rsid w:val="00C361A7"/>
    <w:rsid w:val="00C44919"/>
    <w:rsid w:val="00C5150E"/>
    <w:rsid w:val="00C668AA"/>
    <w:rsid w:val="00C87CFF"/>
    <w:rsid w:val="00CA0F2A"/>
    <w:rsid w:val="00CA57E3"/>
    <w:rsid w:val="00CC498C"/>
    <w:rsid w:val="00CF2048"/>
    <w:rsid w:val="00CF70B6"/>
    <w:rsid w:val="00D168DA"/>
    <w:rsid w:val="00D3467D"/>
    <w:rsid w:val="00D4430C"/>
    <w:rsid w:val="00D61D76"/>
    <w:rsid w:val="00D828D2"/>
    <w:rsid w:val="00D945BD"/>
    <w:rsid w:val="00D94733"/>
    <w:rsid w:val="00DA66A2"/>
    <w:rsid w:val="00DA7AEA"/>
    <w:rsid w:val="00DB44A5"/>
    <w:rsid w:val="00DB66D1"/>
    <w:rsid w:val="00DC407B"/>
    <w:rsid w:val="00DD0B26"/>
    <w:rsid w:val="00DD33E4"/>
    <w:rsid w:val="00DD556C"/>
    <w:rsid w:val="00E140CE"/>
    <w:rsid w:val="00E27B7F"/>
    <w:rsid w:val="00E31FC2"/>
    <w:rsid w:val="00E54E5F"/>
    <w:rsid w:val="00E61DF0"/>
    <w:rsid w:val="00E63694"/>
    <w:rsid w:val="00E63D44"/>
    <w:rsid w:val="00E7033D"/>
    <w:rsid w:val="00E94B84"/>
    <w:rsid w:val="00EE0E27"/>
    <w:rsid w:val="00F20415"/>
    <w:rsid w:val="00F453DA"/>
    <w:rsid w:val="00F46B15"/>
    <w:rsid w:val="00F57CA3"/>
    <w:rsid w:val="00F64D25"/>
    <w:rsid w:val="00F66B13"/>
    <w:rsid w:val="00F745B0"/>
    <w:rsid w:val="00FA3E35"/>
    <w:rsid w:val="00FC0729"/>
    <w:rsid w:val="00FC4B2A"/>
    <w:rsid w:val="00FC63D3"/>
    <w:rsid w:val="00FD2E5E"/>
    <w:rsid w:val="00FD723C"/>
    <w:rsid w:val="00FD7C63"/>
    <w:rsid w:val="00FE3B32"/>
    <w:rsid w:val="00FE75BD"/>
    <w:rsid w:val="00FF0D86"/>
    <w:rsid w:val="00FF266F"/>
    <w:rsid w:val="015C7EB2"/>
    <w:rsid w:val="04A518BA"/>
    <w:rsid w:val="055F4794"/>
    <w:rsid w:val="06D206FE"/>
    <w:rsid w:val="10D16479"/>
    <w:rsid w:val="121C5A48"/>
    <w:rsid w:val="126715C8"/>
    <w:rsid w:val="156C4552"/>
    <w:rsid w:val="1B5B5321"/>
    <w:rsid w:val="1F136385"/>
    <w:rsid w:val="20BC6E7B"/>
    <w:rsid w:val="22CA17D0"/>
    <w:rsid w:val="2540269A"/>
    <w:rsid w:val="26362F2D"/>
    <w:rsid w:val="26D96D0C"/>
    <w:rsid w:val="2C522BC8"/>
    <w:rsid w:val="34C25C14"/>
    <w:rsid w:val="3C242497"/>
    <w:rsid w:val="3CBF1BA4"/>
    <w:rsid w:val="41532AEA"/>
    <w:rsid w:val="41A85270"/>
    <w:rsid w:val="41D47F41"/>
    <w:rsid w:val="422135F3"/>
    <w:rsid w:val="43062204"/>
    <w:rsid w:val="45E2522A"/>
    <w:rsid w:val="473D71C1"/>
    <w:rsid w:val="4CA2427C"/>
    <w:rsid w:val="4FB17C81"/>
    <w:rsid w:val="567C5CAC"/>
    <w:rsid w:val="5C2A2F81"/>
    <w:rsid w:val="5D3C397F"/>
    <w:rsid w:val="5E2451F4"/>
    <w:rsid w:val="5E3C2E80"/>
    <w:rsid w:val="61EC5FBF"/>
    <w:rsid w:val="62CB76AB"/>
    <w:rsid w:val="630E739B"/>
    <w:rsid w:val="664C647F"/>
    <w:rsid w:val="6927334E"/>
    <w:rsid w:val="6DA57E9F"/>
    <w:rsid w:val="75601036"/>
    <w:rsid w:val="75C7123D"/>
    <w:rsid w:val="771861AB"/>
    <w:rsid w:val="7FB54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3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5C4341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C4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5C4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5C4341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5C4341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C43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449;&#24687;\&#22806;&#32593;&#20449;&#24687;\2023&#24180;\1&#26376;\&#22806;&#32593;&#20449;&#24687;&#22270;1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449;&#24687;\&#22806;&#32593;&#20449;&#24687;\2023&#24180;\1&#26376;\&#22806;&#32593;&#20449;&#24687;&#22270;1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449;&#24687;\&#22806;&#32593;&#20449;&#24687;\2023&#24180;\1&#26376;\&#22806;&#32593;&#20449;&#24687;&#22270;1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lineChart>
        <c:grouping val="standard"/>
        <c:ser>
          <c:idx val="0"/>
          <c:order val="0"/>
          <c:spPr>
            <a:ln w="28575" cap="rnd" cmpd="sng" algn="ctr">
              <a:solidFill>
                <a:prstClr val="black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spPr>
              <a:ln w="12700" cap="rnd" cmpd="sng" algn="ctr">
                <a:solidFill>
                  <a:schemeClr val="tx1"/>
                </a:solidFill>
                <a:prstDash val="sysDot"/>
                <a:round/>
              </a:ln>
            </c:spPr>
          </c:dPt>
          <c:cat>
            <c:multiLvlStrRef>
              <c:f>[外网信息图12.xls]工业!$A$79:$B$100</c:f>
              <c:multiLvlStrCache>
                <c:ptCount val="22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  <c:pt idx="13">
                    <c:v>1-4月</c:v>
                  </c:pt>
                  <c:pt idx="14">
                    <c:v>1-5月</c:v>
                  </c:pt>
                  <c:pt idx="15">
                    <c:v>1-6月</c:v>
                  </c:pt>
                  <c:pt idx="16">
                    <c:v>1-7月</c:v>
                  </c:pt>
                  <c:pt idx="17">
                    <c:v>1-8月</c:v>
                  </c:pt>
                  <c:pt idx="18">
                    <c:v>1-9月</c:v>
                  </c:pt>
                  <c:pt idx="19">
                    <c:v>1-10月</c:v>
                  </c:pt>
                  <c:pt idx="20">
                    <c:v>1-11月</c:v>
                  </c:pt>
                  <c:pt idx="21">
                    <c:v>1-12月</c:v>
                  </c:pt>
                </c:lvl>
                <c:lvl>
                  <c:pt idx="0">
                    <c:v>2021年</c:v>
                  </c:pt>
                  <c:pt idx="11">
                    <c:v>2022年</c:v>
                  </c:pt>
                </c:lvl>
              </c:multiLvlStrCache>
            </c:multiLvlStrRef>
          </c:cat>
          <c:val>
            <c:numRef>
              <c:f>[外网信息图12.xls]工业!$C$79:$C$100</c:f>
              <c:numCache>
                <c:formatCode>0.0_ </c:formatCode>
                <c:ptCount val="22"/>
                <c:pt idx="0">
                  <c:v>15.3</c:v>
                </c:pt>
                <c:pt idx="1">
                  <c:v>15.9</c:v>
                </c:pt>
                <c:pt idx="2">
                  <c:v>12</c:v>
                </c:pt>
                <c:pt idx="3">
                  <c:v>11.3</c:v>
                </c:pt>
                <c:pt idx="4">
                  <c:v>8.1</c:v>
                </c:pt>
                <c:pt idx="5">
                  <c:v>7</c:v>
                </c:pt>
                <c:pt idx="6">
                  <c:v>7.6</c:v>
                </c:pt>
                <c:pt idx="7">
                  <c:v>5.5</c:v>
                </c:pt>
                <c:pt idx="8">
                  <c:v>5</c:v>
                </c:pt>
                <c:pt idx="9">
                  <c:v>4.3</c:v>
                </c:pt>
                <c:pt idx="10">
                  <c:v>3.3</c:v>
                </c:pt>
                <c:pt idx="11">
                  <c:v>2.7</c:v>
                </c:pt>
                <c:pt idx="12">
                  <c:v>3.6</c:v>
                </c:pt>
                <c:pt idx="13">
                  <c:v>0.2</c:v>
                </c:pt>
                <c:pt idx="14">
                  <c:v>-2.4</c:v>
                </c:pt>
                <c:pt idx="15">
                  <c:v>2.0000000000000011E-2</c:v>
                </c:pt>
                <c:pt idx="16">
                  <c:v>-0.30000000000000021</c:v>
                </c:pt>
                <c:pt idx="17">
                  <c:v>-1.3</c:v>
                </c:pt>
                <c:pt idx="18">
                  <c:v>-0.9</c:v>
                </c:pt>
                <c:pt idx="19">
                  <c:v>-1</c:v>
                </c:pt>
                <c:pt idx="20">
                  <c:v>-1.4</c:v>
                </c:pt>
                <c:pt idx="21">
                  <c:v>-1</c:v>
                </c:pt>
              </c:numCache>
            </c:numRef>
          </c:val>
        </c:ser>
        <c:marker val="1"/>
        <c:axId val="115412352"/>
        <c:axId val="125211776"/>
      </c:lineChart>
      <c:catAx>
        <c:axId val="115412352"/>
        <c:scaling>
          <c:orientation val="minMax"/>
        </c:scaling>
        <c:axPos val="b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5211776"/>
        <c:crosses val="autoZero"/>
        <c:auto val="1"/>
        <c:lblAlgn val="ctr"/>
        <c:lblOffset val="100"/>
      </c:catAx>
      <c:valAx>
        <c:axId val="125211776"/>
        <c:scaling>
          <c:orientation val="minMax"/>
        </c:scaling>
        <c:axPos val="l"/>
        <c:numFmt formatCode="0.0_ 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15412352"/>
        <c:crosses val="autoZero"/>
        <c:crossBetween val="between"/>
      </c:valAx>
    </c:plotArea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lineChart>
        <c:grouping val="standard"/>
        <c:ser>
          <c:idx val="0"/>
          <c:order val="0"/>
          <c:spPr>
            <a:ln w="28575" cap="rnd" cmpd="sng" algn="ctr">
              <a:solidFill>
                <a:prstClr val="black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spPr>
              <a:ln w="12700" cap="rnd" cmpd="sng" algn="ctr">
                <a:solidFill>
                  <a:schemeClr val="tx1"/>
                </a:solidFill>
                <a:prstDash val="sysDot"/>
                <a:round/>
              </a:ln>
            </c:spPr>
          </c:dPt>
          <c:cat>
            <c:multiLvlStrRef>
              <c:f>[外网信息图12.xls]投资!$A$79:$B$100</c:f>
              <c:multiLvlStrCache>
                <c:ptCount val="22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  <c:pt idx="13">
                    <c:v>1-4月</c:v>
                  </c:pt>
                  <c:pt idx="14">
                    <c:v>1-5月</c:v>
                  </c:pt>
                  <c:pt idx="15">
                    <c:v>1-6月</c:v>
                  </c:pt>
                  <c:pt idx="16">
                    <c:v>1-7月</c:v>
                  </c:pt>
                  <c:pt idx="17">
                    <c:v>1-8月</c:v>
                  </c:pt>
                  <c:pt idx="18">
                    <c:v>1-9月</c:v>
                  </c:pt>
                  <c:pt idx="19">
                    <c:v>1-10月</c:v>
                  </c:pt>
                  <c:pt idx="20">
                    <c:v>1-11月</c:v>
                  </c:pt>
                  <c:pt idx="21">
                    <c:v>1-12月</c:v>
                  </c:pt>
                </c:lvl>
                <c:lvl>
                  <c:pt idx="0">
                    <c:v>2021年</c:v>
                  </c:pt>
                  <c:pt idx="11">
                    <c:v>2022年</c:v>
                  </c:pt>
                </c:lvl>
              </c:multiLvlStrCache>
            </c:multiLvlStrRef>
          </c:cat>
          <c:val>
            <c:numRef>
              <c:f>[外网信息图12.xls]投资!$C$79:$C$100</c:f>
              <c:numCache>
                <c:formatCode>General</c:formatCode>
                <c:ptCount val="22"/>
                <c:pt idx="0">
                  <c:v>11.4</c:v>
                </c:pt>
                <c:pt idx="1">
                  <c:v>5.4</c:v>
                </c:pt>
                <c:pt idx="2">
                  <c:v>23.9</c:v>
                </c:pt>
                <c:pt idx="3">
                  <c:v>28.1</c:v>
                </c:pt>
                <c:pt idx="4">
                  <c:v>4.2</c:v>
                </c:pt>
                <c:pt idx="5">
                  <c:v>7.8</c:v>
                </c:pt>
                <c:pt idx="6">
                  <c:v>11.5</c:v>
                </c:pt>
                <c:pt idx="7">
                  <c:v>7.3</c:v>
                </c:pt>
                <c:pt idx="8">
                  <c:v>11.5</c:v>
                </c:pt>
                <c:pt idx="9">
                  <c:v>13.1</c:v>
                </c:pt>
                <c:pt idx="10">
                  <c:v>11.8</c:v>
                </c:pt>
                <c:pt idx="11">
                  <c:v>8.9</c:v>
                </c:pt>
                <c:pt idx="12">
                  <c:v>12.8</c:v>
                </c:pt>
                <c:pt idx="13">
                  <c:v>11.3</c:v>
                </c:pt>
                <c:pt idx="14">
                  <c:v>7.5</c:v>
                </c:pt>
                <c:pt idx="15">
                  <c:v>10.1</c:v>
                </c:pt>
                <c:pt idx="16">
                  <c:v>11.4</c:v>
                </c:pt>
                <c:pt idx="17">
                  <c:v>14.1</c:v>
                </c:pt>
                <c:pt idx="18">
                  <c:v>18.399999999999999</c:v>
                </c:pt>
                <c:pt idx="19">
                  <c:v>14.1</c:v>
                </c:pt>
                <c:pt idx="20">
                  <c:v>16.7</c:v>
                </c:pt>
                <c:pt idx="21" formatCode="0.0_ ">
                  <c:v>13</c:v>
                </c:pt>
              </c:numCache>
            </c:numRef>
          </c:val>
        </c:ser>
        <c:marker val="1"/>
        <c:axId val="125231872"/>
        <c:axId val="125233408"/>
      </c:lineChart>
      <c:catAx>
        <c:axId val="125231872"/>
        <c:scaling>
          <c:orientation val="minMax"/>
        </c:scaling>
        <c:axPos val="b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5233408"/>
        <c:crosses val="autoZero"/>
        <c:auto val="1"/>
        <c:lblAlgn val="ctr"/>
        <c:lblOffset val="100"/>
      </c:catAx>
      <c:valAx>
        <c:axId val="125233408"/>
        <c:scaling>
          <c:orientation val="minMax"/>
        </c:scaling>
        <c:axPos val="l"/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5231872"/>
        <c:crosses val="autoZero"/>
        <c:crossBetween val="between"/>
      </c:valAx>
    </c:plotArea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6.5481152171899606E-2"/>
          <c:y val="0.13915857605177989"/>
          <c:w val="0.91497638232842504"/>
          <c:h val="0.66225014277555705"/>
        </c:manualLayout>
      </c:layout>
      <c:lineChart>
        <c:grouping val="standard"/>
        <c:ser>
          <c:idx val="0"/>
          <c:order val="0"/>
          <c:spPr>
            <a:ln w="28575" cap="rnd" cmpd="sng" algn="ctr">
              <a:solidFill>
                <a:prstClr val="black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spPr>
              <a:ln w="12700" cap="rnd" cmpd="sng" algn="ctr">
                <a:solidFill>
                  <a:schemeClr val="tx1"/>
                </a:solidFill>
                <a:prstDash val="sysDot"/>
                <a:round/>
              </a:ln>
            </c:spPr>
          </c:dPt>
          <c:cat>
            <c:multiLvlStrRef>
              <c:f>[外网信息图12.xls]零售额!$A$79:$B$100</c:f>
              <c:multiLvlStrCache>
                <c:ptCount val="22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  <c:pt idx="13">
                    <c:v>1-4月</c:v>
                  </c:pt>
                  <c:pt idx="14">
                    <c:v>1-5月</c:v>
                  </c:pt>
                  <c:pt idx="15">
                    <c:v>1-6月</c:v>
                  </c:pt>
                  <c:pt idx="16">
                    <c:v>1-7月</c:v>
                  </c:pt>
                  <c:pt idx="17">
                    <c:v>1-8月</c:v>
                  </c:pt>
                  <c:pt idx="18">
                    <c:v>1-9月</c:v>
                  </c:pt>
                  <c:pt idx="19">
                    <c:v>1-10月</c:v>
                  </c:pt>
                  <c:pt idx="20">
                    <c:v>1-11月</c:v>
                  </c:pt>
                  <c:pt idx="21">
                    <c:v>1-12月</c:v>
                  </c:pt>
                </c:lvl>
                <c:lvl>
                  <c:pt idx="0">
                    <c:v>2021年</c:v>
                  </c:pt>
                  <c:pt idx="11">
                    <c:v>2022年</c:v>
                  </c:pt>
                </c:lvl>
              </c:multiLvlStrCache>
            </c:multiLvlStrRef>
          </c:cat>
          <c:val>
            <c:numRef>
              <c:f>[外网信息图12.xls]零售额!$C$79:$C$100</c:f>
              <c:numCache>
                <c:formatCode>0.0_ </c:formatCode>
                <c:ptCount val="22"/>
                <c:pt idx="0">
                  <c:v>34.9</c:v>
                </c:pt>
                <c:pt idx="1">
                  <c:v>37.4</c:v>
                </c:pt>
                <c:pt idx="2">
                  <c:v>34.9</c:v>
                </c:pt>
                <c:pt idx="3">
                  <c:v>28.1</c:v>
                </c:pt>
                <c:pt idx="4">
                  <c:v>25.2</c:v>
                </c:pt>
                <c:pt idx="5">
                  <c:v>22.9</c:v>
                </c:pt>
                <c:pt idx="6">
                  <c:v>18.8</c:v>
                </c:pt>
                <c:pt idx="7">
                  <c:v>16.399999999999999</c:v>
                </c:pt>
                <c:pt idx="8">
                  <c:v>15</c:v>
                </c:pt>
                <c:pt idx="9">
                  <c:v>12.7</c:v>
                </c:pt>
                <c:pt idx="10">
                  <c:v>10.3</c:v>
                </c:pt>
                <c:pt idx="11">
                  <c:v>0.2</c:v>
                </c:pt>
                <c:pt idx="12">
                  <c:v>-1.4</c:v>
                </c:pt>
                <c:pt idx="13">
                  <c:v>-6.2</c:v>
                </c:pt>
                <c:pt idx="14">
                  <c:v>-11.7</c:v>
                </c:pt>
                <c:pt idx="15">
                  <c:v>-11.3</c:v>
                </c:pt>
                <c:pt idx="16">
                  <c:v>-10.6</c:v>
                </c:pt>
                <c:pt idx="17">
                  <c:v>-9.3000000000000007</c:v>
                </c:pt>
                <c:pt idx="18">
                  <c:v>-7.8</c:v>
                </c:pt>
                <c:pt idx="19">
                  <c:v>-8.1</c:v>
                </c:pt>
                <c:pt idx="20">
                  <c:v>-9.5</c:v>
                </c:pt>
                <c:pt idx="21">
                  <c:v>-10.5</c:v>
                </c:pt>
              </c:numCache>
            </c:numRef>
          </c:val>
        </c:ser>
        <c:marker val="1"/>
        <c:axId val="125249024"/>
        <c:axId val="125250560"/>
      </c:lineChart>
      <c:catAx>
        <c:axId val="125249024"/>
        <c:scaling>
          <c:orientation val="minMax"/>
        </c:scaling>
        <c:axPos val="b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5250560"/>
        <c:crosses val="autoZero"/>
        <c:auto val="1"/>
        <c:lblAlgn val="ctr"/>
        <c:lblOffset val="100"/>
      </c:catAx>
      <c:valAx>
        <c:axId val="125250560"/>
        <c:scaling>
          <c:orientation val="minMax"/>
        </c:scaling>
        <c:axPos val="l"/>
        <c:numFmt formatCode="0.0_ 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5249024"/>
        <c:crosses val="autoZero"/>
        <c:crossBetween val="between"/>
      </c:valAx>
    </c:plotArea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F972AB3-0B5A-4D70-915A-69439C02F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>Lenovo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黄桂俊</dc:creator>
  <cp:lastModifiedBy>黄桂俊</cp:lastModifiedBy>
  <cp:revision>73</cp:revision>
  <cp:lastPrinted>2022-09-20T08:54:00Z</cp:lastPrinted>
  <dcterms:created xsi:type="dcterms:W3CDTF">2014-03-17T02:07:00Z</dcterms:created>
  <dcterms:modified xsi:type="dcterms:W3CDTF">2023-01-20T03:27:00Z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