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C11D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朝阳区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关于进一步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加强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工程建设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领域农民工工资离场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结算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工作的通知</w:t>
      </w:r>
    </w:p>
    <w:p w14:paraId="5A31D94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辖区内工程建设领域各建设单位、施工企业：</w:t>
      </w:r>
    </w:p>
    <w:p w14:paraId="539CA733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为落实《保障农民工工资支付条例》《工资支付暂行规定》关于工资支付有关规定，有效预</w:t>
      </w:r>
      <w:r>
        <w:rPr>
          <w:rFonts w:hint="eastAsia" w:ascii="仿宋" w:hAnsi="仿宋" w:eastAsia="仿宋"/>
          <w:sz w:val="32"/>
          <w:szCs w:val="32"/>
          <w:lang w:eastAsia="zh-CN"/>
        </w:rPr>
        <w:t>防和</w:t>
      </w:r>
      <w:r>
        <w:rPr>
          <w:rFonts w:hint="eastAsia" w:ascii="仿宋" w:hAnsi="仿宋" w:eastAsia="仿宋"/>
          <w:sz w:val="32"/>
          <w:szCs w:val="32"/>
        </w:rPr>
        <w:t>化解朝阳区工程建设领域农民工离场工资结算劳动纠纷，现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通知</w:t>
      </w:r>
      <w:r>
        <w:rPr>
          <w:rFonts w:hint="eastAsia" w:ascii="仿宋" w:hAnsi="仿宋" w:eastAsia="仿宋"/>
          <w:sz w:val="32"/>
          <w:szCs w:val="32"/>
        </w:rPr>
        <w:t>如下：</w:t>
      </w:r>
    </w:p>
    <w:p w14:paraId="48D8804D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【适用范围】本通知适用于朝阳区范围内所有房屋市政、交通、水利及其他工程建设领域施工项目，包括限额以上和以下各类工程项目。离场结算包括但不限于因劳动合同（不符合建立劳动关系情形的，按规定订立用工协议，下同）到期终止、单方或经协商一致解除等原因，农民工离开相应工程项目不再继续在该项目施工，需离场</w:t>
      </w:r>
      <w:r>
        <w:rPr>
          <w:rFonts w:hint="eastAsia" w:ascii="仿宋" w:hAnsi="仿宋" w:eastAsia="仿宋"/>
          <w:sz w:val="32"/>
          <w:szCs w:val="32"/>
          <w:lang w:eastAsia="zh-CN"/>
        </w:rPr>
        <w:t>结算</w:t>
      </w:r>
      <w:r>
        <w:rPr>
          <w:rFonts w:hint="eastAsia" w:ascii="仿宋" w:hAnsi="仿宋" w:eastAsia="仿宋"/>
          <w:sz w:val="32"/>
          <w:szCs w:val="32"/>
        </w:rPr>
        <w:t>工资的情形。</w:t>
      </w:r>
    </w:p>
    <w:p w14:paraId="1DC5EF04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【合同订立】总包单位、分包单位应与其招用的农民工签订劳动合同，明确计酬标准、发薪周期、考勤计量、离场结算、工伤保险和维权渠道。未签订劳动合同和实名登记的，不得安排农民工进场施工。总承包企业应落实维权信息公示制度，常态化公示工资支付明细、法治维权渠道、工伤保险参保情况，为农民工查阅提供便利。</w:t>
      </w:r>
    </w:p>
    <w:p w14:paraId="5404D5B3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三、【实名考勤】总包单位、分包单位应落实对其招用农民工的用工主体责任，严格执行实名制管理，确保考勤记录由农民工按月签字确认。无农民工签字或虚假的考勤记录不得作为工资核算依据。</w:t>
      </w:r>
    </w:p>
    <w:p w14:paraId="5AE17DD3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【用工管理】分包单位对其招用的农民工工资支付负直接责任，应按月考核农民工工作量并编制工资表，经农民工确认后，与当月工程进度等情况一并报送总包单位。总包单位应当依法按项目缴纳工伤保险，设立劳资专管员，对分包单位实施监管，掌握用工、考勤、工资支付情况，审核分包单位编制的工资支付表，通过农民工工资专用账户按月足额代发，分包单位应予以配合。总包单位、分包单位应建立用工管理台账，依法保存至少三年。</w:t>
      </w:r>
    </w:p>
    <w:p w14:paraId="32EDF7EB">
      <w:pPr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【常规离场】分包单位或其所属施工班组、农民工因劳动合同到期终止或约定的工作任务结束，需办理离场结算的，分包单位应及时考核农民工考勤和工作量，编制工资支付表，经农民工本人签字确认后送总包单位，通过农民工工资专用账户足额代发。总包单位直接用工的，参照办理。</w:t>
      </w:r>
    </w:p>
    <w:p w14:paraId="2D2129F5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【临时撤场】分包单位或其所属施工班组、农民工个人在劳动合同未终止前单方或经协商一致解除，导致农民工临时撤场的，分包单位应及时核定农民工工资，编制工资表，经农民工本人签字确认后送总包单位足额代发。因临时撤场等客观原因延误核算工作量并导致无法全额结清工资的，总包单位、分包单位应在离场</w:t>
      </w:r>
      <w:r>
        <w:rPr>
          <w:rFonts w:hint="eastAsia" w:ascii="仿宋" w:hAnsi="仿宋" w:eastAsia="仿宋"/>
          <w:sz w:val="32"/>
          <w:szCs w:val="32"/>
          <w:lang w:eastAsia="zh-CN"/>
        </w:rPr>
        <w:t>结算</w:t>
      </w:r>
      <w:r>
        <w:rPr>
          <w:rFonts w:hint="eastAsia" w:ascii="仿宋" w:hAnsi="仿宋" w:eastAsia="仿宋"/>
          <w:sz w:val="32"/>
          <w:szCs w:val="32"/>
        </w:rPr>
        <w:t>确认单中书面约定暂未结清部分的支付期限，延迟支付期限不得超过一个工资支付周期。</w:t>
      </w:r>
    </w:p>
    <w:p w14:paraId="2F25D332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七、【离场</w:t>
      </w:r>
      <w:r>
        <w:rPr>
          <w:rFonts w:hint="eastAsia" w:ascii="仿宋" w:hAnsi="仿宋" w:eastAsia="仿宋"/>
          <w:sz w:val="32"/>
          <w:szCs w:val="32"/>
          <w:lang w:eastAsia="zh-CN"/>
        </w:rPr>
        <w:t>结算</w:t>
      </w:r>
      <w:r>
        <w:rPr>
          <w:rFonts w:hint="eastAsia" w:ascii="仿宋" w:hAnsi="仿宋" w:eastAsia="仿宋"/>
          <w:sz w:val="32"/>
          <w:szCs w:val="32"/>
        </w:rPr>
        <w:t>】根据《工资支付暂行规定》规定，总包单位、分包单位应确保工资在农民工离场前或同时结清。总包单位不得以工程未竣工验收、未经审计，或与建设单位、分包单位存在纠纷等为由，拖延或拒绝办理离场结算。分包单位未按规定向总包单位报送工资表，导致总包单位无法代发结清工资的，分包单位依法承担直接支付责任，分包单位不支付的，由总包单位依法先行清偿，再依法追偿。工程项目转包或其他违法发包、分包情形导致无法离场结清工资的，按照《保障农民工工资支付条例》有关规定执行。</w:t>
      </w:r>
    </w:p>
    <w:p w14:paraId="21C54967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【建设单位】建设单位应按照合同约定及时拨付工程款，将人工费及时足额拨付至农民工工资专用账户，督促总包单位按时足额代发（支付）工资，加强工程项目用工管理，妥善处理相关纠纷。因离场结算发生相关集体讨薪事件的，建设单位应会同总包单位及时向区人力社保部门和主管部门报告。建设单位未按合同约定及时拨付工程款，导致农民工离场无法结清工资的，建设单位应依法及时垫付。</w:t>
      </w:r>
    </w:p>
    <w:p w14:paraId="4A92698B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九、【</w:t>
      </w:r>
      <w:r>
        <w:rPr>
          <w:rFonts w:hint="eastAsia" w:ascii="仿宋" w:hAnsi="仿宋" w:eastAsia="仿宋"/>
          <w:sz w:val="32"/>
          <w:szCs w:val="32"/>
          <w:lang w:eastAsia="zh-CN"/>
        </w:rPr>
        <w:t>结算</w:t>
      </w:r>
      <w:r>
        <w:rPr>
          <w:rFonts w:hint="eastAsia" w:ascii="仿宋" w:hAnsi="仿宋" w:eastAsia="仿宋"/>
          <w:sz w:val="32"/>
          <w:szCs w:val="32"/>
        </w:rPr>
        <w:t>证明】农民工离场结清工资后，总包单位应当会同分包单位与农民工共同签署书面离场结</w:t>
      </w:r>
      <w:r>
        <w:rPr>
          <w:rFonts w:hint="eastAsia" w:ascii="仿宋" w:hAnsi="仿宋" w:eastAsia="仿宋"/>
          <w:sz w:val="32"/>
          <w:szCs w:val="32"/>
          <w:lang w:eastAsia="zh-CN"/>
        </w:rPr>
        <w:t>算</w:t>
      </w:r>
      <w:r>
        <w:rPr>
          <w:rFonts w:hint="eastAsia" w:ascii="仿宋" w:hAnsi="仿宋" w:eastAsia="仿宋"/>
          <w:sz w:val="32"/>
          <w:szCs w:val="32"/>
        </w:rPr>
        <w:t>确认单，文书一式三份各方分别留存，农民工本人签字按印确认，总包单位、分包单位有关负责人签字并加盖单位公章，有条件的可通过拍照、视频方式留证，与文书一并纳入用工管理台账保存。各方因离场结算发生争议的，总包单位应组织及时协商核算，无争议部分应即时结清，有争议部分应在确认</w:t>
      </w:r>
      <w:r>
        <w:rPr>
          <w:rFonts w:hint="eastAsia" w:ascii="仿宋" w:hAnsi="仿宋" w:eastAsia="仿宋"/>
          <w:sz w:val="32"/>
          <w:szCs w:val="32"/>
          <w:lang w:eastAsia="zh-CN"/>
        </w:rPr>
        <w:t>单</w:t>
      </w:r>
      <w:r>
        <w:rPr>
          <w:rFonts w:hint="eastAsia" w:ascii="仿宋" w:hAnsi="仿宋" w:eastAsia="仿宋"/>
          <w:sz w:val="32"/>
          <w:szCs w:val="32"/>
        </w:rPr>
        <w:t>中明确列明。</w:t>
      </w:r>
    </w:p>
    <w:p w14:paraId="620A8010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十、【法律责任】建设单位、总包单位、分包单位未依照本通知要求，依法履行工资离场结算责任的，区人力资源社会保障行政部门将依照《保障农民工工资支付条例》等法规规定予以查处。离场结算发生争议</w:t>
      </w:r>
      <w:r>
        <w:rPr>
          <w:rFonts w:hint="eastAsia" w:ascii="仿宋" w:hAnsi="仿宋" w:eastAsia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，相关单位</w:t>
      </w:r>
      <w:r>
        <w:rPr>
          <w:rFonts w:hint="eastAsia" w:ascii="仿宋" w:hAnsi="仿宋" w:eastAsia="仿宋"/>
          <w:sz w:val="32"/>
          <w:szCs w:val="32"/>
          <w:lang w:eastAsia="zh-CN"/>
        </w:rPr>
        <w:t>未</w:t>
      </w:r>
      <w:r>
        <w:rPr>
          <w:rFonts w:hint="eastAsia" w:ascii="仿宋" w:hAnsi="仿宋" w:eastAsia="仿宋"/>
          <w:sz w:val="32"/>
          <w:szCs w:val="32"/>
        </w:rPr>
        <w:t>就实名制管理、用工管理台账等举证的，依法承担不利后果。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属地街乡应当加强对辖区内工程项目特别是规下项目的日常监管，督促落实工程项目许可备案制度，强化对离场结算情况的巡查，及时化解相关劳动纠纷。</w:t>
      </w:r>
    </w:p>
    <w:p w14:paraId="34E2999E">
      <w:pPr>
        <w:rPr>
          <w:rFonts w:ascii="仿宋" w:hAnsi="仿宋" w:eastAsia="仿宋"/>
          <w:sz w:val="32"/>
          <w:szCs w:val="32"/>
        </w:rPr>
      </w:pPr>
    </w:p>
    <w:p w14:paraId="1F5C211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附件：离场结算</w:t>
      </w:r>
      <w:r>
        <w:rPr>
          <w:rFonts w:hint="eastAsia" w:ascii="仿宋" w:hAnsi="仿宋" w:eastAsia="仿宋"/>
          <w:sz w:val="32"/>
          <w:szCs w:val="32"/>
          <w:lang w:eastAsia="zh-CN"/>
        </w:rPr>
        <w:t>确认单</w:t>
      </w:r>
      <w:r>
        <w:rPr>
          <w:rFonts w:hint="eastAsia" w:ascii="仿宋" w:hAnsi="仿宋" w:eastAsia="仿宋"/>
          <w:sz w:val="32"/>
          <w:szCs w:val="32"/>
        </w:rPr>
        <w:t>示范文本</w:t>
      </w:r>
    </w:p>
    <w:p w14:paraId="111E7C7E">
      <w:pPr>
        <w:ind w:firstLine="640"/>
        <w:rPr>
          <w:rFonts w:ascii="仿宋" w:hAnsi="仿宋" w:eastAsia="仿宋"/>
          <w:sz w:val="32"/>
          <w:szCs w:val="32"/>
        </w:rPr>
      </w:pPr>
    </w:p>
    <w:p w14:paraId="4637A160">
      <w:pPr>
        <w:ind w:firstLine="640"/>
        <w:rPr>
          <w:rFonts w:ascii="仿宋" w:hAnsi="仿宋" w:eastAsia="仿宋"/>
          <w:sz w:val="32"/>
          <w:szCs w:val="32"/>
        </w:rPr>
      </w:pPr>
    </w:p>
    <w:p w14:paraId="6DB2714F">
      <w:pPr>
        <w:ind w:firstLine="64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朝阳区人力资源和社会保障局</w:t>
      </w:r>
    </w:p>
    <w:p w14:paraId="62CD40FB">
      <w:pPr>
        <w:wordWrap w:val="0"/>
        <w:ind w:firstLine="640"/>
        <w:jc w:val="righ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2026年6月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</w:p>
    <w:p w14:paraId="68994073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 w14:paraId="3265AB93">
      <w:pPr>
        <w:snapToGrid w:val="0"/>
        <w:spacing w:line="240" w:lineRule="auto"/>
        <w:ind w:firstLine="0" w:firstLineChars="0"/>
        <w:jc w:val="center"/>
        <w:rPr>
          <w:rFonts w:hint="eastAsia" w:ascii="宋体" w:hAnsi="宋体" w:eastAsia="宋体" w:cs="Times New Roman"/>
          <w:b/>
          <w:sz w:val="44"/>
          <w:szCs w:val="44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附件：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sz w:val="44"/>
          <w:szCs w:val="44"/>
        </w:rPr>
        <w:t>工程建设领域建筑工人工资离场结算</w:t>
      </w:r>
    </w:p>
    <w:p w14:paraId="69B43589">
      <w:pPr>
        <w:snapToGrid w:val="0"/>
        <w:spacing w:line="240" w:lineRule="auto"/>
        <w:ind w:firstLine="0" w:firstLineChars="0"/>
        <w:jc w:val="center"/>
        <w:rPr>
          <w:rFonts w:hint="eastAsia" w:ascii="宋体" w:hAnsi="宋体" w:eastAsia="宋体" w:cs="Times New Roman"/>
          <w:b/>
          <w:sz w:val="44"/>
          <w:szCs w:val="44"/>
          <w:lang w:eastAsia="zh-CN"/>
        </w:rPr>
      </w:pPr>
      <w:r>
        <w:rPr>
          <w:rFonts w:hint="eastAsia" w:ascii="宋体" w:hAnsi="宋体" w:eastAsia="宋体" w:cs="Times New Roman"/>
          <w:b/>
          <w:sz w:val="44"/>
          <w:szCs w:val="44"/>
        </w:rPr>
        <w:t>确认</w:t>
      </w:r>
      <w:r>
        <w:rPr>
          <w:rFonts w:hint="eastAsia" w:ascii="宋体" w:hAnsi="宋体" w:eastAsia="宋体" w:cs="Times New Roman"/>
          <w:b/>
          <w:sz w:val="44"/>
          <w:szCs w:val="44"/>
          <w:lang w:eastAsia="zh-CN"/>
        </w:rPr>
        <w:t>单</w:t>
      </w:r>
    </w:p>
    <w:p w14:paraId="6FC6A4F1">
      <w:pPr>
        <w:rPr>
          <w:rFonts w:hint="eastAsia" w:ascii="黑体" w:hAnsi="黑体" w:eastAsia="黑体" w:cs="黑体"/>
          <w:sz w:val="32"/>
          <w:szCs w:val="40"/>
        </w:rPr>
      </w:pPr>
    </w:p>
    <w:p w14:paraId="562D419C">
      <w:pPr>
        <w:rPr>
          <w:rFonts w:hint="default" w:ascii="黑体" w:hAnsi="黑体" w:eastAsia="黑体" w:cs="黑体"/>
          <w:sz w:val="32"/>
          <w:szCs w:val="40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</w:rPr>
        <w:t>项目名称：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                                       </w:t>
      </w:r>
    </w:p>
    <w:p w14:paraId="3963DD12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用人</w:t>
      </w:r>
      <w:r>
        <w:rPr>
          <w:rFonts w:hint="eastAsia" w:ascii="黑体" w:hAnsi="黑体" w:eastAsia="黑体" w:cs="黑体"/>
          <w:sz w:val="32"/>
          <w:szCs w:val="40"/>
        </w:rPr>
        <w:t>单位：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                                       </w:t>
      </w:r>
    </w:p>
    <w:p w14:paraId="14EAEFC3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本人(姓名)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，</w:t>
      </w:r>
      <w:r>
        <w:rPr>
          <w:rFonts w:hint="eastAsia" w:ascii="黑体" w:hAnsi="黑体" w:eastAsia="黑体" w:cs="黑体"/>
          <w:sz w:val="32"/>
          <w:szCs w:val="40"/>
        </w:rPr>
        <w:t>身份证号码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   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        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，</w:t>
      </w:r>
      <w:r>
        <w:rPr>
          <w:rFonts w:hint="eastAsia" w:ascii="黑体" w:hAnsi="黑体" w:eastAsia="黑体" w:cs="黑体"/>
          <w:sz w:val="32"/>
          <w:szCs w:val="40"/>
        </w:rPr>
        <w:t xml:space="preserve"> </w:t>
      </w:r>
    </w:p>
    <w:p w14:paraId="18D0470D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联系电话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          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</w:t>
      </w:r>
      <w:r>
        <w:rPr>
          <w:rFonts w:hint="eastAsia" w:ascii="黑体" w:hAnsi="黑体" w:eastAsia="黑体" w:cs="黑体"/>
          <w:sz w:val="32"/>
          <w:szCs w:val="40"/>
          <w:u w:val="none"/>
          <w:lang w:eastAsia="zh-CN"/>
        </w:rPr>
        <w:t>；</w:t>
      </w:r>
      <w:r>
        <w:rPr>
          <w:rFonts w:hint="eastAsia" w:ascii="黑体" w:hAnsi="黑体" w:eastAsia="黑体" w:cs="黑体"/>
          <w:sz w:val="32"/>
          <w:szCs w:val="40"/>
        </w:rPr>
        <w:t>于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</w:t>
      </w:r>
      <w:r>
        <w:rPr>
          <w:rFonts w:hint="eastAsia" w:ascii="黑体" w:hAnsi="黑体" w:eastAsia="黑体" w:cs="黑体"/>
          <w:sz w:val="32"/>
          <w:szCs w:val="40"/>
        </w:rPr>
        <w:t>年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</w:t>
      </w:r>
      <w:r>
        <w:rPr>
          <w:rFonts w:hint="eastAsia" w:ascii="黑体" w:hAnsi="黑体" w:eastAsia="黑体" w:cs="黑体"/>
          <w:sz w:val="32"/>
          <w:szCs w:val="40"/>
        </w:rPr>
        <w:t>月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40"/>
        </w:rPr>
        <w:t>日进场从事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   </w:t>
      </w:r>
      <w:r>
        <w:rPr>
          <w:rFonts w:hint="eastAsia" w:ascii="黑体" w:hAnsi="黑体" w:eastAsia="黑体" w:cs="黑体"/>
          <w:sz w:val="32"/>
          <w:szCs w:val="40"/>
        </w:rPr>
        <w:t>(岗位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40"/>
        </w:rPr>
        <w:t>工种)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，</w:t>
      </w:r>
      <w:r>
        <w:rPr>
          <w:rFonts w:hint="eastAsia" w:ascii="黑体" w:hAnsi="黑体" w:eastAsia="黑体" w:cs="黑体"/>
          <w:sz w:val="32"/>
          <w:szCs w:val="40"/>
        </w:rPr>
        <w:t>于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</w:t>
      </w:r>
      <w:r>
        <w:rPr>
          <w:rFonts w:hint="eastAsia" w:ascii="黑体" w:hAnsi="黑体" w:eastAsia="黑体" w:cs="黑体"/>
          <w:sz w:val="32"/>
          <w:szCs w:val="40"/>
        </w:rPr>
        <w:t>年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</w:t>
      </w:r>
      <w:r>
        <w:rPr>
          <w:rFonts w:hint="eastAsia" w:ascii="黑体" w:hAnsi="黑体" w:eastAsia="黑体" w:cs="黑体"/>
          <w:sz w:val="32"/>
          <w:szCs w:val="40"/>
        </w:rPr>
        <w:t>月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40"/>
        </w:rPr>
        <w:t>日退场，累计工作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40"/>
        </w:rPr>
        <w:t>日，合计全部工资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 </w:t>
      </w:r>
      <w:r>
        <w:rPr>
          <w:rFonts w:hint="eastAsia" w:ascii="黑体" w:hAnsi="黑体" w:eastAsia="黑体" w:cs="黑体"/>
          <w:sz w:val="32"/>
          <w:szCs w:val="40"/>
        </w:rPr>
        <w:t>元，已收到工资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 </w:t>
      </w:r>
      <w:r>
        <w:rPr>
          <w:rFonts w:hint="eastAsia" w:ascii="黑体" w:hAnsi="黑体" w:eastAsia="黑体" w:cs="黑体"/>
          <w:sz w:val="32"/>
          <w:szCs w:val="40"/>
        </w:rPr>
        <w:t>元，剩余工资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 </w:t>
      </w:r>
      <w:r>
        <w:rPr>
          <w:rFonts w:hint="eastAsia" w:ascii="黑体" w:hAnsi="黑体" w:eastAsia="黑体" w:cs="黑体"/>
          <w:sz w:val="32"/>
          <w:szCs w:val="40"/>
        </w:rPr>
        <w:t>元。剩余工资经本人与项目部协商一致，</w:t>
      </w:r>
    </w:p>
    <w:p w14:paraId="202E68F5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于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</w:t>
      </w:r>
      <w:r>
        <w:rPr>
          <w:rFonts w:hint="eastAsia" w:ascii="黑体" w:hAnsi="黑体" w:eastAsia="黑体" w:cs="黑体"/>
          <w:sz w:val="32"/>
          <w:szCs w:val="40"/>
        </w:rPr>
        <w:t>年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</w:t>
      </w:r>
      <w:r>
        <w:rPr>
          <w:rFonts w:hint="eastAsia" w:ascii="黑体" w:hAnsi="黑体" w:eastAsia="黑体" w:cs="黑体"/>
          <w:sz w:val="32"/>
          <w:szCs w:val="40"/>
        </w:rPr>
        <w:t>月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40"/>
        </w:rPr>
        <w:t>日前付清。本人在该项目工作期间的全部工资已结清，工资卡由本人持有保管。</w:t>
      </w:r>
    </w:p>
    <w:p w14:paraId="468D3466">
      <w:pPr>
        <w:pStyle w:val="2"/>
        <w:rPr>
          <w:rFonts w:hint="eastAsia"/>
        </w:rPr>
      </w:pPr>
    </w:p>
    <w:p w14:paraId="3B303A33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本人签字及捺手印：</w:t>
      </w:r>
    </w:p>
    <w:p w14:paraId="72F1F307">
      <w:pPr>
        <w:rPr>
          <w:rFonts w:hint="eastAsia" w:ascii="黑体" w:hAnsi="黑体" w:eastAsia="黑体" w:cs="黑体"/>
          <w:sz w:val="32"/>
          <w:szCs w:val="40"/>
        </w:rPr>
      </w:pPr>
    </w:p>
    <w:p w14:paraId="09B2EA56">
      <w:pPr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劳资员签字：</w:t>
      </w:r>
    </w:p>
    <w:p w14:paraId="62DDB5F1">
      <w:pPr>
        <w:rPr>
          <w:rFonts w:hint="eastAsia" w:ascii="黑体" w:hAnsi="黑体" w:eastAsia="黑体" w:cs="黑体"/>
          <w:sz w:val="32"/>
          <w:szCs w:val="40"/>
        </w:rPr>
      </w:pPr>
    </w:p>
    <w:p w14:paraId="37E671BE">
      <w:pPr>
        <w:pStyle w:val="2"/>
        <w:rPr>
          <w:rFonts w:hint="eastAsia"/>
        </w:rPr>
      </w:pPr>
    </w:p>
    <w:p w14:paraId="6F9631B6">
      <w:pPr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用人单位</w:t>
      </w:r>
      <w:r>
        <w:rPr>
          <w:rFonts w:hint="eastAsia" w:ascii="黑体" w:hAnsi="黑体" w:eastAsia="黑体" w:cs="黑体"/>
          <w:sz w:val="32"/>
          <w:szCs w:val="40"/>
        </w:rPr>
        <w:t>盖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章：</w:t>
      </w:r>
    </w:p>
    <w:p w14:paraId="3B1A0246">
      <w:pPr>
        <w:rPr>
          <w:rFonts w:hint="eastAsia" w:ascii="黑体" w:hAnsi="黑体" w:eastAsia="黑体" w:cs="黑体"/>
          <w:sz w:val="32"/>
          <w:szCs w:val="40"/>
        </w:rPr>
      </w:pPr>
    </w:p>
    <w:p w14:paraId="3B4643C4">
      <w:pPr>
        <w:jc w:val="right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日期：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 </w:t>
      </w:r>
      <w:r>
        <w:rPr>
          <w:rFonts w:hint="eastAsia" w:ascii="黑体" w:hAnsi="黑体" w:eastAsia="黑体" w:cs="黑体"/>
          <w:sz w:val="32"/>
          <w:szCs w:val="40"/>
        </w:rPr>
        <w:t>年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  </w:t>
      </w:r>
      <w:r>
        <w:rPr>
          <w:rFonts w:hint="eastAsia" w:ascii="黑体" w:hAnsi="黑体" w:eastAsia="黑体" w:cs="黑体"/>
          <w:sz w:val="32"/>
          <w:szCs w:val="40"/>
        </w:rPr>
        <w:t>月</w:t>
      </w:r>
      <w:r>
        <w:rPr>
          <w:rFonts w:hint="eastAsia" w:ascii="黑体" w:hAnsi="黑体" w:eastAsia="黑体" w:cs="黑体"/>
          <w:sz w:val="32"/>
          <w:szCs w:val="40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40"/>
        </w:rPr>
        <w:t>日</w:t>
      </w:r>
    </w:p>
    <w:p w14:paraId="114D2AE2">
      <w:pPr>
        <w:rPr>
          <w:rFonts w:hint="eastAsia"/>
        </w:rPr>
      </w:pPr>
    </w:p>
    <w:p w14:paraId="5DF1E613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24"/>
          <w:szCs w:val="32"/>
        </w:rPr>
        <w:t>(本确认书一式三份，总承包单位、分包单位、建筑工人本人各留存一份)</w:t>
      </w:r>
    </w:p>
    <w:sectPr>
      <w:footerReference r:id="rId3" w:type="default"/>
      <w:footerReference r:id="rId4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7"/>
      </w:rPr>
      <w:id w:val="854620525"/>
      <w:docPartObj>
        <w:docPartGallery w:val="autotext"/>
      </w:docPartObj>
    </w:sdtPr>
    <w:sdtEndPr>
      <w:rPr>
        <w:rStyle w:val="17"/>
      </w:rPr>
    </w:sdtEndPr>
    <w:sdtContent>
      <w:p w14:paraId="1244EA36">
        <w:pPr>
          <w:pStyle w:val="12"/>
          <w:framePr w:wrap="auto" w:vAnchor="text" w:hAnchor="margin" w:xAlign="center" w:y="1"/>
          <w:rPr>
            <w:rStyle w:val="17"/>
          </w:rPr>
        </w:pPr>
        <w:r>
          <w:rPr>
            <w:rStyle w:val="17"/>
          </w:rPr>
          <w:fldChar w:fldCharType="begin"/>
        </w:r>
        <w:r>
          <w:rPr>
            <w:rStyle w:val="17"/>
          </w:rPr>
          <w:instrText xml:space="preserve"> PAGE </w:instrText>
        </w:r>
        <w:r>
          <w:rPr>
            <w:rStyle w:val="17"/>
          </w:rPr>
          <w:fldChar w:fldCharType="separate"/>
        </w:r>
        <w:r>
          <w:rPr>
            <w:rStyle w:val="17"/>
          </w:rPr>
          <w:t>1</w:t>
        </w:r>
        <w:r>
          <w:rPr>
            <w:rStyle w:val="17"/>
          </w:rPr>
          <w:fldChar w:fldCharType="end"/>
        </w:r>
      </w:p>
    </w:sdtContent>
  </w:sdt>
  <w:p w14:paraId="74704646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7"/>
      </w:rPr>
      <w:id w:val="16431514"/>
      <w:docPartObj>
        <w:docPartGallery w:val="autotext"/>
      </w:docPartObj>
    </w:sdtPr>
    <w:sdtEndPr>
      <w:rPr>
        <w:rStyle w:val="17"/>
      </w:rPr>
    </w:sdtEndPr>
    <w:sdtContent>
      <w:p w14:paraId="39462E17">
        <w:pPr>
          <w:pStyle w:val="12"/>
          <w:framePr w:wrap="auto" w:vAnchor="text" w:hAnchor="margin" w:xAlign="center" w:y="1"/>
          <w:rPr>
            <w:rStyle w:val="17"/>
          </w:rPr>
        </w:pPr>
        <w:r>
          <w:rPr>
            <w:rStyle w:val="17"/>
          </w:rPr>
          <w:fldChar w:fldCharType="begin"/>
        </w:r>
        <w:r>
          <w:rPr>
            <w:rStyle w:val="17"/>
          </w:rPr>
          <w:instrText xml:space="preserve"> PAGE </w:instrText>
        </w:r>
        <w:r>
          <w:rPr>
            <w:rStyle w:val="17"/>
          </w:rPr>
          <w:fldChar w:fldCharType="separate"/>
        </w:r>
        <w:r>
          <w:rPr>
            <w:rStyle w:val="17"/>
          </w:rPr>
          <w:fldChar w:fldCharType="end"/>
        </w:r>
      </w:p>
    </w:sdtContent>
  </w:sdt>
  <w:p w14:paraId="2BA3782D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2DD"/>
    <w:rsid w:val="0010036F"/>
    <w:rsid w:val="001442DD"/>
    <w:rsid w:val="00184C49"/>
    <w:rsid w:val="00206C8B"/>
    <w:rsid w:val="003F3496"/>
    <w:rsid w:val="004149F8"/>
    <w:rsid w:val="00522900"/>
    <w:rsid w:val="00723E6C"/>
    <w:rsid w:val="00B178D9"/>
    <w:rsid w:val="00C74F98"/>
    <w:rsid w:val="00D0342E"/>
    <w:rsid w:val="00D254CB"/>
    <w:rsid w:val="00D51905"/>
    <w:rsid w:val="00E53CF1"/>
    <w:rsid w:val="00EF7A94"/>
    <w:rsid w:val="00F923FE"/>
    <w:rsid w:val="046917C8"/>
    <w:rsid w:val="125456CF"/>
    <w:rsid w:val="168C0E63"/>
    <w:rsid w:val="1ADA3B2C"/>
    <w:rsid w:val="1AEA3A9E"/>
    <w:rsid w:val="272A23FF"/>
    <w:rsid w:val="36861FB0"/>
    <w:rsid w:val="3C460065"/>
    <w:rsid w:val="47184A24"/>
    <w:rsid w:val="49223F0C"/>
    <w:rsid w:val="5DC11D63"/>
    <w:rsid w:val="70507A6D"/>
    <w:rsid w:val="7750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line="240" w:lineRule="auto"/>
      <w:jc w:val="center"/>
    </w:pPr>
    <w:rPr>
      <w:rFonts w:eastAsia="宋体"/>
      <w:sz w:val="21"/>
      <w:szCs w:val="21"/>
    </w:rPr>
  </w:style>
  <w:style w:type="paragraph" w:styleId="12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page number"/>
    <w:basedOn w:val="16"/>
    <w:semiHidden/>
    <w:unhideWhenUsed/>
    <w:qFormat/>
    <w:uiPriority w:val="99"/>
  </w:style>
  <w:style w:type="character" w:customStyle="1" w:styleId="18">
    <w:name w:val="标题 1 字符"/>
    <w:basedOn w:val="16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脚 字符"/>
    <w:basedOn w:val="16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2012</Words>
  <Characters>2016</Characters>
  <Lines>12</Lines>
  <Paragraphs>3</Paragraphs>
  <TotalTime>17</TotalTime>
  <ScaleCrop>false</ScaleCrop>
  <LinksUpToDate>false</LinksUpToDate>
  <CharactersWithSpaces>2214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2026-06-28T08:49:00Z</dcterms:created>
  <dc:creator>Qqbzxow</dc:creator>
  <cp:lastModifiedBy>郝骏堯爸爸</cp:lastModifiedBy>
  <dcterms:modified xsi:type="dcterms:W3CDTF">2026-07-02T09:46:34Z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eyJoZGlkIjoiOTdkNDY2YTc0YWI4ODczNjRlM2ExNjI3M2EyMGY1YTkiLCJ1c2VySWQiOiI1NzcyNjg1NjUifQ==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3A4C77F7B0974C64BC3915AB5A10E2F1_13</vt:lpwstr>
  </property>
</Properties>
</file>