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F8F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olor w:val="000000"/>
          <w:kern w:val="0"/>
          <w:sz w:val="36"/>
          <w:szCs w:val="36"/>
          <w:u w:val="none"/>
          <w:lang w:val="en-US" w:eastAsia="zh-CN" w:bidi="ar"/>
        </w:rPr>
      </w:pPr>
      <w:r>
        <w:rPr>
          <w:rFonts w:hint="eastAsia" w:ascii="方正小标宋简体" w:hAnsi="方正小标宋简体" w:eastAsia="方正小标宋简体" w:cs="方正小标宋简体"/>
          <w:color w:val="000000"/>
          <w:kern w:val="0"/>
          <w:sz w:val="36"/>
          <w:szCs w:val="36"/>
        </w:rPr>
        <w:t>（北京市朝阳区市场监督管理局）</w:t>
      </w:r>
      <w:r>
        <w:rPr>
          <w:rFonts w:hint="eastAsia" w:ascii="方正小标宋简体" w:hAnsi="方正小标宋简体" w:eastAsia="方正小标宋简体" w:cs="方正小标宋简体"/>
          <w:i w:val="0"/>
          <w:color w:val="000000"/>
          <w:kern w:val="0"/>
          <w:sz w:val="36"/>
          <w:szCs w:val="36"/>
          <w:u w:val="none"/>
          <w:lang w:val="en-US" w:eastAsia="zh-CN" w:bidi="ar"/>
        </w:rPr>
        <w:t>2026年区政府工作报告重点工作落实情况表</w:t>
      </w:r>
    </w:p>
    <w:p w14:paraId="5C6BFC2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olor w:val="000000"/>
          <w:kern w:val="0"/>
          <w:sz w:val="36"/>
          <w:szCs w:val="36"/>
          <w:u w:val="none"/>
          <w:lang w:val="en-US" w:eastAsia="zh-CN" w:bidi="ar"/>
        </w:rPr>
      </w:pPr>
      <w:r>
        <w:rPr>
          <w:rFonts w:hint="eastAsia" w:ascii="方正小标宋简体" w:hAnsi="方正小标宋简体" w:eastAsia="方正小标宋简体" w:cs="方正小标宋简体"/>
          <w:i w:val="0"/>
          <w:color w:val="000000"/>
          <w:kern w:val="0"/>
          <w:sz w:val="36"/>
          <w:szCs w:val="36"/>
          <w:u w:val="none"/>
          <w:lang w:val="en-US" w:eastAsia="zh-CN" w:bidi="ar"/>
        </w:rPr>
        <w:t>（第一季度）</w:t>
      </w:r>
    </w:p>
    <w:p w14:paraId="56E29002">
      <w:pPr>
        <w:pStyle w:val="2"/>
      </w:pPr>
    </w:p>
    <w:tbl>
      <w:tblPr>
        <w:tblStyle w:val="6"/>
        <w:tblW w:w="13245" w:type="dxa"/>
        <w:tblInd w:w="4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20"/>
        <w:gridCol w:w="2790"/>
        <w:gridCol w:w="2865"/>
        <w:gridCol w:w="4905"/>
      </w:tblGrid>
      <w:tr w14:paraId="0AD1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trPr>
        <w:tc>
          <w:tcPr>
            <w:tcW w:w="765" w:type="dxa"/>
            <w:shd w:val="clear" w:color="auto" w:fill="D9D9D9"/>
            <w:vAlign w:val="center"/>
          </w:tcPr>
          <w:p w14:paraId="333FEB61">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序号</w:t>
            </w:r>
          </w:p>
        </w:tc>
        <w:tc>
          <w:tcPr>
            <w:tcW w:w="1920" w:type="dxa"/>
            <w:shd w:val="clear" w:color="auto" w:fill="D9D9D9"/>
            <w:vAlign w:val="center"/>
          </w:tcPr>
          <w:p w14:paraId="0B817D9B">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任务来源</w:t>
            </w:r>
          </w:p>
        </w:tc>
        <w:tc>
          <w:tcPr>
            <w:tcW w:w="2790" w:type="dxa"/>
            <w:shd w:val="clear" w:color="auto" w:fill="D9D9D9"/>
            <w:vAlign w:val="center"/>
          </w:tcPr>
          <w:p w14:paraId="665F81AA">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任务内容</w:t>
            </w:r>
          </w:p>
        </w:tc>
        <w:tc>
          <w:tcPr>
            <w:tcW w:w="2865" w:type="dxa"/>
            <w:shd w:val="clear" w:color="auto" w:fill="D9D9D9"/>
            <w:vAlign w:val="center"/>
          </w:tcPr>
          <w:p w14:paraId="09A9AEC6">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区级责任部门</w:t>
            </w:r>
          </w:p>
        </w:tc>
        <w:tc>
          <w:tcPr>
            <w:tcW w:w="4905" w:type="dxa"/>
            <w:shd w:val="clear" w:color="auto" w:fill="D9D9D9"/>
            <w:vAlign w:val="center"/>
          </w:tcPr>
          <w:p w14:paraId="03643B6B">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进展情况</w:t>
            </w:r>
          </w:p>
        </w:tc>
      </w:tr>
      <w:tr w14:paraId="5798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trPr>
        <w:tc>
          <w:tcPr>
            <w:tcW w:w="765" w:type="dxa"/>
            <w:vAlign w:val="center"/>
          </w:tcPr>
          <w:p w14:paraId="1492CE79">
            <w:pPr>
              <w:keepNext w:val="0"/>
              <w:keepLines w:val="0"/>
              <w:widowControl/>
              <w:suppressLineNumbers w:val="0"/>
              <w:jc w:val="center"/>
              <w:textAlignment w:val="center"/>
              <w:rPr>
                <w:rFonts w:hint="eastAsia" w:ascii="仿宋_GB2312" w:hAnsi="仿宋_GB2312" w:eastAsia="仿宋_GB2312" w:cs="仿宋_GB2312"/>
                <w:sz w:val="24"/>
                <w:szCs w:val="24"/>
                <w:vertAlign w:val="baseline"/>
                <w:lang w:eastAsia="zh-CN"/>
              </w:rPr>
            </w:pPr>
            <w:r>
              <w:rPr>
                <w:rFonts w:hint="default" w:ascii="Times New Roman" w:hAnsi="Times New Roman" w:eastAsia="仿宋_GB2312" w:cs="Times New Roman"/>
                <w:i w:val="0"/>
                <w:color w:val="000000"/>
                <w:kern w:val="0"/>
                <w:sz w:val="24"/>
                <w:szCs w:val="24"/>
                <w:u w:val="none"/>
                <w:lang w:val="en-US" w:eastAsia="zh-CN" w:bidi="ar"/>
              </w:rPr>
              <w:t>1</w:t>
            </w:r>
          </w:p>
        </w:tc>
        <w:tc>
          <w:tcPr>
            <w:tcW w:w="1920" w:type="dxa"/>
            <w:vAlign w:val="center"/>
          </w:tcPr>
          <w:p w14:paraId="2AA98577">
            <w:pPr>
              <w:keepNext w:val="0"/>
              <w:keepLines w:val="0"/>
              <w:widowControl/>
              <w:suppressLineNumbers w:val="0"/>
              <w:jc w:val="center"/>
              <w:textAlignment w:val="center"/>
              <w:rPr>
                <w:rFonts w:hint="eastAsia" w:ascii="仿宋_GB2312" w:hAnsi="仿宋_GB2312" w:eastAsia="仿宋_GB2312" w:cs="仿宋_GB2312"/>
                <w:sz w:val="24"/>
                <w:szCs w:val="24"/>
                <w:vertAlign w:val="baseline"/>
                <w:lang w:eastAsia="zh-CN"/>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3E9CE89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全力争创国家数字广告产业园区试点。</w:t>
            </w:r>
          </w:p>
        </w:tc>
        <w:tc>
          <w:tcPr>
            <w:tcW w:w="2865" w:type="dxa"/>
            <w:shd w:val="clear" w:color="auto" w:fill="auto"/>
            <w:vAlign w:val="center"/>
          </w:tcPr>
          <w:p w14:paraId="003A9CF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区市场监管局</w:t>
            </w:r>
          </w:p>
        </w:tc>
        <w:tc>
          <w:tcPr>
            <w:tcW w:w="4905" w:type="dxa"/>
            <w:vAlign w:val="center"/>
          </w:tcPr>
          <w:p w14:paraId="1323DF41">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金融服务领域,联合银行为企业提供覆盖全生命周期的专属贷款产品与绿色审批通道，满足从初创到上市各阶段的资金需求；商务服务领域以智能技术助力企业精准获客，并推出“订单式”普法服务；文化消费领域打造“莱惠 CLUB”创新场景，形成“场景</w:t>
            </w:r>
            <w:bookmarkStart w:id="0" w:name="_GoBack"/>
            <w:bookmarkEnd w:id="0"/>
            <w:r>
              <w:rPr>
                <w:rFonts w:hint="eastAsia" w:ascii="仿宋_GB2312" w:hAnsi="仿宋_GB2312" w:eastAsia="仿宋_GB2312" w:cs="仿宋_GB2312"/>
                <w:i w:val="0"/>
                <w:color w:val="000000"/>
                <w:kern w:val="0"/>
                <w:sz w:val="24"/>
                <w:szCs w:val="24"/>
                <w:u w:val="none"/>
                <w:lang w:val="en-US" w:eastAsia="zh-CN" w:bidi="ar"/>
              </w:rPr>
              <w:t>+技术+传播”融合新范式，成功构建协同高效的“数字广告+”发展新格局。</w:t>
            </w:r>
          </w:p>
        </w:tc>
      </w:tr>
      <w:tr w14:paraId="1B1A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7" w:hRule="atLeast"/>
        </w:trPr>
        <w:tc>
          <w:tcPr>
            <w:tcW w:w="765" w:type="dxa"/>
            <w:vAlign w:val="center"/>
          </w:tcPr>
          <w:p w14:paraId="5A19AA9D">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2</w:t>
            </w:r>
          </w:p>
        </w:tc>
        <w:tc>
          <w:tcPr>
            <w:tcW w:w="1920" w:type="dxa"/>
            <w:vAlign w:val="center"/>
          </w:tcPr>
          <w:p w14:paraId="49D5E453">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22</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20508F5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积极融入和服务全国统一大市场，出台公平竞争审查地方标准，坚决抵制“内卷式”竞争。推动惠企政策直达快享，完善服务包、服务管家机制，切实为企业解决实际问题。</w:t>
            </w:r>
          </w:p>
        </w:tc>
        <w:tc>
          <w:tcPr>
            <w:tcW w:w="2865" w:type="dxa"/>
            <w:shd w:val="clear" w:color="auto" w:fill="auto"/>
            <w:vAlign w:val="center"/>
          </w:tcPr>
          <w:p w14:paraId="3C0D83FF">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7567BD6C">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区政务服务局</w:t>
            </w:r>
          </w:p>
          <w:p w14:paraId="6B8F4D91">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区发改委</w:t>
            </w:r>
          </w:p>
        </w:tc>
        <w:tc>
          <w:tcPr>
            <w:tcW w:w="4905" w:type="dxa"/>
            <w:vAlign w:val="center"/>
          </w:tcPr>
          <w:p w14:paraId="3708A2C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该地方标准已按照程序要求向社会公开征求意见。</w:t>
            </w:r>
          </w:p>
        </w:tc>
      </w:tr>
      <w:tr w14:paraId="79B3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765" w:type="dxa"/>
            <w:vAlign w:val="center"/>
          </w:tcPr>
          <w:p w14:paraId="034D526F">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3</w:t>
            </w:r>
          </w:p>
        </w:tc>
        <w:tc>
          <w:tcPr>
            <w:tcW w:w="1920" w:type="dxa"/>
            <w:vAlign w:val="center"/>
          </w:tcPr>
          <w:p w14:paraId="58CA6BA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23</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64BD514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深入推进一体化综合监管，提升政务服务数智化水平，常态化推进“高效办成一件事”改革。</w:t>
            </w:r>
          </w:p>
        </w:tc>
        <w:tc>
          <w:tcPr>
            <w:tcW w:w="2865" w:type="dxa"/>
            <w:shd w:val="clear" w:color="auto" w:fill="auto"/>
            <w:vAlign w:val="center"/>
          </w:tcPr>
          <w:p w14:paraId="596C0734">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430014C8">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区政务服务局</w:t>
            </w:r>
          </w:p>
          <w:p w14:paraId="2540C0CF">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区数据局</w:t>
            </w:r>
          </w:p>
        </w:tc>
        <w:tc>
          <w:tcPr>
            <w:tcW w:w="4905" w:type="dxa"/>
            <w:vAlign w:val="center"/>
          </w:tcPr>
          <w:p w14:paraId="128343A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1.截止3月13日，全区A岗人员绑定率、启动率力、扫码率均为100%。</w:t>
            </w:r>
            <w:r>
              <w:rPr>
                <w:rFonts w:hint="eastAsia" w:ascii="仿宋_GB2312" w:hAnsi="仿宋_GB2312" w:eastAsia="仿宋_GB2312" w:cs="仿宋_GB2312"/>
                <w:i w:val="0"/>
                <w:color w:val="000000"/>
                <w:kern w:val="0"/>
                <w:sz w:val="24"/>
                <w:szCs w:val="24"/>
                <w:u w:val="none"/>
                <w:lang w:val="en-US" w:eastAsia="zh-CN" w:bidi="ar"/>
              </w:rPr>
              <w:br w:type="textWrapping"/>
            </w:r>
            <w:r>
              <w:rPr>
                <w:rFonts w:hint="eastAsia" w:ascii="仿宋_GB2312" w:hAnsi="仿宋_GB2312" w:eastAsia="仿宋_GB2312" w:cs="仿宋_GB2312"/>
                <w:i w:val="0"/>
                <w:color w:val="000000"/>
                <w:kern w:val="0"/>
                <w:sz w:val="24"/>
                <w:szCs w:val="24"/>
                <w:u w:val="none"/>
                <w:lang w:val="en-US" w:eastAsia="zh-CN" w:bidi="ar"/>
              </w:rPr>
              <w:t>2.截止3月13日，全区非现场检查占比为74.08％。</w:t>
            </w:r>
            <w:r>
              <w:rPr>
                <w:rFonts w:hint="eastAsia" w:ascii="仿宋_GB2312" w:hAnsi="仿宋_GB2312" w:eastAsia="仿宋_GB2312" w:cs="仿宋_GB2312"/>
                <w:i w:val="0"/>
                <w:color w:val="000000"/>
                <w:kern w:val="0"/>
                <w:sz w:val="24"/>
                <w:szCs w:val="24"/>
                <w:u w:val="none"/>
                <w:lang w:val="en-US" w:eastAsia="zh-CN" w:bidi="ar"/>
              </w:rPr>
              <w:br w:type="textWrapping"/>
            </w:r>
            <w:r>
              <w:rPr>
                <w:rFonts w:hint="eastAsia" w:ascii="仿宋_GB2312" w:hAnsi="仿宋_GB2312" w:eastAsia="仿宋_GB2312" w:cs="仿宋_GB2312"/>
                <w:i w:val="0"/>
                <w:color w:val="000000"/>
                <w:kern w:val="0"/>
                <w:sz w:val="24"/>
                <w:szCs w:val="24"/>
                <w:u w:val="none"/>
                <w:lang w:val="en-US" w:eastAsia="zh-CN" w:bidi="ar"/>
              </w:rPr>
              <w:t>3.拟将全区信誉良好、检查频次高的部分企业纳入"综合查一次"改革试点工作，并按照市局最新要求"安全优先原则"，进一步研究纳入主体名单。</w:t>
            </w:r>
          </w:p>
        </w:tc>
      </w:tr>
      <w:tr w14:paraId="0398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trPr>
        <w:tc>
          <w:tcPr>
            <w:tcW w:w="765" w:type="dxa"/>
            <w:vAlign w:val="center"/>
          </w:tcPr>
          <w:p w14:paraId="74E07830">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4</w:t>
            </w:r>
          </w:p>
        </w:tc>
        <w:tc>
          <w:tcPr>
            <w:tcW w:w="1920" w:type="dxa"/>
            <w:vAlign w:val="center"/>
          </w:tcPr>
          <w:p w14:paraId="4EECD717">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24</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47A2209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全域建设国际法商融合示范区，设立综合服务中心、知识产权赋能站、法商数据流通平台，提升司法服务矩阵和巡回审判机制效能，着力为企业提供高质量、全链条、国际化的法商服务。</w:t>
            </w:r>
          </w:p>
        </w:tc>
        <w:tc>
          <w:tcPr>
            <w:tcW w:w="2865" w:type="dxa"/>
            <w:shd w:val="clear" w:color="auto" w:fill="auto"/>
            <w:vAlign w:val="center"/>
          </w:tcPr>
          <w:p w14:paraId="5D1ECF49">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CBD管委会</w:t>
            </w:r>
          </w:p>
          <w:p w14:paraId="4D0A7D17">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6A13AC13">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区司法局</w:t>
            </w:r>
          </w:p>
          <w:p w14:paraId="65CC6DAE">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区数据局</w:t>
            </w:r>
          </w:p>
        </w:tc>
        <w:tc>
          <w:tcPr>
            <w:tcW w:w="4905" w:type="dxa"/>
            <w:vAlign w:val="center"/>
          </w:tcPr>
          <w:p w14:paraId="0D42FB9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截至2026年3月11日，知识产权赋能站建设项目已完成遴选，中选结果已经办公会审议通过并在区政府网站公示。</w:t>
            </w:r>
          </w:p>
        </w:tc>
      </w:tr>
      <w:tr w14:paraId="3169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5F37337">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5</w:t>
            </w:r>
          </w:p>
        </w:tc>
        <w:tc>
          <w:tcPr>
            <w:tcW w:w="1920" w:type="dxa"/>
            <w:vAlign w:val="center"/>
          </w:tcPr>
          <w:p w14:paraId="75A1327B">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85</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328F425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持续推进交通运输、建筑施工、特种设备等领域专项整治。</w:t>
            </w:r>
          </w:p>
        </w:tc>
        <w:tc>
          <w:tcPr>
            <w:tcW w:w="2865" w:type="dxa"/>
            <w:shd w:val="clear" w:color="auto" w:fill="auto"/>
            <w:vAlign w:val="center"/>
          </w:tcPr>
          <w:p w14:paraId="23D8E985">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区应急局</w:t>
            </w:r>
          </w:p>
          <w:p w14:paraId="2D6357F8">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朝阳交通支队</w:t>
            </w:r>
          </w:p>
          <w:p w14:paraId="7C546864">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区住建委</w:t>
            </w:r>
          </w:p>
          <w:p w14:paraId="5A92FE17">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区市场监管局</w:t>
            </w:r>
          </w:p>
        </w:tc>
        <w:tc>
          <w:tcPr>
            <w:tcW w:w="4905" w:type="dxa"/>
            <w:vAlign w:val="center"/>
          </w:tcPr>
          <w:p w14:paraId="5913896B">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围绕特种设备重大隐患开展专项治理，共发现问题隐患35项，目前已整改22项，10项隐患正在有序推进整改，另有整改推进较为困难的3项隐患已区级挂账。</w:t>
            </w:r>
          </w:p>
        </w:tc>
      </w:tr>
      <w:tr w14:paraId="5D74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19C71E2">
            <w:pPr>
              <w:keepNext w:val="0"/>
              <w:keepLines w:val="0"/>
              <w:widowControl/>
              <w:suppressLineNumbers w:val="0"/>
              <w:jc w:val="center"/>
              <w:textAlignment w:val="center"/>
              <w:rPr>
                <w:rFonts w:hint="default"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6</w:t>
            </w:r>
          </w:p>
        </w:tc>
        <w:tc>
          <w:tcPr>
            <w:tcW w:w="1920" w:type="dxa"/>
            <w:vAlign w:val="center"/>
          </w:tcPr>
          <w:p w14:paraId="2DA1FCD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94</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6365836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协同推进防非打非和反诈宣传，强化单用途预付卡治理，持续做好重点集团企业和重点领域风险防范化解。</w:t>
            </w:r>
          </w:p>
        </w:tc>
        <w:tc>
          <w:tcPr>
            <w:tcW w:w="2865" w:type="dxa"/>
            <w:shd w:val="clear" w:color="auto" w:fill="auto"/>
            <w:vAlign w:val="center"/>
          </w:tcPr>
          <w:p w14:paraId="69238DF5">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区发改委</w:t>
            </w:r>
          </w:p>
          <w:p w14:paraId="06F90FAD">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1E1A79E3">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公安朝阳分局</w:t>
            </w:r>
          </w:p>
        </w:tc>
        <w:tc>
          <w:tcPr>
            <w:tcW w:w="4905" w:type="dxa"/>
            <w:vAlign w:val="center"/>
          </w:tcPr>
          <w:p w14:paraId="2F2DA3FF">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统筹各行业主管部门，压实企业主体责任，强力督促发卡企业落实</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应备尽备、应存尽存</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，强化对</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零余额</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小余额</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僵尸账户</w:t>
            </w:r>
            <w:r>
              <w:rPr>
                <w:rStyle w:val="10"/>
                <w:rFonts w:hint="eastAsia" w:ascii="仿宋_GB2312" w:hAnsi="仿宋_GB2312" w:eastAsia="仿宋_GB2312" w:cs="仿宋_GB2312"/>
                <w:sz w:val="24"/>
                <w:szCs w:val="24"/>
                <w:lang w:val="en-US" w:eastAsia="zh-CN" w:bidi="ar"/>
              </w:rPr>
              <w:t>”</w:t>
            </w:r>
            <w:r>
              <w:rPr>
                <w:rStyle w:val="11"/>
                <w:rFonts w:hint="eastAsia" w:ascii="仿宋_GB2312" w:hAnsi="仿宋_GB2312" w:eastAsia="仿宋_GB2312" w:cs="仿宋_GB2312"/>
                <w:sz w:val="24"/>
                <w:szCs w:val="24"/>
                <w:lang w:val="en-US" w:eastAsia="zh-CN" w:bidi="ar"/>
              </w:rPr>
              <w:t>的监管，依法依规处理。</w:t>
            </w:r>
          </w:p>
        </w:tc>
      </w:tr>
      <w:tr w14:paraId="5FB1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CF55FD6">
            <w:pPr>
              <w:keepNext w:val="0"/>
              <w:keepLines w:val="0"/>
              <w:widowControl/>
              <w:suppressLineNumbers w:val="0"/>
              <w:jc w:val="center"/>
              <w:textAlignment w:val="center"/>
              <w:rPr>
                <w:rFonts w:hint="default"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7</w:t>
            </w:r>
          </w:p>
        </w:tc>
        <w:tc>
          <w:tcPr>
            <w:tcW w:w="1920" w:type="dxa"/>
            <w:vAlign w:val="center"/>
          </w:tcPr>
          <w:p w14:paraId="34D23F0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95</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5D91036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深化食品全链条安全监管。</w:t>
            </w:r>
          </w:p>
        </w:tc>
        <w:tc>
          <w:tcPr>
            <w:tcW w:w="2865" w:type="dxa"/>
            <w:shd w:val="clear" w:color="auto" w:fill="auto"/>
            <w:vAlign w:val="center"/>
          </w:tcPr>
          <w:p w14:paraId="49BAC575">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区市场监管局</w:t>
            </w:r>
          </w:p>
        </w:tc>
        <w:tc>
          <w:tcPr>
            <w:tcW w:w="4905" w:type="dxa"/>
            <w:vAlign w:val="center"/>
          </w:tcPr>
          <w:p w14:paraId="7C10AEBC">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是推动跨区域协作，与天津宝坻区市场监管局、农业农村委签署淡水鱼质量安全监管协作协议，强化源头共治。二是筑牢重点场景防线，联合区教委开展春季校园食品安全督导，防控校园食安风险；出台外卖食品安全问题解决方案，约谈平台督促完善入网商户审核机制。三是压实主体责任，为辖区食品销售连锁企业建立管理台账，梳理门店、仓储等信息，宣贯监管规定指导企业对标整改。四是强化专项整治，完成特殊食品线上经营非现场检查</w:t>
            </w:r>
            <w:r>
              <w:rPr>
                <w:rStyle w:val="10"/>
                <w:rFonts w:hint="eastAsia" w:ascii="仿宋_GB2312" w:hAnsi="仿宋_GB2312" w:eastAsia="仿宋_GB2312" w:cs="仿宋_GB2312"/>
                <w:sz w:val="24"/>
                <w:szCs w:val="24"/>
                <w:lang w:val="en-US" w:eastAsia="zh-CN" w:bidi="ar"/>
              </w:rPr>
              <w:t>56</w:t>
            </w:r>
            <w:r>
              <w:rPr>
                <w:rStyle w:val="11"/>
                <w:rFonts w:hint="eastAsia" w:ascii="仿宋_GB2312" w:hAnsi="仿宋_GB2312" w:eastAsia="仿宋_GB2312" w:cs="仿宋_GB2312"/>
                <w:sz w:val="24"/>
                <w:szCs w:val="24"/>
                <w:lang w:val="en-US" w:eastAsia="zh-CN" w:bidi="ar"/>
              </w:rPr>
              <w:t>家、责令整改</w:t>
            </w:r>
            <w:r>
              <w:rPr>
                <w:rStyle w:val="10"/>
                <w:rFonts w:hint="eastAsia" w:ascii="仿宋_GB2312" w:hAnsi="仿宋_GB2312" w:eastAsia="仿宋_GB2312" w:cs="仿宋_GB2312"/>
                <w:sz w:val="24"/>
                <w:szCs w:val="24"/>
                <w:lang w:val="en-US" w:eastAsia="zh-CN" w:bidi="ar"/>
              </w:rPr>
              <w:t>2</w:t>
            </w:r>
            <w:r>
              <w:rPr>
                <w:rStyle w:val="11"/>
                <w:rFonts w:hint="eastAsia" w:ascii="仿宋_GB2312" w:hAnsi="仿宋_GB2312" w:eastAsia="仿宋_GB2312" w:cs="仿宋_GB2312"/>
                <w:sz w:val="24"/>
                <w:szCs w:val="24"/>
                <w:lang w:val="en-US" w:eastAsia="zh-CN" w:bidi="ar"/>
              </w:rPr>
              <w:t>家；检查肉类生产经营主体</w:t>
            </w:r>
            <w:r>
              <w:rPr>
                <w:rStyle w:val="10"/>
                <w:rFonts w:hint="eastAsia" w:ascii="仿宋_GB2312" w:hAnsi="仿宋_GB2312" w:eastAsia="仿宋_GB2312" w:cs="仿宋_GB2312"/>
                <w:sz w:val="24"/>
                <w:szCs w:val="24"/>
                <w:lang w:val="en-US" w:eastAsia="zh-CN" w:bidi="ar"/>
              </w:rPr>
              <w:t>417</w:t>
            </w:r>
            <w:r>
              <w:rPr>
                <w:rStyle w:val="11"/>
                <w:rFonts w:hint="eastAsia" w:ascii="仿宋_GB2312" w:hAnsi="仿宋_GB2312" w:eastAsia="仿宋_GB2312" w:cs="仿宋_GB2312"/>
                <w:sz w:val="24"/>
                <w:szCs w:val="24"/>
                <w:lang w:val="en-US" w:eastAsia="zh-CN" w:bidi="ar"/>
              </w:rPr>
              <w:t>户次，立案</w:t>
            </w:r>
            <w:r>
              <w:rPr>
                <w:rStyle w:val="10"/>
                <w:rFonts w:hint="eastAsia" w:ascii="仿宋_GB2312" w:hAnsi="仿宋_GB2312" w:eastAsia="仿宋_GB2312" w:cs="仿宋_GB2312"/>
                <w:sz w:val="24"/>
                <w:szCs w:val="24"/>
                <w:lang w:val="en-US" w:eastAsia="zh-CN" w:bidi="ar"/>
              </w:rPr>
              <w:t>1</w:t>
            </w:r>
            <w:r>
              <w:rPr>
                <w:rStyle w:val="11"/>
                <w:rFonts w:hint="eastAsia" w:ascii="仿宋_GB2312" w:hAnsi="仿宋_GB2312" w:eastAsia="仿宋_GB2312" w:cs="仿宋_GB2312"/>
                <w:sz w:val="24"/>
                <w:szCs w:val="24"/>
                <w:lang w:val="en-US" w:eastAsia="zh-CN" w:bidi="ar"/>
              </w:rPr>
              <w:t>件、责令改正</w:t>
            </w:r>
            <w:r>
              <w:rPr>
                <w:rStyle w:val="10"/>
                <w:rFonts w:hint="eastAsia" w:ascii="仿宋_GB2312" w:hAnsi="仿宋_GB2312" w:eastAsia="仿宋_GB2312" w:cs="仿宋_GB2312"/>
                <w:sz w:val="24"/>
                <w:szCs w:val="24"/>
                <w:lang w:val="en-US" w:eastAsia="zh-CN" w:bidi="ar"/>
              </w:rPr>
              <w:t>2</w:t>
            </w:r>
            <w:r>
              <w:rPr>
                <w:rStyle w:val="11"/>
                <w:rFonts w:hint="eastAsia" w:ascii="仿宋_GB2312" w:hAnsi="仿宋_GB2312" w:eastAsia="仿宋_GB2312" w:cs="仿宋_GB2312"/>
                <w:sz w:val="24"/>
                <w:szCs w:val="24"/>
                <w:lang w:val="en-US" w:eastAsia="zh-CN" w:bidi="ar"/>
              </w:rPr>
              <w:t>件。五是夯实技术支撑，完成食品安全抽检监测第三方机构招标并签订服务合同。</w:t>
            </w:r>
          </w:p>
        </w:tc>
      </w:tr>
    </w:tbl>
    <w:p w14:paraId="5564989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C0F"/>
    <w:rsid w:val="00563769"/>
    <w:rsid w:val="005E670E"/>
    <w:rsid w:val="00631547"/>
    <w:rsid w:val="00946C0F"/>
    <w:rsid w:val="00AF40A5"/>
    <w:rsid w:val="14B0031B"/>
    <w:rsid w:val="164E3537"/>
    <w:rsid w:val="2A15789A"/>
    <w:rsid w:val="2CB36286"/>
    <w:rsid w:val="443E3E2B"/>
    <w:rsid w:val="71630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rPr>
      <w:rFonts w:ascii="Times New Roman" w:hAnsi="Times New Roman"/>
    </w:rPr>
  </w:style>
  <w:style w:type="paragraph" w:styleId="3">
    <w:name w:val="footer"/>
    <w:basedOn w:val="1"/>
    <w:link w:val="9"/>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6">
    <w:name w:val="Table Grid"/>
    <w:basedOn w:val="5"/>
    <w:autoRedefine/>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font01"/>
    <w:basedOn w:val="7"/>
    <w:uiPriority w:val="0"/>
    <w:rPr>
      <w:rFonts w:ascii="Arial" w:hAnsi="Arial" w:cs="Arial"/>
      <w:color w:val="000000"/>
      <w:sz w:val="20"/>
      <w:szCs w:val="20"/>
      <w:u w:val="none"/>
    </w:rPr>
  </w:style>
  <w:style w:type="character" w:customStyle="1" w:styleId="11">
    <w:name w:val="font11"/>
    <w:basedOn w:val="7"/>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 Inc.</Company>
  <Pages>3</Pages>
  <Words>847</Words>
  <Characters>875</Characters>
  <Lines>9</Lines>
  <Paragraphs>2</Paragraphs>
  <TotalTime>3</TotalTime>
  <ScaleCrop>false</ScaleCrop>
  <LinksUpToDate>false</LinksUpToDate>
  <CharactersWithSpaces>875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2024-04-10T05:03:00Z</dcterms:created>
  <dc:creator>8613121286755</dc:creator>
  <cp:lastModifiedBy>hongnongyuan</cp:lastModifiedBy>
  <dcterms:modified xsi:type="dcterms:W3CDTF">2026-04-13T02:54:19Z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eyJoZGlkIjoiNGNmN2EzZDgyNWQ4YTgwY2E0MzM2OWU5NDE1ZTM5ZjgiLCJ1c2VySWQiOiIxOTA4NjE2NzYifQ==</vt:lpwstr>
  </property>
  <property fmtid="{D5CDD505-2E9C-101B-9397-08002B2CF9AE}" pid="3" name="KSOProductBuildVer">
    <vt:lpwstr>2052-12.1.0.25225</vt:lpwstr>
  </property>
  <property fmtid="{D5CDD505-2E9C-101B-9397-08002B2CF9AE}" pid="4" name="ICV">
    <vt:lpwstr>6386BCD5B8E74AF8AC4E5F3269A30E40_13</vt:lpwstr>
  </property>
</Properties>
</file>