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600" w:lineRule="exact"/>
        <w:jc w:val="center"/>
        <w:rPr>
          <w:rFonts w:ascii="Times New Roman" w:eastAsia="方正小标宋简体"/>
          <w:sz w:val="44"/>
        </w:rPr>
      </w:pPr>
      <w:r>
        <w:rPr>
          <w:rFonts w:ascii="Times New Roman" w:eastAsia="方正小标宋简体"/>
          <w:sz w:val="44"/>
        </w:rPr>
        <w:t>北京市朝阳区人民政府</w:t>
      </w:r>
    </w:p>
    <w:p>
      <w:pPr>
        <w:pStyle w:val="3"/>
        <w:adjustRightInd w:val="0"/>
        <w:snapToGrid w:val="0"/>
        <w:spacing w:line="600" w:lineRule="exact"/>
        <w:jc w:val="center"/>
        <w:rPr>
          <w:rFonts w:eastAsia="方正小标宋简体"/>
          <w:sz w:val="44"/>
        </w:rPr>
      </w:pPr>
      <w:r>
        <w:rPr>
          <w:rFonts w:hint="eastAsia" w:eastAsia="方正小标宋简体"/>
          <w:sz w:val="44"/>
        </w:rPr>
        <w:t>关于做好当前和今后一个时期促就业</w:t>
      </w:r>
    </w:p>
    <w:p>
      <w:pPr>
        <w:adjustRightInd w:val="0"/>
        <w:snapToGrid w:val="0"/>
        <w:spacing w:line="600" w:lineRule="exact"/>
        <w:jc w:val="center"/>
        <w:rPr>
          <w:rFonts w:eastAsia="方正小标宋简体"/>
          <w:sz w:val="44"/>
        </w:rPr>
      </w:pPr>
      <w:bookmarkStart w:id="5" w:name="_GoBack"/>
      <w:r>
        <w:rPr>
          <w:rFonts w:hint="eastAsia" w:eastAsia="方正小标宋简体"/>
          <w:sz w:val="44"/>
        </w:rPr>
        <w:t>稳就业</w:t>
      </w:r>
      <w:bookmarkEnd w:id="5"/>
      <w:r>
        <w:rPr>
          <w:rFonts w:hint="eastAsia" w:eastAsia="方正小标宋简体"/>
          <w:sz w:val="44"/>
        </w:rPr>
        <w:t>工作的实施意见</w:t>
      </w:r>
    </w:p>
    <w:p>
      <w:pPr>
        <w:adjustRightInd w:val="0"/>
        <w:snapToGrid w:val="0"/>
        <w:spacing w:line="600" w:lineRule="exact"/>
        <w:jc w:val="center"/>
        <w:rPr>
          <w:rFonts w:eastAsia="仿宋_GB2312"/>
          <w:sz w:val="32"/>
          <w:szCs w:val="32"/>
        </w:rPr>
      </w:pPr>
    </w:p>
    <w:p>
      <w:pPr>
        <w:adjustRightInd w:val="0"/>
        <w:snapToGrid w:val="0"/>
        <w:spacing w:line="600" w:lineRule="exact"/>
        <w:rPr>
          <w:rFonts w:ascii="方正小标宋简体" w:hAnsi="黑体" w:eastAsia="方正小标宋简体"/>
          <w:bCs/>
          <w:sz w:val="44"/>
          <w:szCs w:val="44"/>
        </w:rPr>
      </w:pPr>
      <w:r>
        <w:rPr>
          <w:rFonts w:hint="eastAsia" w:eastAsia="仿宋_GB2312"/>
          <w:sz w:val="32"/>
          <w:szCs w:val="32"/>
        </w:rPr>
        <w:t>各街道办事处、地区办事处（乡政府），区政府各委、办、局，各区属机构：</w:t>
      </w:r>
    </w:p>
    <w:p>
      <w:pPr>
        <w:spacing w:line="600" w:lineRule="exact"/>
        <w:ind w:firstLine="636"/>
        <w:rPr>
          <w:rFonts w:ascii="仿宋_GB2312" w:hAnsi="Calibri" w:eastAsia="仿宋_GB2312"/>
          <w:sz w:val="32"/>
          <w:szCs w:val="32"/>
        </w:rPr>
      </w:pPr>
      <w:r>
        <w:rPr>
          <w:rFonts w:hint="eastAsia" w:ascii="仿宋_GB2312" w:hAnsi="Calibri" w:eastAsia="仿宋_GB2312"/>
          <w:sz w:val="32"/>
          <w:szCs w:val="32"/>
        </w:rPr>
        <w:t>为全面落实党中央、国务院关于稳就业保就业工作的决策部署，确保当前和今后一个时期本区就业形势持续稳定，根据《国务院关于进一步做好稳就业工作的意见》（国发〔2019〕28号）、《北京市就业工作领导小组关于印发〈全力做好稳就业保就业工作措施〉的通知》（京就发〔2020〕3号）等文件精神，结合实际，提出以下实施意见。</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jc w:val="left"/>
        <w:rPr>
          <w:rFonts w:ascii="楷体_GB2312" w:hAnsi="黑体" w:eastAsia="楷体_GB2312"/>
          <w:sz w:val="32"/>
          <w:szCs w:val="32"/>
        </w:rPr>
      </w:pPr>
      <w:r>
        <w:rPr>
          <w:rFonts w:hint="eastAsia" w:ascii="楷体_GB2312" w:hAnsi="楷体" w:eastAsia="楷体_GB2312"/>
          <w:sz w:val="32"/>
          <w:szCs w:val="32"/>
        </w:rPr>
        <w:t>（一）指导思想</w:t>
      </w:r>
    </w:p>
    <w:p>
      <w:pPr>
        <w:spacing w:line="600" w:lineRule="exact"/>
        <w:ind w:firstLine="646"/>
        <w:rPr>
          <w:rFonts w:ascii="仿宋_GB2312" w:hAnsi="仿宋_GB2312" w:eastAsia="仿宋_GB2312"/>
          <w:sz w:val="32"/>
          <w:szCs w:val="32"/>
        </w:rPr>
      </w:pPr>
      <w:r>
        <w:rPr>
          <w:rFonts w:hint="eastAsia" w:ascii="仿宋_GB2312" w:hAnsi="仿宋_GB2312" w:eastAsia="仿宋_GB2312"/>
          <w:sz w:val="32"/>
          <w:szCs w:val="32"/>
        </w:rPr>
        <w:t>以习近平新时代中国特色社会主义思想为指导，深入贯彻落实党的十九大和十九届二中、三中、四中、五中全会精神，落实党中央、国务院关于做好“稳就业工作”“保居民就业”任务的决策部署，通过强化就业优先政策，千方百计稳定和扩大就业。进一步加大对市场主体支持力度，进一步强化重点群体就业帮扶，进一步提升劳动者就业能力，进一步优化区域人力资源配置，进一步激励劳动者创新创业，实施好稳定就业这个最大的民生工程，实现更加充分更高质量就业，为区域经济社会发展提供有力支撑。</w:t>
      </w:r>
    </w:p>
    <w:p>
      <w:pPr>
        <w:spacing w:line="600" w:lineRule="exact"/>
        <w:ind w:firstLine="720"/>
        <w:rPr>
          <w:rFonts w:ascii="楷体_GB2312" w:hAnsi="宋体" w:eastAsia="楷体_GB2312"/>
          <w:sz w:val="32"/>
          <w:szCs w:val="32"/>
        </w:rPr>
      </w:pPr>
      <w:r>
        <w:rPr>
          <w:rFonts w:hint="eastAsia" w:ascii="楷体_GB2312" w:hAnsi="楷体" w:eastAsia="楷体_GB2312"/>
          <w:sz w:val="32"/>
          <w:szCs w:val="32"/>
        </w:rPr>
        <w:t>（二）</w:t>
      </w:r>
      <w:r>
        <w:rPr>
          <w:rFonts w:hint="eastAsia" w:ascii="楷体_GB2312" w:hAnsi="宋体" w:eastAsia="楷体_GB2312"/>
          <w:sz w:val="32"/>
          <w:szCs w:val="32"/>
        </w:rPr>
        <w:t>基本原则</w:t>
      </w:r>
    </w:p>
    <w:p>
      <w:pPr>
        <w:spacing w:line="600" w:lineRule="exact"/>
        <w:ind w:firstLine="720"/>
        <w:rPr>
          <w:rFonts w:ascii="楷体_GB2312" w:hAnsi="宋体" w:eastAsia="楷体_GB2312"/>
          <w:sz w:val="32"/>
          <w:szCs w:val="32"/>
        </w:rPr>
      </w:pPr>
      <w:r>
        <w:rPr>
          <w:rFonts w:hint="eastAsia" w:ascii="仿宋_GB2312" w:eastAsia="仿宋_GB2312"/>
          <w:sz w:val="32"/>
          <w:szCs w:val="32"/>
        </w:rPr>
        <w:t>1</w:t>
      </w:r>
      <w:r>
        <w:rPr>
          <w:rFonts w:hint="eastAsia" w:ascii="仿宋_GB2312" w:hAnsi="仿宋_GB2312" w:eastAsia="仿宋_GB2312"/>
          <w:sz w:val="32"/>
          <w:szCs w:val="32"/>
        </w:rPr>
        <w:t>.保障民生，聚焦重点。深刻认识当前形势下稳就业、保就业作为“六稳”“六保”之首的重要战略意义。充分发挥保就业对保障和改善民生、稳定社会预期、推动经济社会发展的重要作用。聚焦重点群体，聚焦重点领域，综合施策，全力确保辖区就业形势稳定。</w:t>
      </w:r>
    </w:p>
    <w:p>
      <w:pPr>
        <w:spacing w:line="600" w:lineRule="exact"/>
        <w:ind w:firstLine="720"/>
        <w:rPr>
          <w:rFonts w:ascii="仿宋_GB2312" w:hAns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服务定位，优化结构。紧紧围绕区域功能定位，结合区域产业发展特点，引导城乡劳动者在重点产业、新兴业态实现就业创业。坚持经济发展促进就业导向，进一步扩大重点产业对就业规模的带动作用，继续优化就业结构，提升人力资源市场配置效率，推动更加充分就业。</w:t>
      </w:r>
    </w:p>
    <w:p>
      <w:pPr>
        <w:spacing w:line="600" w:lineRule="exact"/>
        <w:ind w:firstLine="720"/>
        <w:rPr>
          <w:rFonts w:ascii="仿宋_GB2312" w:hAnsi="仿宋_GB2312" w:eastAsia="仿宋_GB2312"/>
          <w:sz w:val="32"/>
          <w:szCs w:val="32"/>
        </w:rPr>
      </w:pPr>
      <w:r>
        <w:rPr>
          <w:rFonts w:hint="eastAsia" w:ascii="仿宋_GB2312" w:eastAsia="仿宋_GB2312"/>
          <w:sz w:val="32"/>
          <w:szCs w:val="32"/>
        </w:rPr>
        <w:t>3</w:t>
      </w:r>
      <w:r>
        <w:rPr>
          <w:rFonts w:hint="eastAsia" w:ascii="仿宋_GB2312" w:hAnsi="仿宋_GB2312" w:eastAsia="仿宋_GB2312"/>
          <w:sz w:val="32"/>
          <w:szCs w:val="32"/>
        </w:rPr>
        <w:t>.鼓励创新，提升质量。大力支持城乡劳动者创业创新，拓宽劳动者就业创业渠道。着力提升城乡劳动者就业素质，提升职业能力建设水平，健全就业公共服务体系，不断提高就业质量，增强人民群众的满意度和获得感。</w:t>
      </w:r>
    </w:p>
    <w:p>
      <w:pPr>
        <w:spacing w:line="600" w:lineRule="exact"/>
        <w:ind w:firstLine="720"/>
        <w:jc w:val="left"/>
        <w:rPr>
          <w:rFonts w:ascii="黑体" w:hAnsi="黑体" w:eastAsia="黑体"/>
          <w:sz w:val="32"/>
          <w:szCs w:val="32"/>
        </w:rPr>
      </w:pPr>
      <w:r>
        <w:rPr>
          <w:rFonts w:hint="eastAsia" w:ascii="黑体" w:hAnsi="黑体" w:eastAsia="黑体"/>
          <w:sz w:val="32"/>
          <w:szCs w:val="32"/>
        </w:rPr>
        <w:t>二、加快经济发展，扩大就业规模</w:t>
      </w:r>
    </w:p>
    <w:p>
      <w:pPr>
        <w:spacing w:line="600" w:lineRule="exact"/>
        <w:ind w:firstLine="720"/>
        <w:jc w:val="left"/>
        <w:rPr>
          <w:rFonts w:ascii="仿宋_GB2312" w:hAnsi="仿宋_GB2312" w:eastAsia="仿宋_GB2312"/>
          <w:sz w:val="32"/>
          <w:szCs w:val="32"/>
        </w:rPr>
      </w:pPr>
      <w:r>
        <w:rPr>
          <w:rFonts w:hint="eastAsia" w:ascii="仿宋_GB2312" w:hAnsi="仿宋_GB2312" w:eastAsia="仿宋_GB2312"/>
          <w:sz w:val="32"/>
          <w:szCs w:val="32"/>
        </w:rPr>
        <w:t>扎实做好“六稳”工作,全面落实“六保”任务。突出精准防控，促进生产生活秩序逐步恢复。实施重大产业就业影响评估，明确重要产业规划带动就业目标。</w:t>
      </w:r>
      <w:bookmarkStart w:id="0" w:name="_Hlk42348951"/>
      <w:bookmarkStart w:id="1" w:name="_Hlk42348549"/>
      <w:r>
        <w:rPr>
          <w:rFonts w:hint="eastAsia" w:ascii="仿宋_GB2312" w:hAnsi="仿宋_GB2312" w:eastAsia="仿宋_GB2312"/>
          <w:sz w:val="32"/>
          <w:szCs w:val="32"/>
        </w:rPr>
        <w:t>紧密围绕新基建、新场景、新消费、新开放、新服务，培育壮大人工智能、生命科学、</w:t>
      </w:r>
      <w:r>
        <w:rPr>
          <w:rFonts w:hint="eastAsia" w:ascii="仿宋_GB2312" w:eastAsia="仿宋_GB2312"/>
          <w:sz w:val="32"/>
          <w:szCs w:val="32"/>
        </w:rPr>
        <w:t>5G</w:t>
      </w:r>
      <w:r>
        <w:rPr>
          <w:rFonts w:hint="eastAsia" w:ascii="仿宋_GB2312" w:hAnsi="仿宋_GB2312" w:eastAsia="仿宋_GB2312"/>
          <w:sz w:val="32"/>
          <w:szCs w:val="32"/>
        </w:rPr>
        <w:t>、物联网、大数据、区块链、新材料等新业态新产业新模式，</w:t>
      </w:r>
      <w:bookmarkEnd w:id="0"/>
      <w:bookmarkEnd w:id="1"/>
      <w:bookmarkStart w:id="2" w:name="_Hlk42177305"/>
      <w:bookmarkStart w:id="3" w:name="_Hlk42177128"/>
      <w:r>
        <w:rPr>
          <w:rFonts w:hint="eastAsia" w:ascii="仿宋_GB2312" w:hAnsi="仿宋_GB2312" w:eastAsia="仿宋_GB2312"/>
          <w:sz w:val="32"/>
          <w:szCs w:val="32"/>
        </w:rPr>
        <w:t>促进经济高质量发展。支持线上线下融合消费，</w:t>
      </w:r>
      <w:bookmarkEnd w:id="2"/>
      <w:r>
        <w:rPr>
          <w:rFonts w:hint="eastAsia" w:ascii="仿宋_GB2312" w:hAnsi="仿宋_GB2312" w:eastAsia="仿宋_GB2312"/>
          <w:sz w:val="32"/>
          <w:szCs w:val="32"/>
        </w:rPr>
        <w:t>充分挖掘绿色智能、文化旅游、扶贫产品、进口商品消费等消费潜力，激发新消费需求。</w:t>
      </w:r>
      <w:bookmarkEnd w:id="3"/>
      <w:r>
        <w:rPr>
          <w:rFonts w:hint="eastAsia" w:ascii="仿宋_GB2312" w:hAnsi="仿宋_GB2312" w:eastAsia="仿宋_GB2312"/>
          <w:sz w:val="32"/>
          <w:szCs w:val="32"/>
        </w:rPr>
        <w:t>稳定外贸外资，围绕支持企业增订单稳岗位保就业，推动经济发展带动就业。</w:t>
      </w:r>
    </w:p>
    <w:p>
      <w:pPr>
        <w:spacing w:line="600" w:lineRule="exact"/>
        <w:ind w:firstLine="720"/>
        <w:jc w:val="left"/>
        <w:rPr>
          <w:rFonts w:ascii="黑体" w:hAnsi="黑体" w:eastAsia="黑体"/>
          <w:sz w:val="32"/>
          <w:szCs w:val="32"/>
        </w:rPr>
      </w:pPr>
      <w:r>
        <w:rPr>
          <w:rFonts w:hint="eastAsia" w:ascii="黑体" w:hAnsi="黑体" w:eastAsia="黑体"/>
          <w:sz w:val="32"/>
          <w:szCs w:val="32"/>
        </w:rPr>
        <w:t>三、支持企业稳定发展，促进重点群体就业</w:t>
      </w:r>
    </w:p>
    <w:p>
      <w:pPr>
        <w:spacing w:line="600" w:lineRule="exact"/>
        <w:ind w:firstLine="720"/>
        <w:rPr>
          <w:rFonts w:ascii="仿宋_GB2312" w:hAnsi="黑体" w:eastAsia="仿宋_GB2312"/>
          <w:sz w:val="32"/>
          <w:szCs w:val="32"/>
        </w:rPr>
      </w:pPr>
      <w:r>
        <w:rPr>
          <w:rFonts w:hint="eastAsia" w:ascii="楷体_GB2312" w:hAnsi="仿宋_GB2312" w:eastAsia="楷体_GB2312"/>
          <w:sz w:val="32"/>
          <w:szCs w:val="32"/>
        </w:rPr>
        <w:t>（一）加大稳岗支持力度。</w:t>
      </w:r>
      <w:r>
        <w:rPr>
          <w:rFonts w:hint="eastAsia" w:ascii="仿宋_GB2312" w:hAnsi="仿宋_GB2312" w:eastAsia="仿宋_GB2312"/>
          <w:sz w:val="32"/>
          <w:szCs w:val="32"/>
        </w:rPr>
        <w:t>对不裁员或少裁员的参保企业，根据企业规模按照其上年度实际缴纳失业保险费的一定比例进行返还。对面临暂时性生产经营困难且恢复有望、坚持不裁员或少裁员的参保企业，返还标准可按</w:t>
      </w:r>
      <w:r>
        <w:rPr>
          <w:rFonts w:hint="eastAsia" w:ascii="仿宋_GB2312" w:eastAsia="仿宋_GB2312"/>
          <w:sz w:val="32"/>
          <w:szCs w:val="32"/>
        </w:rPr>
        <w:t>6</w:t>
      </w:r>
      <w:r>
        <w:rPr>
          <w:rFonts w:hint="eastAsia" w:ascii="仿宋_GB2312" w:hAnsi="仿宋_GB2312" w:eastAsia="仿宋_GB2312"/>
          <w:sz w:val="32"/>
          <w:szCs w:val="32"/>
        </w:rPr>
        <w:t>个月的本市上年度月人均失业保险金和参保职工人数确定。建立重点企业</w:t>
      </w:r>
      <w:r>
        <w:rPr>
          <w:rFonts w:hint="eastAsia" w:ascii="仿宋_GB2312" w:eastAsia="仿宋_GB2312"/>
          <w:sz w:val="32"/>
          <w:szCs w:val="32"/>
        </w:rPr>
        <w:t>24</w:t>
      </w:r>
      <w:r>
        <w:rPr>
          <w:rFonts w:hint="eastAsia" w:ascii="仿宋_GB2312" w:hAnsi="仿宋_GB2312" w:eastAsia="仿宋_GB2312"/>
          <w:sz w:val="32"/>
          <w:szCs w:val="32"/>
        </w:rPr>
        <w:t>小时用工保障制度，通过多种线上途径向社会广泛发布企业岗位供求信息，积极为重点企业和重点项目对接用工需求。</w:t>
      </w:r>
    </w:p>
    <w:p>
      <w:pPr>
        <w:spacing w:line="600" w:lineRule="exact"/>
        <w:ind w:firstLine="720"/>
        <w:rPr>
          <w:rFonts w:ascii="仿宋_GB2312" w:hAnsi="仿宋_GB2312" w:eastAsia="仿宋_GB2312"/>
          <w:sz w:val="32"/>
          <w:szCs w:val="32"/>
        </w:rPr>
      </w:pPr>
      <w:r>
        <w:rPr>
          <w:rFonts w:hint="eastAsia" w:ascii="楷体_GB2312" w:hAnsi="仿宋_GB2312" w:eastAsia="楷体_GB2312"/>
          <w:sz w:val="32"/>
          <w:szCs w:val="32"/>
        </w:rPr>
        <w:t>（二）鼓励用人单位招用重点群体。</w:t>
      </w:r>
      <w:r>
        <w:rPr>
          <w:rFonts w:hint="eastAsia" w:ascii="仿宋_GB2312" w:hAnsi="仿宋_GB2312" w:eastAsia="仿宋_GB2312"/>
          <w:sz w:val="32"/>
          <w:szCs w:val="32"/>
        </w:rPr>
        <w:t>用人单位当年新招用本区户籍应届高校毕业生和本区户籍城乡登记失业人员等重点群体，按照每人</w:t>
      </w:r>
      <w:r>
        <w:rPr>
          <w:rFonts w:hint="eastAsia" w:ascii="仿宋_GB2312" w:eastAsia="仿宋_GB2312"/>
          <w:sz w:val="32"/>
          <w:szCs w:val="32"/>
        </w:rPr>
        <w:t>5000</w:t>
      </w:r>
      <w:r>
        <w:rPr>
          <w:rFonts w:hint="eastAsia" w:ascii="仿宋_GB2312" w:hAnsi="仿宋_GB2312" w:eastAsia="仿宋_GB2312"/>
          <w:sz w:val="32"/>
          <w:szCs w:val="32"/>
        </w:rPr>
        <w:t>元标准给予用人单位一次性就业补贴。用人单位稳定本区户籍农村劳动力就业，按规定给予社会保险补贴。</w:t>
      </w:r>
    </w:p>
    <w:p>
      <w:pPr>
        <w:spacing w:line="600" w:lineRule="exact"/>
        <w:ind w:firstLine="720"/>
        <w:rPr>
          <w:rFonts w:ascii="仿宋_GB2312" w:hAnsi="仿宋_GB2312" w:eastAsia="仿宋_GB2312"/>
          <w:sz w:val="32"/>
          <w:szCs w:val="32"/>
        </w:rPr>
      </w:pPr>
      <w:r>
        <w:rPr>
          <w:rFonts w:hint="eastAsia" w:ascii="楷体_GB2312" w:hAnsi="仿宋_GB2312" w:eastAsia="楷体_GB2312"/>
          <w:sz w:val="32"/>
          <w:szCs w:val="32"/>
        </w:rPr>
        <w:t>（三）支持劳动者多形式就业。</w:t>
      </w:r>
      <w:bookmarkStart w:id="4" w:name="_Hlk42180820"/>
      <w:r>
        <w:rPr>
          <w:rFonts w:hint="eastAsia" w:ascii="仿宋_GB2312" w:hAnsi="仿宋_GB2312" w:eastAsia="仿宋_GB2312"/>
          <w:sz w:val="32"/>
          <w:szCs w:val="32"/>
        </w:rPr>
        <w:t>鼓励企业采取共享用工、非全日制等灵活便利的用工方式，满足用工需要。</w:t>
      </w:r>
      <w:bookmarkEnd w:id="4"/>
      <w:r>
        <w:rPr>
          <w:rFonts w:hint="eastAsia" w:ascii="仿宋_GB2312" w:hAnsi="仿宋_GB2312" w:eastAsia="仿宋_GB2312"/>
          <w:sz w:val="32"/>
          <w:szCs w:val="32"/>
        </w:rPr>
        <w:t>增加非全日制就业机会，推动非全日制劳动者较为集中的保洁绿化、批发零售、建筑装修等行业提质扩容，增强养老、托幼、心理疏导和社会工作等社区服务业的吸纳就业能力。支持发展新就业形态，促进数字经济、平台经济健康发展，加快推动网络零售、移动出行、线上教育培训、互联网医疗、在线娱乐等行业发展，将通过“互联网+就业”等新业态实现灵活就业的群体纳入灵活就业政策覆盖范围。</w:t>
      </w:r>
    </w:p>
    <w:p>
      <w:pPr>
        <w:spacing w:line="600" w:lineRule="exact"/>
        <w:ind w:firstLine="720"/>
        <w:rPr>
          <w:rFonts w:ascii="仿宋_GB2312" w:hAnsi="仿宋_GB2312" w:eastAsia="仿宋_GB2312"/>
          <w:sz w:val="32"/>
          <w:szCs w:val="32"/>
        </w:rPr>
      </w:pPr>
      <w:r>
        <w:rPr>
          <w:rFonts w:hint="eastAsia" w:ascii="楷体_GB2312" w:hAnsi="仿宋_GB2312" w:eastAsia="楷体_GB2312"/>
          <w:sz w:val="32"/>
          <w:szCs w:val="32"/>
        </w:rPr>
        <w:t>（四）鼓励青年就业见习。</w:t>
      </w:r>
      <w:r>
        <w:rPr>
          <w:rFonts w:hint="eastAsia" w:ascii="仿宋_GB2312" w:hAnsi="仿宋_GB2312" w:eastAsia="仿宋_GB2312"/>
          <w:sz w:val="32"/>
          <w:szCs w:val="32"/>
        </w:rPr>
        <w:t>毕业</w:t>
      </w:r>
      <w:r>
        <w:rPr>
          <w:rFonts w:hint="eastAsia" w:ascii="仿宋_GB2312" w:eastAsia="仿宋_GB2312"/>
          <w:sz w:val="32"/>
          <w:szCs w:val="32"/>
        </w:rPr>
        <w:t>2</w:t>
      </w:r>
      <w:r>
        <w:rPr>
          <w:rFonts w:hint="eastAsia" w:ascii="仿宋_GB2312" w:hAnsi="仿宋_GB2312" w:eastAsia="仿宋_GB2312"/>
          <w:sz w:val="32"/>
          <w:szCs w:val="32"/>
        </w:rPr>
        <w:t>年内未就业的本区户籍高校毕业生、中专毕业生及技工院校毕业生和</w:t>
      </w:r>
      <w:r>
        <w:rPr>
          <w:rFonts w:hint="eastAsia" w:ascii="仿宋_GB2312" w:eastAsia="仿宋_GB2312"/>
          <w:sz w:val="32"/>
          <w:szCs w:val="32"/>
        </w:rPr>
        <w:t>16</w:t>
      </w:r>
      <w:r>
        <w:rPr>
          <w:rFonts w:hint="eastAsia" w:ascii="仿宋_GB2312" w:hAnsi="仿宋_GB2312" w:eastAsia="仿宋_GB2312"/>
          <w:sz w:val="32"/>
          <w:szCs w:val="32"/>
        </w:rPr>
        <w:t>-</w:t>
      </w:r>
      <w:r>
        <w:rPr>
          <w:rFonts w:hint="eastAsia" w:ascii="仿宋_GB2312" w:eastAsia="仿宋_GB2312"/>
          <w:sz w:val="32"/>
          <w:szCs w:val="32"/>
        </w:rPr>
        <w:t>24</w:t>
      </w:r>
      <w:r>
        <w:rPr>
          <w:rFonts w:hint="eastAsia" w:ascii="仿宋_GB2312" w:hAnsi="仿宋_GB2312" w:eastAsia="仿宋_GB2312"/>
          <w:sz w:val="32"/>
          <w:szCs w:val="32"/>
        </w:rPr>
        <w:t>岁城乡登记失业人员，在见习单位进行短期全日制就业锻炼，见习期间按照见习人员人数，给予见习人员生活补贴，补贴标准为</w:t>
      </w:r>
      <w:r>
        <w:rPr>
          <w:rFonts w:hint="eastAsia" w:ascii="仿宋_GB2312" w:hAnsi="Arial" w:eastAsia="仿宋_GB2312" w:cs="Arial"/>
          <w:color w:val="000000"/>
          <w:sz w:val="32"/>
          <w:szCs w:val="32"/>
        </w:rPr>
        <w:t>本市当年月最低工资</w:t>
      </w:r>
      <w:r>
        <w:rPr>
          <w:rFonts w:hint="eastAsia" w:ascii="仿宋_GB2312" w:hAnsi="仿宋_GB2312" w:eastAsia="仿宋_GB2312"/>
          <w:sz w:val="32"/>
          <w:szCs w:val="32"/>
        </w:rPr>
        <w:t>，补贴期限最长不超过</w:t>
      </w:r>
      <w:r>
        <w:rPr>
          <w:rFonts w:hint="eastAsia" w:ascii="仿宋_GB2312" w:eastAsia="仿宋_GB2312"/>
          <w:sz w:val="32"/>
          <w:szCs w:val="32"/>
        </w:rPr>
        <w:t>12</w:t>
      </w:r>
      <w:r>
        <w:rPr>
          <w:rFonts w:hint="eastAsia" w:ascii="仿宋_GB2312" w:hAnsi="仿宋_GB2312" w:eastAsia="仿宋_GB2312"/>
          <w:sz w:val="32"/>
          <w:szCs w:val="32"/>
        </w:rPr>
        <w:t>个月；同时，对于见习期满后见习单位招用本区户籍见习人员的，按留用人数给予见习单位最长一年的社会保险补贴，补贴标准按照北京市城镇职工社会保险最低缴费标准给予。</w:t>
      </w:r>
    </w:p>
    <w:p>
      <w:pPr>
        <w:snapToGrid w:val="0"/>
        <w:spacing w:line="60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（五）做好就业困难人员托底安置。</w:t>
      </w:r>
      <w:r>
        <w:rPr>
          <w:rFonts w:hint="eastAsia" w:ascii="仿宋_GB2312" w:hAnsi="仿宋_GB2312" w:eastAsia="仿宋_GB2312"/>
          <w:sz w:val="32"/>
          <w:szCs w:val="32"/>
        </w:rPr>
        <w:t>规范社会公益性就业组织的管理,做好就业困难人员的托底安置，保障安置人员工资待遇，给予社会公益性就业组织岗位补贴和劳务派遣管理费。公益性岗位补贴由市、区两级补贴组成，补贴总额为上年全口径城镇单位就业人员平均工资的</w:t>
      </w:r>
      <w:r>
        <w:rPr>
          <w:rFonts w:hint="eastAsia" w:ascii="仿宋_GB2312" w:eastAsia="仿宋_GB2312"/>
          <w:sz w:val="32"/>
          <w:szCs w:val="32"/>
        </w:rPr>
        <w:t>70</w:t>
      </w:r>
      <w:r>
        <w:rPr>
          <w:rFonts w:hint="eastAsia" w:ascii="仿宋_GB2312" w:hAnsi="仿宋_GB2312" w:eastAsia="仿宋_GB2312"/>
          <w:sz w:val="32"/>
          <w:szCs w:val="32"/>
        </w:rPr>
        <w:t>%，主要用于安置人员工资、社会保险费、住房公积金、其他费用等人员经费支出。劳务派遣管理费标准参照编制外人员经费标准执行，由区级财政保障。</w:t>
      </w:r>
    </w:p>
    <w:p>
      <w:pPr>
        <w:snapToGrid w:val="0"/>
        <w:spacing w:line="600" w:lineRule="exact"/>
        <w:ind w:firstLine="896"/>
        <w:rPr>
          <w:rFonts w:ascii="仿宋_GB2312" w:hAnsi="仿宋_GB2312" w:eastAsia="仿宋_GB2312"/>
          <w:b/>
          <w:sz w:val="32"/>
          <w:szCs w:val="32"/>
        </w:rPr>
      </w:pPr>
      <w:r>
        <w:rPr>
          <w:rFonts w:hint="eastAsia" w:ascii="黑体" w:hAnsi="黑体" w:eastAsia="黑体"/>
          <w:sz w:val="32"/>
          <w:szCs w:val="32"/>
        </w:rPr>
        <w:t>四、强化职业技能培训，加快提升就业质量</w:t>
      </w:r>
    </w:p>
    <w:p>
      <w:pPr>
        <w:spacing w:line="600" w:lineRule="exact"/>
        <w:ind w:firstLine="720"/>
        <w:rPr>
          <w:rFonts w:ascii="仿宋_GB2312" w:hAnsi="仿宋_GB2312" w:eastAsia="仿宋_GB2312"/>
          <w:b/>
          <w:sz w:val="32"/>
          <w:szCs w:val="32"/>
        </w:rPr>
      </w:pPr>
      <w:r>
        <w:rPr>
          <w:rFonts w:hint="eastAsia" w:ascii="楷体_GB2312" w:hAnsi="仿宋_GB2312" w:eastAsia="楷体_GB2312"/>
          <w:sz w:val="32"/>
          <w:szCs w:val="32"/>
        </w:rPr>
        <w:t>（一）鼓励劳动者实现单位就业和成功创业。</w:t>
      </w:r>
      <w:r>
        <w:rPr>
          <w:rFonts w:hint="eastAsia" w:ascii="仿宋_GB2312" w:hAnsi="仿宋_GB2312" w:eastAsia="仿宋_GB2312"/>
          <w:sz w:val="32"/>
          <w:szCs w:val="32"/>
        </w:rPr>
        <w:t>本区户籍劳动力通过技能培训后半年内在用人单位就业的，每就业</w:t>
      </w:r>
      <w:r>
        <w:rPr>
          <w:rFonts w:hint="eastAsia" w:ascii="仿宋_GB2312" w:eastAsia="仿宋_GB2312"/>
          <w:sz w:val="32"/>
          <w:szCs w:val="32"/>
        </w:rPr>
        <w:t>1</w:t>
      </w:r>
      <w:r>
        <w:rPr>
          <w:rFonts w:hint="eastAsia" w:ascii="仿宋_GB2312" w:hAnsi="仿宋_GB2312" w:eastAsia="仿宋_GB2312"/>
          <w:sz w:val="32"/>
          <w:szCs w:val="32"/>
        </w:rPr>
        <w:t>人，分别给予培训机构和劳动者</w:t>
      </w:r>
      <w:r>
        <w:rPr>
          <w:rFonts w:hint="eastAsia" w:ascii="仿宋_GB2312" w:eastAsia="仿宋_GB2312"/>
          <w:sz w:val="32"/>
          <w:szCs w:val="32"/>
        </w:rPr>
        <w:t>1000</w:t>
      </w:r>
      <w:r>
        <w:rPr>
          <w:rFonts w:hint="eastAsia" w:ascii="仿宋_GB2312" w:hAnsi="仿宋_GB2312" w:eastAsia="仿宋_GB2312"/>
          <w:sz w:val="32"/>
          <w:szCs w:val="32"/>
        </w:rPr>
        <w:t>元一次性就业补贴；创业培训后半年内实现成功创业且经营</w:t>
      </w:r>
      <w:r>
        <w:rPr>
          <w:rFonts w:hint="eastAsia" w:ascii="仿宋_GB2312" w:eastAsia="仿宋_GB2312"/>
          <w:sz w:val="32"/>
          <w:szCs w:val="32"/>
        </w:rPr>
        <w:t>3</w:t>
      </w:r>
      <w:r>
        <w:rPr>
          <w:rFonts w:hint="eastAsia" w:ascii="仿宋_GB2312" w:hAnsi="仿宋_GB2312" w:eastAsia="仿宋_GB2312"/>
          <w:sz w:val="32"/>
          <w:szCs w:val="32"/>
        </w:rPr>
        <w:t>个月以上的，每成功创业</w:t>
      </w:r>
      <w:r>
        <w:rPr>
          <w:rFonts w:hint="eastAsia" w:ascii="仿宋_GB2312" w:eastAsia="仿宋_GB2312"/>
          <w:sz w:val="32"/>
          <w:szCs w:val="32"/>
        </w:rPr>
        <w:t>1</w:t>
      </w:r>
      <w:r>
        <w:rPr>
          <w:rFonts w:hint="eastAsia" w:ascii="仿宋_GB2312" w:hAnsi="仿宋_GB2312" w:eastAsia="仿宋_GB2312"/>
          <w:sz w:val="32"/>
          <w:szCs w:val="32"/>
        </w:rPr>
        <w:t>人，分别给予培训机构和创业者</w:t>
      </w:r>
      <w:r>
        <w:rPr>
          <w:rFonts w:hint="eastAsia" w:ascii="仿宋_GB2312" w:eastAsia="仿宋_GB2312"/>
          <w:sz w:val="32"/>
          <w:szCs w:val="32"/>
        </w:rPr>
        <w:t>5000</w:t>
      </w:r>
      <w:r>
        <w:rPr>
          <w:rFonts w:hint="eastAsia" w:ascii="仿宋_GB2312" w:hAnsi="仿宋_GB2312" w:eastAsia="仿宋_GB2312"/>
          <w:sz w:val="32"/>
          <w:szCs w:val="32"/>
        </w:rPr>
        <w:t>元成功创业补贴。</w:t>
      </w:r>
    </w:p>
    <w:p>
      <w:pPr>
        <w:spacing w:line="600" w:lineRule="exact"/>
        <w:ind w:firstLine="720"/>
        <w:rPr>
          <w:rFonts w:ascii="仿宋_GB2312" w:hAnsi="仿宋_GB2312" w:eastAsia="仿宋_GB2312"/>
          <w:sz w:val="32"/>
          <w:szCs w:val="32"/>
        </w:rPr>
      </w:pPr>
      <w:r>
        <w:rPr>
          <w:rFonts w:hint="eastAsia" w:ascii="楷体_GB2312" w:hAnsi="仿宋_GB2312" w:eastAsia="楷体_GB2312"/>
          <w:sz w:val="32"/>
          <w:szCs w:val="32"/>
        </w:rPr>
        <w:t>（二）紧密对接市场需求开展项目制培训。</w:t>
      </w:r>
      <w:r>
        <w:rPr>
          <w:rFonts w:hint="eastAsia" w:ascii="仿宋_GB2312" w:hAnsi="仿宋_GB2312" w:eastAsia="仿宋_GB2312"/>
          <w:sz w:val="32"/>
          <w:szCs w:val="32"/>
        </w:rPr>
        <w:t>针对辖区重点领域、重点行业、重点产业、重点地区急需紧缺工种、新兴业态工种，开展项目制补贴培训，按</w:t>
      </w:r>
      <w:r>
        <w:rPr>
          <w:rFonts w:hint="eastAsia" w:ascii="仿宋_GB2312" w:eastAsia="仿宋_GB2312"/>
          <w:sz w:val="32"/>
          <w:szCs w:val="32"/>
        </w:rPr>
        <w:t>1500</w:t>
      </w:r>
      <w:r>
        <w:rPr>
          <w:rFonts w:hint="eastAsia" w:ascii="仿宋_GB2312" w:hAnsi="仿宋_GB2312" w:eastAsia="仿宋_GB2312"/>
          <w:sz w:val="32"/>
          <w:szCs w:val="32"/>
        </w:rPr>
        <w:t>元/人的标准和实际培训人数给予用人单位或培训机构培训补贴。</w:t>
      </w:r>
    </w:p>
    <w:p>
      <w:pPr>
        <w:spacing w:line="600" w:lineRule="exact"/>
        <w:ind w:firstLine="720"/>
        <w:rPr>
          <w:rFonts w:ascii="仿宋_GB2312" w:hAnsi="仿宋_GB2312" w:eastAsia="仿宋_GB2312"/>
          <w:sz w:val="32"/>
          <w:szCs w:val="32"/>
        </w:rPr>
      </w:pPr>
      <w:r>
        <w:rPr>
          <w:rFonts w:hint="eastAsia" w:ascii="楷体_GB2312" w:hAnsi="仿宋_GB2312" w:eastAsia="楷体_GB2312"/>
          <w:sz w:val="32"/>
          <w:szCs w:val="32"/>
        </w:rPr>
        <w:t>（三）加大技能人才选拔力度。</w:t>
      </w:r>
      <w:r>
        <w:rPr>
          <w:rFonts w:hint="eastAsia" w:ascii="仿宋_GB2312" w:hAnsi="仿宋_GB2312" w:eastAsia="仿宋_GB2312"/>
          <w:sz w:val="32"/>
          <w:szCs w:val="32"/>
        </w:rPr>
        <w:t>组织开展全区性职业技能竞赛，由区财政投入不少于</w:t>
      </w:r>
      <w:r>
        <w:rPr>
          <w:rFonts w:hint="eastAsia" w:ascii="仿宋_GB2312" w:eastAsia="仿宋_GB2312"/>
          <w:sz w:val="32"/>
          <w:szCs w:val="32"/>
        </w:rPr>
        <w:t>100</w:t>
      </w:r>
      <w:r>
        <w:rPr>
          <w:rFonts w:hint="eastAsia" w:ascii="仿宋_GB2312" w:hAnsi="仿宋_GB2312" w:eastAsia="仿宋_GB2312"/>
          <w:sz w:val="32"/>
          <w:szCs w:val="32"/>
        </w:rPr>
        <w:t>万元专项经费予以保障，非全区性大赛年度，由区财政投入不超过</w:t>
      </w:r>
      <w:r>
        <w:rPr>
          <w:rFonts w:hint="eastAsia" w:ascii="仿宋_GB2312" w:eastAsia="仿宋_GB2312"/>
          <w:sz w:val="32"/>
          <w:szCs w:val="32"/>
        </w:rPr>
        <w:t>30</w:t>
      </w:r>
      <w:r>
        <w:rPr>
          <w:rFonts w:hint="eastAsia" w:ascii="仿宋_GB2312" w:hAnsi="仿宋_GB2312" w:eastAsia="仿宋_GB2312"/>
          <w:sz w:val="32"/>
          <w:szCs w:val="32"/>
        </w:rPr>
        <w:t>万元专项经费予以保障；鼓励行业、企业、院校开展职业技能竞赛活动，按参赛规模给予一次性补贴，</w:t>
      </w:r>
      <w:r>
        <w:rPr>
          <w:rFonts w:hint="eastAsia" w:ascii="仿宋_GB2312" w:eastAsia="仿宋_GB2312"/>
          <w:sz w:val="32"/>
          <w:szCs w:val="32"/>
        </w:rPr>
        <w:t>50</w:t>
      </w:r>
      <w:r>
        <w:rPr>
          <w:rFonts w:hint="eastAsia" w:ascii="仿宋_GB2312" w:hAnsi="仿宋_GB2312" w:eastAsia="仿宋_GB2312"/>
          <w:sz w:val="32"/>
          <w:szCs w:val="32"/>
        </w:rPr>
        <w:t>人-</w:t>
      </w:r>
      <w:r>
        <w:rPr>
          <w:rFonts w:hint="eastAsia" w:ascii="仿宋_GB2312" w:eastAsia="仿宋_GB2312"/>
          <w:sz w:val="32"/>
          <w:szCs w:val="32"/>
        </w:rPr>
        <w:t>100</w:t>
      </w:r>
      <w:r>
        <w:rPr>
          <w:rFonts w:hint="eastAsia" w:ascii="仿宋_GB2312" w:hAnsi="仿宋_GB2312" w:eastAsia="仿宋_GB2312"/>
          <w:sz w:val="32"/>
          <w:szCs w:val="32"/>
        </w:rPr>
        <w:t>人的一次性补贴</w:t>
      </w:r>
      <w:r>
        <w:rPr>
          <w:rFonts w:hint="eastAsia" w:ascii="仿宋_GB2312" w:eastAsia="仿宋_GB2312"/>
          <w:sz w:val="32"/>
          <w:szCs w:val="32"/>
        </w:rPr>
        <w:t>3</w:t>
      </w:r>
      <w:r>
        <w:rPr>
          <w:rFonts w:hint="eastAsia" w:ascii="仿宋_GB2312" w:hAnsi="仿宋_GB2312" w:eastAsia="仿宋_GB2312"/>
          <w:sz w:val="32"/>
          <w:szCs w:val="32"/>
        </w:rPr>
        <w:t>万元，</w:t>
      </w:r>
      <w:r>
        <w:rPr>
          <w:rFonts w:hint="eastAsia" w:ascii="仿宋_GB2312" w:eastAsia="仿宋_GB2312"/>
          <w:sz w:val="32"/>
          <w:szCs w:val="32"/>
        </w:rPr>
        <w:t>100</w:t>
      </w:r>
      <w:r>
        <w:rPr>
          <w:rFonts w:hint="eastAsia" w:ascii="仿宋_GB2312" w:hAnsi="仿宋_GB2312" w:eastAsia="仿宋_GB2312"/>
          <w:sz w:val="32"/>
          <w:szCs w:val="32"/>
        </w:rPr>
        <w:t>人-</w:t>
      </w:r>
      <w:r>
        <w:rPr>
          <w:rFonts w:hint="eastAsia" w:ascii="仿宋_GB2312" w:eastAsia="仿宋_GB2312"/>
          <w:sz w:val="32"/>
          <w:szCs w:val="32"/>
        </w:rPr>
        <w:t>200</w:t>
      </w:r>
      <w:r>
        <w:rPr>
          <w:rFonts w:hint="eastAsia" w:ascii="仿宋_GB2312" w:hAnsi="仿宋_GB2312" w:eastAsia="仿宋_GB2312"/>
          <w:sz w:val="32"/>
          <w:szCs w:val="32"/>
        </w:rPr>
        <w:t>人的一次性补贴</w:t>
      </w:r>
      <w:r>
        <w:rPr>
          <w:rFonts w:hint="eastAsia" w:ascii="仿宋_GB2312" w:eastAsia="仿宋_GB2312"/>
          <w:sz w:val="32"/>
          <w:szCs w:val="32"/>
        </w:rPr>
        <w:t>5</w:t>
      </w:r>
      <w:r>
        <w:rPr>
          <w:rFonts w:hint="eastAsia" w:ascii="仿宋_GB2312" w:hAnsi="仿宋_GB2312" w:eastAsia="仿宋_GB2312"/>
          <w:sz w:val="32"/>
          <w:szCs w:val="32"/>
        </w:rPr>
        <w:t>万元，</w:t>
      </w:r>
      <w:r>
        <w:rPr>
          <w:rFonts w:hint="eastAsia" w:ascii="仿宋_GB2312" w:eastAsia="仿宋_GB2312"/>
          <w:sz w:val="32"/>
          <w:szCs w:val="32"/>
        </w:rPr>
        <w:t>200</w:t>
      </w:r>
      <w:r>
        <w:rPr>
          <w:rFonts w:hint="eastAsia" w:ascii="仿宋_GB2312" w:hAnsi="仿宋_GB2312" w:eastAsia="仿宋_GB2312"/>
          <w:sz w:val="32"/>
          <w:szCs w:val="32"/>
        </w:rPr>
        <w:t>人以上的一次性补贴</w:t>
      </w:r>
      <w:r>
        <w:rPr>
          <w:rFonts w:hint="eastAsia" w:ascii="仿宋_GB2312" w:eastAsia="仿宋_GB2312"/>
          <w:sz w:val="32"/>
          <w:szCs w:val="32"/>
        </w:rPr>
        <w:t>10</w:t>
      </w:r>
      <w:r>
        <w:rPr>
          <w:rFonts w:hint="eastAsia" w:ascii="仿宋_GB2312" w:hAnsi="仿宋_GB2312" w:eastAsia="仿宋_GB2312"/>
          <w:sz w:val="32"/>
          <w:szCs w:val="32"/>
        </w:rPr>
        <w:t>万元；对在全区性技能竞赛中取得前三名的选手，授予“朝阳区技术能手”荣誉称号，给予获奖个人</w:t>
      </w:r>
      <w:r>
        <w:rPr>
          <w:rFonts w:hint="eastAsia" w:ascii="仿宋_GB2312" w:eastAsia="仿宋_GB2312"/>
          <w:sz w:val="32"/>
          <w:szCs w:val="32"/>
        </w:rPr>
        <w:t>1</w:t>
      </w:r>
      <w:r>
        <w:rPr>
          <w:rFonts w:hint="eastAsia" w:ascii="仿宋_GB2312" w:hAnsi="仿宋_GB2312" w:eastAsia="仿宋_GB2312"/>
          <w:sz w:val="32"/>
          <w:szCs w:val="32"/>
        </w:rPr>
        <w:t>万元至</w:t>
      </w:r>
      <w:r>
        <w:rPr>
          <w:rFonts w:hint="eastAsia" w:ascii="仿宋_GB2312" w:eastAsia="仿宋_GB2312"/>
          <w:sz w:val="32"/>
          <w:szCs w:val="32"/>
        </w:rPr>
        <w:t>3</w:t>
      </w:r>
      <w:r>
        <w:rPr>
          <w:rFonts w:hint="eastAsia" w:ascii="仿宋_GB2312" w:hAnsi="仿宋_GB2312" w:eastAsia="仿宋_GB2312"/>
          <w:sz w:val="32"/>
          <w:szCs w:val="32"/>
        </w:rPr>
        <w:t>万元一次性补贴；对参加北京市及以上职业技能竞赛并获得优异成绩的给予获奖个人</w:t>
      </w:r>
      <w:r>
        <w:rPr>
          <w:rFonts w:hint="eastAsia" w:ascii="仿宋_GB2312" w:eastAsia="仿宋_GB2312"/>
          <w:sz w:val="32"/>
          <w:szCs w:val="32"/>
        </w:rPr>
        <w:t>3</w:t>
      </w:r>
      <w:r>
        <w:rPr>
          <w:rFonts w:hint="eastAsia" w:ascii="仿宋_GB2312" w:hAnsi="仿宋_GB2312" w:eastAsia="仿宋_GB2312"/>
          <w:sz w:val="32"/>
          <w:szCs w:val="32"/>
        </w:rPr>
        <w:t>万元至</w:t>
      </w:r>
      <w:r>
        <w:rPr>
          <w:rFonts w:hint="eastAsia" w:ascii="仿宋_GB2312" w:eastAsia="仿宋_GB2312"/>
          <w:sz w:val="32"/>
          <w:szCs w:val="32"/>
        </w:rPr>
        <w:t>10</w:t>
      </w:r>
      <w:r>
        <w:rPr>
          <w:rFonts w:hint="eastAsia" w:ascii="仿宋_GB2312" w:hAnsi="仿宋_GB2312" w:eastAsia="仿宋_GB2312"/>
          <w:sz w:val="32"/>
          <w:szCs w:val="32"/>
        </w:rPr>
        <w:t>万元一次性补贴。</w:t>
      </w:r>
    </w:p>
    <w:p>
      <w:pPr>
        <w:spacing w:line="600" w:lineRule="exact"/>
        <w:ind w:firstLine="720"/>
        <w:rPr>
          <w:rFonts w:ascii="仿宋_GB2312" w:hAnsi="仿宋_GB2312" w:eastAsia="仿宋_GB2312"/>
          <w:sz w:val="32"/>
          <w:szCs w:val="32"/>
        </w:rPr>
      </w:pPr>
      <w:r>
        <w:rPr>
          <w:rFonts w:hint="eastAsia" w:ascii="楷体_GB2312" w:hAnsi="仿宋_GB2312" w:eastAsia="楷体_GB2312"/>
          <w:sz w:val="32"/>
          <w:szCs w:val="32"/>
        </w:rPr>
        <w:t>（四）提升培训机构办学质量。</w:t>
      </w:r>
      <w:r>
        <w:rPr>
          <w:rFonts w:hint="eastAsia" w:ascii="仿宋_GB2312" w:hAnsi="仿宋_GB2312" w:eastAsia="仿宋_GB2312"/>
          <w:sz w:val="32"/>
          <w:szCs w:val="32"/>
        </w:rPr>
        <w:t>辖区民办职业技能培训机构在北京市分级评估中取得</w:t>
      </w:r>
      <w:r>
        <w:rPr>
          <w:rFonts w:hint="eastAsia" w:ascii="仿宋_GB2312" w:eastAsia="仿宋_GB2312"/>
          <w:sz w:val="32"/>
          <w:szCs w:val="32"/>
        </w:rPr>
        <w:t>A</w:t>
      </w:r>
      <w:r>
        <w:rPr>
          <w:rFonts w:hint="eastAsia" w:ascii="仿宋_GB2312" w:hAnsi="仿宋_GB2312" w:eastAsia="仿宋_GB2312"/>
          <w:sz w:val="32"/>
          <w:szCs w:val="32"/>
        </w:rPr>
        <w:t>类等级的，给予一次性</w:t>
      </w:r>
      <w:r>
        <w:rPr>
          <w:rFonts w:hint="eastAsia" w:ascii="仿宋_GB2312" w:eastAsia="仿宋_GB2312"/>
          <w:sz w:val="32"/>
          <w:szCs w:val="32"/>
        </w:rPr>
        <w:t>10</w:t>
      </w:r>
      <w:r>
        <w:rPr>
          <w:rFonts w:hint="eastAsia" w:ascii="仿宋_GB2312" w:hAnsi="仿宋_GB2312" w:eastAsia="仿宋_GB2312"/>
          <w:sz w:val="32"/>
          <w:szCs w:val="32"/>
        </w:rPr>
        <w:t>万元培训补贴。辖区定点职业技能培训机构当年开展本市城镇登记失业人员、农村转移劳动力职业技能培训</w:t>
      </w:r>
      <w:r>
        <w:rPr>
          <w:rFonts w:hint="eastAsia" w:ascii="仿宋_GB2312" w:eastAsia="仿宋_GB2312"/>
          <w:sz w:val="32"/>
          <w:szCs w:val="32"/>
        </w:rPr>
        <w:t>500</w:t>
      </w:r>
      <w:r>
        <w:rPr>
          <w:rFonts w:hint="eastAsia" w:ascii="仿宋_GB2312" w:hAnsi="仿宋_GB2312" w:eastAsia="仿宋_GB2312"/>
          <w:sz w:val="32"/>
          <w:szCs w:val="32"/>
        </w:rPr>
        <w:t>人以上或定点创业培训机构开展创业培训</w:t>
      </w:r>
      <w:r>
        <w:rPr>
          <w:rFonts w:hint="eastAsia" w:ascii="仿宋_GB2312" w:eastAsia="仿宋_GB2312"/>
          <w:sz w:val="32"/>
          <w:szCs w:val="32"/>
        </w:rPr>
        <w:t>200</w:t>
      </w:r>
      <w:r>
        <w:rPr>
          <w:rFonts w:hint="eastAsia" w:ascii="仿宋_GB2312" w:hAnsi="仿宋_GB2312" w:eastAsia="仿宋_GB2312"/>
          <w:sz w:val="32"/>
          <w:szCs w:val="32"/>
        </w:rPr>
        <w:t>人以上的，给予一次性</w:t>
      </w:r>
      <w:r>
        <w:rPr>
          <w:rFonts w:hint="eastAsia" w:ascii="仿宋_GB2312" w:eastAsia="仿宋_GB2312"/>
          <w:sz w:val="32"/>
          <w:szCs w:val="32"/>
        </w:rPr>
        <w:t>5</w:t>
      </w:r>
      <w:r>
        <w:rPr>
          <w:rFonts w:hint="eastAsia" w:ascii="仿宋_GB2312" w:hAnsi="仿宋_GB2312" w:eastAsia="仿宋_GB2312"/>
          <w:sz w:val="32"/>
          <w:szCs w:val="32"/>
        </w:rPr>
        <w:t>万元培训补贴。辖区民办职业技能培训机构年度培训人数在</w:t>
      </w:r>
      <w:r>
        <w:rPr>
          <w:rFonts w:hint="eastAsia" w:ascii="仿宋_GB2312" w:eastAsia="仿宋_GB2312"/>
          <w:sz w:val="32"/>
          <w:szCs w:val="32"/>
        </w:rPr>
        <w:t>3000</w:t>
      </w:r>
      <w:r>
        <w:rPr>
          <w:rFonts w:hint="eastAsia" w:ascii="仿宋_GB2312" w:hAnsi="仿宋_GB2312" w:eastAsia="仿宋_GB2312"/>
          <w:sz w:val="32"/>
          <w:szCs w:val="32"/>
        </w:rPr>
        <w:t>人以上的一次性给予</w:t>
      </w:r>
      <w:r>
        <w:rPr>
          <w:rFonts w:hint="eastAsia" w:ascii="仿宋_GB2312" w:eastAsia="仿宋_GB2312"/>
          <w:sz w:val="32"/>
          <w:szCs w:val="32"/>
        </w:rPr>
        <w:t>3</w:t>
      </w:r>
      <w:r>
        <w:rPr>
          <w:rFonts w:hint="eastAsia" w:ascii="仿宋_GB2312" w:hAnsi="仿宋_GB2312" w:eastAsia="仿宋_GB2312"/>
          <w:sz w:val="32"/>
          <w:szCs w:val="32"/>
        </w:rPr>
        <w:t>万元培训补贴，</w:t>
      </w:r>
      <w:r>
        <w:rPr>
          <w:rFonts w:hint="eastAsia" w:ascii="仿宋_GB2312" w:eastAsia="仿宋_GB2312"/>
          <w:sz w:val="32"/>
          <w:szCs w:val="32"/>
        </w:rPr>
        <w:t>5000</w:t>
      </w:r>
      <w:r>
        <w:rPr>
          <w:rFonts w:hint="eastAsia" w:ascii="仿宋_GB2312" w:hAnsi="仿宋_GB2312" w:eastAsia="仿宋_GB2312"/>
          <w:sz w:val="32"/>
          <w:szCs w:val="32"/>
        </w:rPr>
        <w:t>人以上的一次性给予</w:t>
      </w:r>
      <w:r>
        <w:rPr>
          <w:rFonts w:hint="eastAsia" w:ascii="仿宋_GB2312" w:eastAsia="仿宋_GB2312"/>
          <w:sz w:val="32"/>
          <w:szCs w:val="32"/>
        </w:rPr>
        <w:t>5</w:t>
      </w:r>
      <w:r>
        <w:rPr>
          <w:rFonts w:hint="eastAsia" w:ascii="仿宋_GB2312" w:hAnsi="仿宋_GB2312" w:eastAsia="仿宋_GB2312"/>
          <w:sz w:val="32"/>
          <w:szCs w:val="32"/>
        </w:rPr>
        <w:t>万元培训补贴，</w:t>
      </w:r>
      <w:r>
        <w:rPr>
          <w:rFonts w:hint="eastAsia" w:ascii="仿宋_GB2312" w:eastAsia="仿宋_GB2312"/>
          <w:sz w:val="32"/>
          <w:szCs w:val="32"/>
        </w:rPr>
        <w:t>8000</w:t>
      </w:r>
      <w:r>
        <w:rPr>
          <w:rFonts w:hint="eastAsia" w:ascii="仿宋_GB2312" w:hAnsi="仿宋_GB2312" w:eastAsia="仿宋_GB2312"/>
          <w:sz w:val="32"/>
          <w:szCs w:val="32"/>
        </w:rPr>
        <w:t>人以上的一次性给予</w:t>
      </w:r>
      <w:r>
        <w:rPr>
          <w:rFonts w:hint="eastAsia" w:ascii="仿宋_GB2312" w:eastAsia="仿宋_GB2312"/>
          <w:sz w:val="32"/>
          <w:szCs w:val="32"/>
        </w:rPr>
        <w:t>10</w:t>
      </w:r>
      <w:r>
        <w:rPr>
          <w:rFonts w:hint="eastAsia" w:ascii="仿宋_GB2312" w:hAnsi="仿宋_GB2312" w:eastAsia="仿宋_GB2312"/>
          <w:sz w:val="32"/>
          <w:szCs w:val="32"/>
        </w:rPr>
        <w:t>万元培训补贴。</w:t>
      </w:r>
    </w:p>
    <w:p>
      <w:pPr>
        <w:snapToGrid w:val="0"/>
        <w:spacing w:line="600" w:lineRule="exact"/>
        <w:ind w:firstLine="896"/>
        <w:rPr>
          <w:rFonts w:ascii="仿宋_GB2312" w:hAnsi="仿宋_GB2312" w:eastAsia="仿宋_GB2312"/>
          <w:sz w:val="32"/>
          <w:szCs w:val="32"/>
        </w:rPr>
      </w:pPr>
      <w:r>
        <w:rPr>
          <w:rFonts w:hint="eastAsia" w:ascii="黑体" w:hAnsi="黑体" w:eastAsia="黑体"/>
          <w:sz w:val="32"/>
          <w:szCs w:val="32"/>
        </w:rPr>
        <w:t>五、完善创业政策，鼓励创业带动就业</w:t>
      </w:r>
    </w:p>
    <w:p>
      <w:pPr>
        <w:spacing w:line="600" w:lineRule="exact"/>
        <w:ind w:firstLine="720"/>
        <w:rPr>
          <w:rFonts w:ascii="仿宋_GB2312" w:hAnsi="仿宋_GB2312" w:eastAsia="仿宋_GB2312"/>
          <w:sz w:val="32"/>
          <w:szCs w:val="32"/>
        </w:rPr>
      </w:pPr>
      <w:r>
        <w:rPr>
          <w:rFonts w:hint="eastAsia" w:ascii="楷体_GB2312" w:hAnsi="仿宋_GB2312" w:eastAsia="楷体_GB2312"/>
          <w:sz w:val="32"/>
          <w:szCs w:val="32"/>
        </w:rPr>
        <w:t>（一）加大创业项目扶持。</w:t>
      </w:r>
      <w:r>
        <w:rPr>
          <w:rFonts w:hint="eastAsia" w:ascii="仿宋_GB2312" w:hAnsi="仿宋_GB2312" w:eastAsia="仿宋_GB2312"/>
          <w:sz w:val="32"/>
          <w:szCs w:val="32"/>
        </w:rPr>
        <w:t>紧密结合首都及朝阳区经济发展需要，以支持朝阳区创业为重点，以鼓励创业带动就业、强化新型产业培育为导向，兼顾创新能力、业态规模等因素，突出对朝阳区创业进行宣传和扶持。对新纳入朝阳区创业项目库的创业项目，按照每个创业项目</w:t>
      </w:r>
      <w:r>
        <w:rPr>
          <w:rFonts w:hint="eastAsia" w:ascii="仿宋_GB2312" w:eastAsia="仿宋_GB2312"/>
          <w:sz w:val="32"/>
          <w:szCs w:val="32"/>
        </w:rPr>
        <w:t>5</w:t>
      </w:r>
      <w:r>
        <w:rPr>
          <w:rFonts w:hint="eastAsia" w:ascii="仿宋_GB2312" w:hAnsi="仿宋_GB2312" w:eastAsia="仿宋_GB2312"/>
          <w:sz w:val="32"/>
          <w:szCs w:val="32"/>
        </w:rPr>
        <w:t>万元的标准给予一次性补贴。</w:t>
      </w: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楷体_GB2312" w:hAnsi="仿宋_GB2312" w:eastAsia="楷体_GB2312"/>
          <w:sz w:val="32"/>
          <w:szCs w:val="32"/>
        </w:rPr>
        <w:t>（二）鼓励创业带动就业。</w:t>
      </w:r>
      <w:r>
        <w:rPr>
          <w:rFonts w:hint="eastAsia" w:ascii="仿宋_GB2312" w:hAnsi="仿宋_GB2312" w:eastAsia="仿宋_GB2312"/>
          <w:sz w:val="32"/>
          <w:szCs w:val="32"/>
        </w:rPr>
        <w:t>注册地及纳税地均在朝阳区且正常经营</w:t>
      </w:r>
      <w:r>
        <w:rPr>
          <w:rFonts w:hint="eastAsia" w:ascii="仿宋_GB2312" w:eastAsia="仿宋_GB2312"/>
          <w:sz w:val="32"/>
          <w:szCs w:val="32"/>
        </w:rPr>
        <w:t>1</w:t>
      </w:r>
      <w:r>
        <w:rPr>
          <w:rFonts w:hint="eastAsia" w:ascii="仿宋_GB2312" w:hAnsi="仿宋_GB2312" w:eastAsia="仿宋_GB2312"/>
          <w:sz w:val="32"/>
          <w:szCs w:val="32"/>
        </w:rPr>
        <w:t>年（含</w:t>
      </w:r>
      <w:r>
        <w:rPr>
          <w:rFonts w:hint="eastAsia" w:ascii="仿宋_GB2312" w:eastAsia="仿宋_GB2312"/>
          <w:sz w:val="32"/>
          <w:szCs w:val="32"/>
        </w:rPr>
        <w:t>1</w:t>
      </w:r>
      <w:r>
        <w:rPr>
          <w:rFonts w:hint="eastAsia" w:ascii="仿宋_GB2312" w:hAnsi="仿宋_GB2312" w:eastAsia="仿宋_GB2312"/>
          <w:sz w:val="32"/>
          <w:szCs w:val="32"/>
        </w:rPr>
        <w:t>年）以上</w:t>
      </w:r>
      <w:r>
        <w:rPr>
          <w:rFonts w:hint="eastAsia" w:ascii="仿宋_GB2312" w:eastAsia="仿宋_GB2312"/>
          <w:sz w:val="32"/>
          <w:szCs w:val="32"/>
        </w:rPr>
        <w:t>5</w:t>
      </w:r>
      <w:r>
        <w:rPr>
          <w:rFonts w:hint="eastAsia" w:ascii="仿宋_GB2312" w:hAnsi="仿宋_GB2312" w:eastAsia="仿宋_GB2312"/>
          <w:sz w:val="32"/>
          <w:szCs w:val="32"/>
        </w:rPr>
        <w:t>年（含</w:t>
      </w:r>
      <w:r>
        <w:rPr>
          <w:rFonts w:hint="eastAsia" w:ascii="仿宋_GB2312" w:eastAsia="仿宋_GB2312"/>
          <w:sz w:val="32"/>
          <w:szCs w:val="32"/>
        </w:rPr>
        <w:t>5</w:t>
      </w:r>
      <w:r>
        <w:rPr>
          <w:rFonts w:hint="eastAsia" w:ascii="仿宋_GB2312" w:hAnsi="仿宋_GB2312" w:eastAsia="仿宋_GB2312"/>
          <w:sz w:val="32"/>
          <w:szCs w:val="32"/>
        </w:rPr>
        <w:t>年）以下的中小微企业,带动</w:t>
      </w:r>
      <w:r>
        <w:rPr>
          <w:rFonts w:hint="eastAsia" w:ascii="仿宋_GB2312" w:eastAsia="仿宋_GB2312"/>
          <w:sz w:val="32"/>
          <w:szCs w:val="32"/>
        </w:rPr>
        <w:t>3</w:t>
      </w:r>
      <w:r>
        <w:rPr>
          <w:rFonts w:hint="eastAsia" w:ascii="仿宋_GB2312" w:hAnsi="仿宋_GB2312" w:eastAsia="仿宋_GB2312"/>
          <w:sz w:val="32"/>
          <w:szCs w:val="32"/>
        </w:rPr>
        <w:t>名以上（含</w:t>
      </w:r>
      <w:r>
        <w:rPr>
          <w:rFonts w:hint="eastAsia" w:ascii="仿宋_GB2312" w:eastAsia="仿宋_GB2312"/>
          <w:sz w:val="32"/>
          <w:szCs w:val="32"/>
        </w:rPr>
        <w:t>3</w:t>
      </w:r>
      <w:r>
        <w:rPr>
          <w:rFonts w:hint="eastAsia" w:ascii="仿宋_GB2312" w:hAnsi="仿宋_GB2312" w:eastAsia="仿宋_GB2312"/>
          <w:sz w:val="32"/>
          <w:szCs w:val="32"/>
        </w:rPr>
        <w:t>名）朝阳区户籍劳动力实现就业，给予</w:t>
      </w:r>
      <w:r>
        <w:rPr>
          <w:rFonts w:hint="eastAsia" w:ascii="仿宋_GB2312" w:eastAsia="仿宋_GB2312"/>
          <w:sz w:val="32"/>
          <w:szCs w:val="32"/>
        </w:rPr>
        <w:t>3</w:t>
      </w:r>
      <w:r>
        <w:rPr>
          <w:rFonts w:hint="eastAsia" w:ascii="仿宋_GB2312" w:hAnsi="仿宋_GB2312" w:eastAsia="仿宋_GB2312"/>
          <w:sz w:val="32"/>
          <w:szCs w:val="32"/>
        </w:rPr>
        <w:t>万元一次性就业补贴。每增加</w:t>
      </w:r>
      <w:r>
        <w:rPr>
          <w:rFonts w:hint="eastAsia" w:ascii="仿宋_GB2312" w:eastAsia="仿宋_GB2312"/>
          <w:sz w:val="32"/>
          <w:szCs w:val="32"/>
        </w:rPr>
        <w:t>1</w:t>
      </w:r>
      <w:r>
        <w:rPr>
          <w:rFonts w:hint="eastAsia" w:ascii="仿宋_GB2312" w:hAnsi="仿宋_GB2312" w:eastAsia="仿宋_GB2312"/>
          <w:sz w:val="32"/>
          <w:szCs w:val="32"/>
        </w:rPr>
        <w:t>人，增加</w:t>
      </w:r>
      <w:r>
        <w:rPr>
          <w:rFonts w:hint="eastAsia" w:ascii="仿宋_GB2312" w:eastAsia="仿宋_GB2312"/>
          <w:sz w:val="32"/>
          <w:szCs w:val="32"/>
        </w:rPr>
        <w:t>1</w:t>
      </w:r>
      <w:r>
        <w:rPr>
          <w:rFonts w:hint="eastAsia" w:ascii="仿宋_GB2312" w:hAnsi="仿宋_GB2312" w:eastAsia="仿宋_GB2312"/>
          <w:sz w:val="32"/>
          <w:szCs w:val="32"/>
        </w:rPr>
        <w:t>万元补贴，补贴总额不超过</w:t>
      </w:r>
      <w:r>
        <w:rPr>
          <w:rFonts w:hint="eastAsia" w:ascii="仿宋_GB2312" w:eastAsia="仿宋_GB2312"/>
          <w:sz w:val="32"/>
          <w:szCs w:val="32"/>
        </w:rPr>
        <w:t>20</w:t>
      </w:r>
      <w:r>
        <w:rPr>
          <w:rFonts w:hint="eastAsia" w:ascii="仿宋_GB2312" w:hAnsi="仿宋_GB2312" w:eastAsia="仿宋_GB2312"/>
          <w:sz w:val="32"/>
          <w:szCs w:val="32"/>
        </w:rPr>
        <w:t>万元。</w:t>
      </w:r>
    </w:p>
    <w:p>
      <w:pPr>
        <w:spacing w:line="60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（三）降低自主创业成本。</w:t>
      </w:r>
      <w:r>
        <w:rPr>
          <w:rFonts w:hint="eastAsia" w:ascii="仿宋_GB2312" w:hAnsi="仿宋_GB2312" w:eastAsia="仿宋_GB2312"/>
          <w:sz w:val="32"/>
          <w:szCs w:val="32"/>
        </w:rPr>
        <w:t>本区户籍城乡登记失业人员、高校毕业生等重点群体，通过自谋职业、自主或合伙创办企业及经济实体，租赁办公经营场地, 注册地及纳税地均在朝阳区且正常经营</w:t>
      </w:r>
      <w:r>
        <w:rPr>
          <w:rFonts w:hint="eastAsia" w:ascii="仿宋_GB2312" w:eastAsia="仿宋_GB2312"/>
          <w:sz w:val="32"/>
          <w:szCs w:val="32"/>
        </w:rPr>
        <w:t>1</w:t>
      </w:r>
      <w:r>
        <w:rPr>
          <w:rFonts w:hint="eastAsia" w:ascii="仿宋_GB2312" w:hAnsi="仿宋_GB2312" w:eastAsia="仿宋_GB2312"/>
          <w:sz w:val="32"/>
          <w:szCs w:val="32"/>
        </w:rPr>
        <w:t>年（含</w:t>
      </w:r>
      <w:r>
        <w:rPr>
          <w:rFonts w:hint="eastAsia" w:ascii="仿宋_GB2312" w:eastAsia="仿宋_GB2312"/>
          <w:sz w:val="32"/>
          <w:szCs w:val="32"/>
        </w:rPr>
        <w:t>1</w:t>
      </w:r>
      <w:r>
        <w:rPr>
          <w:rFonts w:hint="eastAsia" w:ascii="仿宋_GB2312" w:hAnsi="仿宋_GB2312" w:eastAsia="仿宋_GB2312"/>
          <w:sz w:val="32"/>
          <w:szCs w:val="32"/>
        </w:rPr>
        <w:t>年）以上</w:t>
      </w:r>
      <w:r>
        <w:rPr>
          <w:rFonts w:hint="eastAsia" w:ascii="仿宋_GB2312" w:eastAsia="仿宋_GB2312"/>
          <w:sz w:val="32"/>
          <w:szCs w:val="32"/>
        </w:rPr>
        <w:t>5</w:t>
      </w:r>
      <w:r>
        <w:rPr>
          <w:rFonts w:hint="eastAsia" w:ascii="仿宋_GB2312" w:hAnsi="仿宋_GB2312" w:eastAsia="仿宋_GB2312"/>
          <w:sz w:val="32"/>
          <w:szCs w:val="32"/>
        </w:rPr>
        <w:t>年（含</w:t>
      </w:r>
      <w:r>
        <w:rPr>
          <w:rFonts w:hint="eastAsia" w:ascii="仿宋_GB2312" w:eastAsia="仿宋_GB2312"/>
          <w:sz w:val="32"/>
          <w:szCs w:val="32"/>
        </w:rPr>
        <w:t>5</w:t>
      </w:r>
      <w:r>
        <w:rPr>
          <w:rFonts w:hint="eastAsia" w:ascii="仿宋_GB2312" w:hAnsi="仿宋_GB2312" w:eastAsia="仿宋_GB2312"/>
          <w:sz w:val="32"/>
          <w:szCs w:val="32"/>
        </w:rPr>
        <w:t>年）以下的，每年给予</w:t>
      </w:r>
      <w:r>
        <w:rPr>
          <w:rFonts w:hint="eastAsia" w:ascii="仿宋_GB2312" w:eastAsia="仿宋_GB2312"/>
          <w:sz w:val="32"/>
          <w:szCs w:val="32"/>
        </w:rPr>
        <w:t>5</w:t>
      </w:r>
      <w:r>
        <w:rPr>
          <w:rFonts w:hint="eastAsia" w:ascii="仿宋_GB2312" w:hAnsi="仿宋_GB2312" w:eastAsia="仿宋_GB2312"/>
          <w:sz w:val="32"/>
          <w:szCs w:val="32"/>
        </w:rPr>
        <w:t>万元房屋租赁补贴，房屋租金不足</w:t>
      </w:r>
      <w:r>
        <w:rPr>
          <w:rFonts w:hint="eastAsia" w:ascii="仿宋_GB2312" w:eastAsia="仿宋_GB2312"/>
          <w:sz w:val="32"/>
          <w:szCs w:val="32"/>
        </w:rPr>
        <w:t>5</w:t>
      </w:r>
      <w:r>
        <w:rPr>
          <w:rFonts w:hint="eastAsia" w:ascii="仿宋_GB2312" w:hAnsi="仿宋_GB2312" w:eastAsia="仿宋_GB2312"/>
          <w:sz w:val="32"/>
          <w:szCs w:val="32"/>
        </w:rPr>
        <w:t>万元的，按实际数额给予补贴，最长补贴</w:t>
      </w:r>
      <w:r>
        <w:rPr>
          <w:rFonts w:hint="eastAsia" w:ascii="仿宋_GB2312" w:eastAsia="仿宋_GB2312"/>
          <w:sz w:val="32"/>
          <w:szCs w:val="32"/>
        </w:rPr>
        <w:t>3</w:t>
      </w:r>
      <w:r>
        <w:rPr>
          <w:rFonts w:hint="eastAsia" w:ascii="仿宋_GB2312" w:hAnsi="仿宋_GB2312" w:eastAsia="仿宋_GB2312"/>
          <w:sz w:val="32"/>
          <w:szCs w:val="32"/>
        </w:rPr>
        <w:t>年。</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六、提升就业服务水平，实现均等化就业</w:t>
      </w:r>
    </w:p>
    <w:p>
      <w:pPr>
        <w:spacing w:line="600" w:lineRule="exact"/>
        <w:ind w:firstLine="645"/>
        <w:rPr>
          <w:rFonts w:ascii="仿宋_GB2312" w:hAnsi="AppleSystemUIFont" w:eastAsia="仿宋_GB2312" w:cs=".PingFang SC Regular"/>
          <w:sz w:val="32"/>
          <w:szCs w:val="32"/>
        </w:rPr>
      </w:pPr>
      <w:r>
        <w:rPr>
          <w:rFonts w:hint="eastAsia" w:ascii="楷体_GB2312" w:hAnsi="仿宋_GB2312" w:eastAsia="楷体_GB2312"/>
          <w:sz w:val="32"/>
          <w:szCs w:val="32"/>
        </w:rPr>
        <w:t>（一）持续优化就业服务环境。</w:t>
      </w:r>
      <w:r>
        <w:rPr>
          <w:rFonts w:hint="eastAsia" w:ascii="仿宋_GB2312" w:hAnsi="仿宋_GB2312" w:eastAsia="仿宋_GB2312"/>
          <w:sz w:val="32"/>
          <w:szCs w:val="32"/>
        </w:rPr>
        <w:t>积极清理取消对就业的不合理限制，按规定取消涉及就业的行政事业性收费，最大限度降低就业创业门槛。坚持“管行业必须管就业、管属地必须管就业、管生产经营必须管就业”的原则，压实行业主体责任，</w:t>
      </w:r>
      <w:r>
        <w:rPr>
          <w:rFonts w:hint="eastAsia" w:ascii="仿宋_GB2312" w:hAnsi="AppleSystemUIFont" w:eastAsia="仿宋_GB2312" w:cs=".PingFang SC Regular"/>
          <w:sz w:val="32"/>
          <w:szCs w:val="32"/>
        </w:rPr>
        <w:t>行业主管部门要全面掌握本行业企业情况，稳定并积极扩大从业人员规模，不断提高就业质量。</w:t>
      </w:r>
    </w:p>
    <w:p>
      <w:pPr>
        <w:spacing w:line="600" w:lineRule="exact"/>
        <w:ind w:firstLine="645"/>
        <w:rPr>
          <w:rFonts w:ascii="仿宋_GB2312" w:hAnsi="AppleSystemUIFont" w:eastAsia="仿宋_GB2312" w:cs=".PingFang SC Regular"/>
          <w:sz w:val="32"/>
          <w:szCs w:val="32"/>
        </w:rPr>
      </w:pPr>
      <w:r>
        <w:rPr>
          <w:rFonts w:hint="eastAsia" w:ascii="楷体_GB2312" w:hAnsi="仿宋_GB2312" w:eastAsia="楷体_GB2312"/>
          <w:sz w:val="32"/>
          <w:szCs w:val="32"/>
        </w:rPr>
        <w:t>（二）提升公共就业服务能力。</w:t>
      </w:r>
      <w:r>
        <w:rPr>
          <w:rFonts w:hint="eastAsia" w:ascii="仿宋_GB2312" w:hAnsi="AppleSystemUIFont" w:eastAsia="仿宋_GB2312" w:cs=".PingFang SC Regular"/>
          <w:sz w:val="32"/>
          <w:szCs w:val="32"/>
        </w:rPr>
        <w:t>以街（乡）为单位，社区（村）为网格，设置人社服务专员。通过网格化管理服务，以人社服务专员为节点，对接属地各类企业和劳动者，做好解读政策、了解需求、发现问题、反馈信息、指导就业等服务工作，打通人社就业服务“最后一公里”。</w:t>
      </w:r>
    </w:p>
    <w:p>
      <w:pPr>
        <w:spacing w:line="600" w:lineRule="exact"/>
        <w:ind w:firstLine="645"/>
        <w:rPr>
          <w:rFonts w:ascii="仿宋_GB2312" w:hAnsi="仿宋_GB2312" w:eastAsia="仿宋_GB2312"/>
          <w:b/>
          <w:sz w:val="32"/>
          <w:szCs w:val="32"/>
        </w:rPr>
      </w:pPr>
      <w:r>
        <w:rPr>
          <w:rFonts w:hint="eastAsia" w:ascii="楷体_GB2312" w:hAnsi="仿宋_GB2312" w:eastAsia="楷体_GB2312"/>
          <w:sz w:val="32"/>
          <w:szCs w:val="32"/>
        </w:rPr>
        <w:t>（三）鼓励社会机构参与公共就业服务。</w:t>
      </w:r>
      <w:r>
        <w:rPr>
          <w:rFonts w:hint="eastAsia" w:ascii="仿宋_GB2312" w:hAnsi="仿宋_GB2312" w:eastAsia="仿宋_GB2312"/>
          <w:sz w:val="32"/>
          <w:szCs w:val="32"/>
        </w:rPr>
        <w:t>辖区经营性人力资源机构根据公共就业服务需求为本区应届高校毕业生、登记失业人员等重点群体提供就业服务的，给予一次性就业服务补贴。承担朝阳区重点产业人才市场供求监测分析，按项目给予工作补贴。</w:t>
      </w:r>
    </w:p>
    <w:p>
      <w:pPr>
        <w:spacing w:line="600" w:lineRule="exact"/>
        <w:ind w:firstLine="720"/>
        <w:jc w:val="left"/>
        <w:rPr>
          <w:rFonts w:ascii="仿宋_GB2312" w:hAnsi="仿宋_GB2312" w:eastAsia="仿宋_GB2312"/>
          <w:b/>
          <w:sz w:val="32"/>
          <w:szCs w:val="32"/>
        </w:rPr>
      </w:pPr>
      <w:r>
        <w:rPr>
          <w:rFonts w:hint="eastAsia" w:ascii="黑体" w:hAnsi="黑体" w:eastAsia="黑体"/>
          <w:sz w:val="32"/>
          <w:szCs w:val="32"/>
        </w:rPr>
        <w:t>七、健全失业预警体系，降低失业风险</w:t>
      </w:r>
    </w:p>
    <w:p>
      <w:pPr>
        <w:spacing w:line="60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（一）健全失业预警机制。</w:t>
      </w:r>
      <w:r>
        <w:rPr>
          <w:rFonts w:hint="eastAsia" w:ascii="仿宋_GB2312" w:hAnsi="仿宋_GB2312" w:eastAsia="仿宋_GB2312"/>
          <w:sz w:val="32"/>
          <w:szCs w:val="32"/>
        </w:rPr>
        <w:t>加强新形势下全区就业形势的分析研判，建立健全本辖区失业风险预警工作体系，对反映就业、失业状况的指标进行监测和跟踪分析，实施警戒等级评估。加强对重点行业重点企业的失业监测，</w:t>
      </w:r>
      <w:r>
        <w:rPr>
          <w:rFonts w:hint="eastAsia" w:ascii="仿宋_GB2312" w:hAnsi="仿宋" w:eastAsia="仿宋_GB2312"/>
          <w:kern w:val="0"/>
          <w:sz w:val="32"/>
          <w:szCs w:val="32"/>
        </w:rPr>
        <w:t>适时启动相应的风险处置预案</w:t>
      </w:r>
      <w:r>
        <w:rPr>
          <w:rFonts w:hint="eastAsia" w:ascii="仿宋_GB2312" w:hAnsi="仿宋_GB2312" w:eastAsia="仿宋_GB2312"/>
          <w:sz w:val="32"/>
          <w:szCs w:val="32"/>
        </w:rPr>
        <w:t>。</w:t>
      </w:r>
    </w:p>
    <w:p>
      <w:pPr>
        <w:spacing w:line="600" w:lineRule="exact"/>
        <w:ind w:firstLine="720"/>
        <w:rPr>
          <w:rFonts w:ascii="仿宋_GB2312" w:hAnsi="仿宋_GB2312" w:eastAsia="仿宋_GB2312"/>
          <w:sz w:val="32"/>
          <w:szCs w:val="32"/>
        </w:rPr>
      </w:pPr>
      <w:r>
        <w:rPr>
          <w:rFonts w:hint="eastAsia" w:ascii="楷体_GB2312" w:hAnsi="仿宋_GB2312" w:eastAsia="楷体_GB2312"/>
          <w:sz w:val="32"/>
          <w:szCs w:val="32"/>
        </w:rPr>
        <w:t>（二）完善劳动用工风险防控机制。</w:t>
      </w:r>
      <w:r>
        <w:rPr>
          <w:rFonts w:hint="eastAsia" w:ascii="仿宋_GB2312" w:hAnsi="仿宋_GB2312" w:eastAsia="仿宋_GB2312"/>
          <w:sz w:val="32"/>
          <w:szCs w:val="32"/>
        </w:rPr>
        <w:t>坚持政府主导、行业规范、企业自律、社会协同、多元共治的综合治理模式，进一步发挥劳动关系三方协调机制，稳定劳动关系。加强基层调解组织建设，推进协商调解力量延伸下沉，畅通劳动关系“毛细血管”。加强行政执法检查，对重点领域、重点行业持续完善信息台账、落实稳控措施，着力突破解决难点问题，全力保障区域就业形势和谐稳定。</w:t>
      </w:r>
    </w:p>
    <w:p>
      <w:pPr>
        <w:spacing w:line="600" w:lineRule="exact"/>
        <w:ind w:firstLine="645"/>
        <w:rPr>
          <w:rFonts w:ascii="仿宋_GB2312" w:hAnsi="仿宋_GB2312" w:eastAsia="仿宋_GB2312"/>
          <w:b/>
          <w:sz w:val="32"/>
          <w:szCs w:val="32"/>
        </w:rPr>
      </w:pPr>
      <w:r>
        <w:rPr>
          <w:rFonts w:hint="eastAsia" w:ascii="黑体" w:hAnsi="黑体" w:eastAsia="黑体"/>
          <w:sz w:val="32"/>
          <w:szCs w:val="32"/>
        </w:rPr>
        <w:t>八、健全保障体制</w:t>
      </w:r>
    </w:p>
    <w:p>
      <w:pPr>
        <w:spacing w:line="600" w:lineRule="exact"/>
        <w:ind w:firstLine="645"/>
        <w:rPr>
          <w:rFonts w:ascii="仿宋_GB2312" w:hAnsi="仿宋_GB2312" w:eastAsia="仿宋_GB2312"/>
          <w:sz w:val="32"/>
          <w:szCs w:val="32"/>
        </w:rPr>
      </w:pPr>
      <w:r>
        <w:rPr>
          <w:rFonts w:hint="eastAsia" w:ascii="楷体_GB2312" w:hAnsi="仿宋_GB2312" w:eastAsia="楷体_GB2312"/>
          <w:sz w:val="32"/>
          <w:szCs w:val="32"/>
        </w:rPr>
        <w:t>（一）强化组织领导。</w:t>
      </w:r>
      <w:r>
        <w:rPr>
          <w:rFonts w:hint="eastAsia" w:ascii="仿宋_GB2312" w:hAnsi="仿宋_GB2312" w:eastAsia="仿宋_GB2312"/>
          <w:sz w:val="32"/>
          <w:szCs w:val="32"/>
        </w:rPr>
        <w:t>充分发挥区就业工作领导小组作用，健全就业工作机制，完善就业工作运行体系，统筹做好全区就业形势分析、指导检查等工作。在全区建立就业工作通报制度，将各街乡就业工作完成情况纳入全区总体考核。</w:t>
      </w:r>
    </w:p>
    <w:p>
      <w:pPr>
        <w:spacing w:line="600" w:lineRule="exact"/>
        <w:ind w:firstLine="645"/>
        <w:rPr>
          <w:rFonts w:ascii="仿宋_GB2312" w:hAnsi="仿宋_GB2312" w:eastAsia="仿宋_GB2312"/>
          <w:sz w:val="32"/>
          <w:szCs w:val="32"/>
        </w:rPr>
      </w:pPr>
      <w:r>
        <w:rPr>
          <w:rFonts w:hint="eastAsia" w:ascii="楷体_GB2312" w:hAnsi="仿宋_GB2312" w:eastAsia="楷体_GB2312"/>
          <w:sz w:val="32"/>
          <w:szCs w:val="32"/>
        </w:rPr>
        <w:t>（二）加强宣传引导。</w:t>
      </w:r>
      <w:r>
        <w:rPr>
          <w:rFonts w:hint="eastAsia" w:ascii="仿宋_GB2312" w:hAnsi="仿宋_GB2312" w:eastAsia="仿宋_GB2312"/>
          <w:sz w:val="32"/>
          <w:szCs w:val="32"/>
        </w:rPr>
        <w:t>区级相关单位、各街乡要积极开展政策宣传，向社会公布政策清单、申办流程、补贴标准等，积极引导城乡劳动者树立正确就业观，主动提升就业技能，通过自身努力实现就业创业。</w:t>
      </w:r>
    </w:p>
    <w:p>
      <w:pPr>
        <w:spacing w:line="600" w:lineRule="exact"/>
        <w:ind w:firstLine="645"/>
        <w:rPr>
          <w:rFonts w:ascii="仿宋_GB2312" w:hAnsi="仿宋_GB2312" w:eastAsia="仿宋_GB2312"/>
          <w:sz w:val="32"/>
          <w:szCs w:val="32"/>
        </w:rPr>
      </w:pPr>
      <w:r>
        <w:rPr>
          <w:rFonts w:hint="eastAsia" w:ascii="楷体_GB2312" w:hAnsi="仿宋_GB2312" w:eastAsia="楷体_GB2312"/>
          <w:sz w:val="32"/>
          <w:szCs w:val="32"/>
        </w:rPr>
        <w:t>（三）优化资金保障。</w:t>
      </w:r>
      <w:r>
        <w:rPr>
          <w:rFonts w:hint="eastAsia" w:ascii="仿宋_GB2312" w:hAnsi="仿宋_GB2312" w:eastAsia="仿宋_GB2312"/>
          <w:sz w:val="32"/>
          <w:szCs w:val="32"/>
        </w:rPr>
        <w:t>做好稳定和促进就业的资金保障，鼓励创业带动就业，重点支持困难群体就业，在保持政策连续性、稳定性的基础上，提高政策可操作性和精准性。严格落实就业帮扶对象实名制管理，切实保障资金安全运行。</w:t>
      </w:r>
    </w:p>
    <w:p>
      <w:pPr>
        <w:widowControl/>
        <w:spacing w:line="600" w:lineRule="exact"/>
        <w:jc w:val="left"/>
        <w:rPr>
          <w:rFonts w:ascii="仿宋_GB2312" w:hAnsi="仿宋" w:eastAsia="仿宋_GB2312"/>
          <w:sz w:val="32"/>
          <w:szCs w:val="32"/>
        </w:rPr>
      </w:pPr>
    </w:p>
    <w:p>
      <w:pPr>
        <w:widowControl/>
        <w:spacing w:line="600" w:lineRule="exact"/>
        <w:jc w:val="left"/>
        <w:rPr>
          <w:rFonts w:ascii="Tahoma" w:hAnsi="Tahoma" w:eastAsia="仿宋_GB2312"/>
          <w:b/>
          <w:sz w:val="24"/>
        </w:rPr>
      </w:pPr>
    </w:p>
    <w:p>
      <w:pPr>
        <w:tabs>
          <w:tab w:val="left" w:pos="567"/>
          <w:tab w:val="left" w:pos="709"/>
        </w:tabs>
        <w:adjustRightInd w:val="0"/>
        <w:snapToGrid w:val="0"/>
        <w:spacing w:line="600" w:lineRule="exact"/>
        <w:ind w:firstLine="4640" w:firstLineChars="1450"/>
        <w:rPr>
          <w:rFonts w:eastAsia="仿宋_GB2312"/>
          <w:sz w:val="32"/>
          <w:szCs w:val="32"/>
        </w:rPr>
      </w:pPr>
      <w:r>
        <w:rPr>
          <w:rFonts w:hint="eastAsia" w:eastAsia="仿宋_GB2312"/>
          <w:sz w:val="32"/>
          <w:szCs w:val="32"/>
        </w:rPr>
        <w:t>北京市朝阳区人民政府</w:t>
      </w:r>
    </w:p>
    <w:p>
      <w:pPr>
        <w:tabs>
          <w:tab w:val="left" w:pos="7560"/>
        </w:tabs>
        <w:adjustRightInd w:val="0"/>
        <w:snapToGrid w:val="0"/>
        <w:spacing w:line="600" w:lineRule="exact"/>
        <w:ind w:right="1283" w:rightChars="611"/>
        <w:jc w:val="right"/>
        <w:rPr>
          <w:rFonts w:ascii="仿宋_GB2312" w:eastAsia="仿宋_GB2312"/>
          <w:sz w:val="32"/>
          <w:szCs w:val="32"/>
        </w:rPr>
      </w:pPr>
      <w:r>
        <w:rPr>
          <w:rFonts w:hint="eastAsia" w:ascii="仿宋_GB2312" w:eastAsia="仿宋_GB2312"/>
          <w:sz w:val="32"/>
          <w:szCs w:val="32"/>
        </w:rPr>
        <w:t>2020年11月16日</w:t>
      </w:r>
    </w:p>
    <w:p>
      <w:pPr>
        <w:tabs>
          <w:tab w:val="left" w:pos="7560"/>
        </w:tabs>
        <w:adjustRightInd w:val="0"/>
        <w:snapToGrid w:val="0"/>
        <w:spacing w:line="600" w:lineRule="exact"/>
        <w:ind w:right="1283" w:rightChars="611" w:firstLine="640" w:firstLineChars="200"/>
        <w:rPr>
          <w:rFonts w:ascii="仿宋_GB2312" w:eastAsia="仿宋_GB2312"/>
          <w:sz w:val="32"/>
          <w:szCs w:val="32"/>
        </w:rPr>
      </w:pPr>
    </w:p>
    <w:p>
      <w:pPr>
        <w:tabs>
          <w:tab w:val="left" w:pos="7560"/>
        </w:tabs>
        <w:adjustRightInd w:val="0"/>
        <w:snapToGrid w:val="0"/>
        <w:spacing w:line="600" w:lineRule="exact"/>
        <w:ind w:right="1283" w:rightChars="611" w:firstLine="640" w:firstLineChars="200"/>
        <w:rPr>
          <w:rFonts w:ascii="仿宋_GB2312" w:eastAsia="仿宋_GB2312"/>
          <w:sz w:val="32"/>
          <w:szCs w:val="32"/>
        </w:rPr>
      </w:pPr>
    </w:p>
    <w:p>
      <w:pPr>
        <w:tabs>
          <w:tab w:val="left" w:pos="7560"/>
        </w:tabs>
        <w:adjustRightInd w:val="0"/>
        <w:snapToGrid w:val="0"/>
        <w:spacing w:line="600" w:lineRule="exact"/>
        <w:ind w:right="1283" w:rightChars="611" w:firstLine="640" w:firstLineChars="200"/>
        <w:rPr>
          <w:rFonts w:ascii="仿宋_GB2312" w:eastAsia="仿宋_GB2312"/>
          <w:sz w:val="32"/>
          <w:szCs w:val="32"/>
        </w:rPr>
      </w:pPr>
    </w:p>
    <w:p>
      <w:pPr>
        <w:tabs>
          <w:tab w:val="left" w:pos="7560"/>
        </w:tabs>
        <w:adjustRightInd w:val="0"/>
        <w:snapToGrid w:val="0"/>
        <w:spacing w:line="600" w:lineRule="exact"/>
        <w:ind w:right="1283" w:rightChars="611" w:firstLine="640" w:firstLineChars="200"/>
        <w:rPr>
          <w:rFonts w:ascii="仿宋_GB2312" w:eastAsia="仿宋_GB2312"/>
          <w:sz w:val="32"/>
          <w:szCs w:val="32"/>
        </w:rPr>
      </w:pPr>
    </w:p>
    <w:p>
      <w:pPr>
        <w:tabs>
          <w:tab w:val="left" w:pos="7560"/>
        </w:tabs>
        <w:adjustRightInd w:val="0"/>
        <w:snapToGrid w:val="0"/>
        <w:spacing w:line="600" w:lineRule="exact"/>
        <w:ind w:right="1283" w:rightChars="611" w:firstLine="640" w:firstLineChars="200"/>
        <w:rPr>
          <w:rFonts w:ascii="仿宋_GB2312" w:eastAsia="仿宋_GB2312"/>
          <w:sz w:val="32"/>
          <w:szCs w:val="32"/>
        </w:rPr>
      </w:pPr>
    </w:p>
    <w:sectPr>
      <w:footerReference r:id="rId3" w:type="default"/>
      <w:footerReference r:id="rId4" w:type="even"/>
      <w:pgSz w:w="11906" w:h="16838"/>
      <w:pgMar w:top="2098" w:right="1474" w:bottom="1985" w:left="1588" w:header="85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w:altName w:val="Microsoft Sans Serif"/>
    <w:panose1 w:val="020B0604020202020204"/>
    <w:charset w:val="00"/>
    <w:family w:val="swiss"/>
    <w:pitch w:val="default"/>
    <w:sig w:usb0="00000000" w:usb1="00000000" w:usb2="00000009" w:usb3="00000000" w:csb0="000001FF" w:csb1="00000000"/>
  </w:font>
  <w:font w:name="Verdana">
    <w:altName w:val="Tahoma"/>
    <w:panose1 w:val="020B0604030504040204"/>
    <w:charset w:val="00"/>
    <w:family w:val="swiss"/>
    <w:pitch w:val="default"/>
    <w:sig w:usb0="00000000" w:usb1="00000000" w:usb2="00000010" w:usb3="00000000" w:csb0="0000019F" w:csb1="00000000"/>
  </w:font>
  <w:font w:name="Courier New">
    <w:altName w:val="PMingLiU"/>
    <w:panose1 w:val="02070309020205020404"/>
    <w:charset w:val="00"/>
    <w:family w:val="moder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ppleSystemUIFont">
    <w:altName w:val="MingLiU"/>
    <w:panose1 w:val="00000000000000000000"/>
    <w:charset w:val="00"/>
    <w:family w:val="auto"/>
    <w:pitch w:val="default"/>
    <w:sig w:usb0="00000000" w:usb1="00000000" w:usb2="00000000" w:usb3="00000000" w:csb0="00000001" w:csb1="00000000"/>
  </w:font>
  <w:font w:name=".PingFang SC Regular">
    <w:altName w:val="Corbel"/>
    <w:panose1 w:val="00000000000000000000"/>
    <w:charset w:val="5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80"/>
      <w:ind w:right="315" w:rightChars="150" w:firstLine="280" w:firstLineChars="100"/>
      <w:rPr>
        <w:rStyle w:val="14"/>
        <w:sz w:val="28"/>
      </w:rPr>
    </w:pPr>
    <w:r>
      <w:rPr>
        <w:rStyle w:val="14"/>
        <w:rFonts w:hint="eastAsia"/>
        <w:sz w:val="28"/>
      </w:rPr>
      <w:t xml:space="preserve">— </w:t>
    </w:r>
    <w:r>
      <w:rPr>
        <w:rStyle w:val="14"/>
        <w:rFonts w:asciiTheme="minorEastAsia" w:hAnsiTheme="minorEastAsia" w:eastAsiaTheme="minorEastAsia"/>
        <w:sz w:val="28"/>
      </w:rPr>
      <w:fldChar w:fldCharType="begin"/>
    </w:r>
    <w:r>
      <w:rPr>
        <w:rStyle w:val="14"/>
        <w:rFonts w:asciiTheme="minorEastAsia" w:hAnsiTheme="minorEastAsia" w:eastAsiaTheme="minorEastAsia"/>
        <w:sz w:val="28"/>
      </w:rPr>
      <w:instrText xml:space="preserve">PAGE  </w:instrText>
    </w:r>
    <w:r>
      <w:rPr>
        <w:rStyle w:val="14"/>
        <w:rFonts w:asciiTheme="minorEastAsia" w:hAnsiTheme="minorEastAsia" w:eastAsiaTheme="minorEastAsia"/>
        <w:sz w:val="28"/>
      </w:rPr>
      <w:fldChar w:fldCharType="separate"/>
    </w:r>
    <w:r>
      <w:rPr>
        <w:rStyle w:val="14"/>
        <w:rFonts w:asciiTheme="minorEastAsia" w:hAnsiTheme="minorEastAsia" w:eastAsiaTheme="minorEastAsia"/>
        <w:sz w:val="28"/>
      </w:rPr>
      <w:t>11</w:t>
    </w:r>
    <w:r>
      <w:rPr>
        <w:rStyle w:val="14"/>
        <w:rFonts w:asciiTheme="minorEastAsia" w:hAnsiTheme="minorEastAsia" w:eastAsiaTheme="minorEastAsia"/>
        <w:sz w:val="28"/>
      </w:rPr>
      <w:fldChar w:fldCharType="end"/>
    </w:r>
    <w:r>
      <w:rPr>
        <w:rStyle w:val="14"/>
        <w:rFonts w:hint="eastAsia"/>
        <w:sz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0C"/>
    <w:rsid w:val="00001839"/>
    <w:rsid w:val="0000483F"/>
    <w:rsid w:val="000059A0"/>
    <w:rsid w:val="00006A87"/>
    <w:rsid w:val="0000771F"/>
    <w:rsid w:val="00007A17"/>
    <w:rsid w:val="00007B63"/>
    <w:rsid w:val="00010821"/>
    <w:rsid w:val="00010A4E"/>
    <w:rsid w:val="00012653"/>
    <w:rsid w:val="00012ED0"/>
    <w:rsid w:val="0001300B"/>
    <w:rsid w:val="00017AC9"/>
    <w:rsid w:val="000209E8"/>
    <w:rsid w:val="00021B2E"/>
    <w:rsid w:val="000247B0"/>
    <w:rsid w:val="00024E76"/>
    <w:rsid w:val="00026899"/>
    <w:rsid w:val="00027E1A"/>
    <w:rsid w:val="00031230"/>
    <w:rsid w:val="00033D02"/>
    <w:rsid w:val="000379D3"/>
    <w:rsid w:val="00042FEF"/>
    <w:rsid w:val="00045999"/>
    <w:rsid w:val="00047A06"/>
    <w:rsid w:val="00050D83"/>
    <w:rsid w:val="00053042"/>
    <w:rsid w:val="00053A4A"/>
    <w:rsid w:val="00055552"/>
    <w:rsid w:val="00057457"/>
    <w:rsid w:val="000660BB"/>
    <w:rsid w:val="000661A4"/>
    <w:rsid w:val="000711F3"/>
    <w:rsid w:val="00072F5F"/>
    <w:rsid w:val="0007406E"/>
    <w:rsid w:val="00081DC5"/>
    <w:rsid w:val="00082AF1"/>
    <w:rsid w:val="00087CDB"/>
    <w:rsid w:val="00092D2D"/>
    <w:rsid w:val="000960AB"/>
    <w:rsid w:val="000966F6"/>
    <w:rsid w:val="0009674D"/>
    <w:rsid w:val="000A06BF"/>
    <w:rsid w:val="000A1791"/>
    <w:rsid w:val="000A4D79"/>
    <w:rsid w:val="000A51B6"/>
    <w:rsid w:val="000A7F5D"/>
    <w:rsid w:val="000B38E4"/>
    <w:rsid w:val="000B3EF2"/>
    <w:rsid w:val="000B4D86"/>
    <w:rsid w:val="000B7C8F"/>
    <w:rsid w:val="000C5DAD"/>
    <w:rsid w:val="000F3E0F"/>
    <w:rsid w:val="000F533A"/>
    <w:rsid w:val="001011C1"/>
    <w:rsid w:val="001013F6"/>
    <w:rsid w:val="00114E43"/>
    <w:rsid w:val="00115695"/>
    <w:rsid w:val="001217BD"/>
    <w:rsid w:val="0012230F"/>
    <w:rsid w:val="00126F9E"/>
    <w:rsid w:val="001272C1"/>
    <w:rsid w:val="00127580"/>
    <w:rsid w:val="00127799"/>
    <w:rsid w:val="00130C4C"/>
    <w:rsid w:val="00134B2A"/>
    <w:rsid w:val="00135706"/>
    <w:rsid w:val="001358E1"/>
    <w:rsid w:val="0014127B"/>
    <w:rsid w:val="0014137A"/>
    <w:rsid w:val="001431D0"/>
    <w:rsid w:val="00143358"/>
    <w:rsid w:val="001451B1"/>
    <w:rsid w:val="001466C6"/>
    <w:rsid w:val="0014797F"/>
    <w:rsid w:val="001502D9"/>
    <w:rsid w:val="0015402E"/>
    <w:rsid w:val="00154839"/>
    <w:rsid w:val="00157D5A"/>
    <w:rsid w:val="001621C5"/>
    <w:rsid w:val="00162BFA"/>
    <w:rsid w:val="0016320A"/>
    <w:rsid w:val="00164EF5"/>
    <w:rsid w:val="00165981"/>
    <w:rsid w:val="00165B9D"/>
    <w:rsid w:val="00165FC2"/>
    <w:rsid w:val="00167FBA"/>
    <w:rsid w:val="00171B3B"/>
    <w:rsid w:val="00173F43"/>
    <w:rsid w:val="0017505A"/>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1305"/>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5753"/>
    <w:rsid w:val="00225C41"/>
    <w:rsid w:val="0022640D"/>
    <w:rsid w:val="00227FA6"/>
    <w:rsid w:val="0023582C"/>
    <w:rsid w:val="002445AA"/>
    <w:rsid w:val="00252FC3"/>
    <w:rsid w:val="00254176"/>
    <w:rsid w:val="00256225"/>
    <w:rsid w:val="00257C62"/>
    <w:rsid w:val="00261BF8"/>
    <w:rsid w:val="00271FEC"/>
    <w:rsid w:val="002829C9"/>
    <w:rsid w:val="0028452E"/>
    <w:rsid w:val="00291BF3"/>
    <w:rsid w:val="0029562E"/>
    <w:rsid w:val="002962FF"/>
    <w:rsid w:val="002A0ADE"/>
    <w:rsid w:val="002A240D"/>
    <w:rsid w:val="002A2D13"/>
    <w:rsid w:val="002A4841"/>
    <w:rsid w:val="002B40AE"/>
    <w:rsid w:val="002B6271"/>
    <w:rsid w:val="002C4510"/>
    <w:rsid w:val="002D1699"/>
    <w:rsid w:val="002D41A5"/>
    <w:rsid w:val="002D4EE8"/>
    <w:rsid w:val="002D6D0D"/>
    <w:rsid w:val="002E2CC2"/>
    <w:rsid w:val="002E51F3"/>
    <w:rsid w:val="002F06AD"/>
    <w:rsid w:val="002F0D6A"/>
    <w:rsid w:val="002F1E83"/>
    <w:rsid w:val="002F4888"/>
    <w:rsid w:val="002F55A9"/>
    <w:rsid w:val="002F5AA3"/>
    <w:rsid w:val="00301594"/>
    <w:rsid w:val="00307316"/>
    <w:rsid w:val="003140EF"/>
    <w:rsid w:val="00320792"/>
    <w:rsid w:val="00320C82"/>
    <w:rsid w:val="003225ED"/>
    <w:rsid w:val="00325B36"/>
    <w:rsid w:val="0032726F"/>
    <w:rsid w:val="00330F44"/>
    <w:rsid w:val="0033279D"/>
    <w:rsid w:val="003367A5"/>
    <w:rsid w:val="003413D9"/>
    <w:rsid w:val="003433F9"/>
    <w:rsid w:val="00347213"/>
    <w:rsid w:val="003475A0"/>
    <w:rsid w:val="00354137"/>
    <w:rsid w:val="00355A50"/>
    <w:rsid w:val="003568AD"/>
    <w:rsid w:val="00360A5B"/>
    <w:rsid w:val="003654F6"/>
    <w:rsid w:val="00373453"/>
    <w:rsid w:val="003742CD"/>
    <w:rsid w:val="00376D99"/>
    <w:rsid w:val="003775B4"/>
    <w:rsid w:val="003832C3"/>
    <w:rsid w:val="003865EF"/>
    <w:rsid w:val="00394BD6"/>
    <w:rsid w:val="003A3732"/>
    <w:rsid w:val="003A6DA2"/>
    <w:rsid w:val="003B1EA4"/>
    <w:rsid w:val="003B5A20"/>
    <w:rsid w:val="003B5E13"/>
    <w:rsid w:val="003B6B94"/>
    <w:rsid w:val="003C0045"/>
    <w:rsid w:val="003C06A1"/>
    <w:rsid w:val="003C1E8D"/>
    <w:rsid w:val="003C29E3"/>
    <w:rsid w:val="003C5DD8"/>
    <w:rsid w:val="003C61B3"/>
    <w:rsid w:val="003D4214"/>
    <w:rsid w:val="003D5385"/>
    <w:rsid w:val="003D5A15"/>
    <w:rsid w:val="003D77AA"/>
    <w:rsid w:val="003E24C8"/>
    <w:rsid w:val="003E4A06"/>
    <w:rsid w:val="003F14AA"/>
    <w:rsid w:val="003F385D"/>
    <w:rsid w:val="003F4401"/>
    <w:rsid w:val="004001D5"/>
    <w:rsid w:val="004026DB"/>
    <w:rsid w:val="00407137"/>
    <w:rsid w:val="00407E30"/>
    <w:rsid w:val="004102D0"/>
    <w:rsid w:val="00410B5A"/>
    <w:rsid w:val="00410B67"/>
    <w:rsid w:val="0041387B"/>
    <w:rsid w:val="004166CE"/>
    <w:rsid w:val="00420474"/>
    <w:rsid w:val="004231C3"/>
    <w:rsid w:val="00424356"/>
    <w:rsid w:val="00425424"/>
    <w:rsid w:val="004266C3"/>
    <w:rsid w:val="00427682"/>
    <w:rsid w:val="0043199C"/>
    <w:rsid w:val="00436B00"/>
    <w:rsid w:val="00436BEB"/>
    <w:rsid w:val="00442500"/>
    <w:rsid w:val="00442F60"/>
    <w:rsid w:val="00445917"/>
    <w:rsid w:val="00453C38"/>
    <w:rsid w:val="00454332"/>
    <w:rsid w:val="00461BC7"/>
    <w:rsid w:val="004625D0"/>
    <w:rsid w:val="00463BDB"/>
    <w:rsid w:val="00472117"/>
    <w:rsid w:val="00472528"/>
    <w:rsid w:val="0047329D"/>
    <w:rsid w:val="00473C36"/>
    <w:rsid w:val="0047486E"/>
    <w:rsid w:val="0048037B"/>
    <w:rsid w:val="0048312F"/>
    <w:rsid w:val="004911D0"/>
    <w:rsid w:val="004920C3"/>
    <w:rsid w:val="004927D0"/>
    <w:rsid w:val="00493C03"/>
    <w:rsid w:val="004A14AA"/>
    <w:rsid w:val="004B0204"/>
    <w:rsid w:val="004B2878"/>
    <w:rsid w:val="004B2B00"/>
    <w:rsid w:val="004B2C9F"/>
    <w:rsid w:val="004B2F00"/>
    <w:rsid w:val="004B5D4B"/>
    <w:rsid w:val="004C6707"/>
    <w:rsid w:val="004D2DC9"/>
    <w:rsid w:val="004D71F3"/>
    <w:rsid w:val="004E1200"/>
    <w:rsid w:val="004E2559"/>
    <w:rsid w:val="004E296A"/>
    <w:rsid w:val="004E42B5"/>
    <w:rsid w:val="004E6714"/>
    <w:rsid w:val="00500DDA"/>
    <w:rsid w:val="00506D77"/>
    <w:rsid w:val="0051251F"/>
    <w:rsid w:val="005125F3"/>
    <w:rsid w:val="00515713"/>
    <w:rsid w:val="00515F8E"/>
    <w:rsid w:val="00521E34"/>
    <w:rsid w:val="00530AEB"/>
    <w:rsid w:val="005323C4"/>
    <w:rsid w:val="00535B59"/>
    <w:rsid w:val="00537C7E"/>
    <w:rsid w:val="0054114E"/>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6919"/>
    <w:rsid w:val="00567829"/>
    <w:rsid w:val="0057045A"/>
    <w:rsid w:val="00573ABD"/>
    <w:rsid w:val="00577F23"/>
    <w:rsid w:val="00583C06"/>
    <w:rsid w:val="005866D0"/>
    <w:rsid w:val="005A1B8E"/>
    <w:rsid w:val="005A233D"/>
    <w:rsid w:val="005A5C81"/>
    <w:rsid w:val="005C0C6B"/>
    <w:rsid w:val="005C12C1"/>
    <w:rsid w:val="005C3A5B"/>
    <w:rsid w:val="005D2833"/>
    <w:rsid w:val="005D325A"/>
    <w:rsid w:val="005E11E2"/>
    <w:rsid w:val="005E3AF5"/>
    <w:rsid w:val="005E3F9E"/>
    <w:rsid w:val="005F4717"/>
    <w:rsid w:val="00600103"/>
    <w:rsid w:val="00601522"/>
    <w:rsid w:val="0060244A"/>
    <w:rsid w:val="00602D8B"/>
    <w:rsid w:val="0060526D"/>
    <w:rsid w:val="00605BBF"/>
    <w:rsid w:val="00612079"/>
    <w:rsid w:val="006220A1"/>
    <w:rsid w:val="006243C3"/>
    <w:rsid w:val="00632384"/>
    <w:rsid w:val="00634A68"/>
    <w:rsid w:val="0063740C"/>
    <w:rsid w:val="00643397"/>
    <w:rsid w:val="006463C4"/>
    <w:rsid w:val="00647681"/>
    <w:rsid w:val="00652AED"/>
    <w:rsid w:val="00656E38"/>
    <w:rsid w:val="00662875"/>
    <w:rsid w:val="00664EBF"/>
    <w:rsid w:val="00665FF8"/>
    <w:rsid w:val="00672898"/>
    <w:rsid w:val="00675CC8"/>
    <w:rsid w:val="006805BC"/>
    <w:rsid w:val="006829D0"/>
    <w:rsid w:val="00684164"/>
    <w:rsid w:val="006852A7"/>
    <w:rsid w:val="00685951"/>
    <w:rsid w:val="00691B14"/>
    <w:rsid w:val="006958C8"/>
    <w:rsid w:val="00696EF1"/>
    <w:rsid w:val="006A2FEB"/>
    <w:rsid w:val="006A555E"/>
    <w:rsid w:val="006A69FB"/>
    <w:rsid w:val="006B27D3"/>
    <w:rsid w:val="006B39E3"/>
    <w:rsid w:val="006C1E86"/>
    <w:rsid w:val="006C5090"/>
    <w:rsid w:val="006D0B42"/>
    <w:rsid w:val="006D112E"/>
    <w:rsid w:val="006D1F5F"/>
    <w:rsid w:val="006D2961"/>
    <w:rsid w:val="006D2D61"/>
    <w:rsid w:val="006D3C7D"/>
    <w:rsid w:val="006D472D"/>
    <w:rsid w:val="006E0232"/>
    <w:rsid w:val="006E4299"/>
    <w:rsid w:val="006F5253"/>
    <w:rsid w:val="006F7D03"/>
    <w:rsid w:val="007010FC"/>
    <w:rsid w:val="007040A3"/>
    <w:rsid w:val="00705A8F"/>
    <w:rsid w:val="00707B19"/>
    <w:rsid w:val="007117EC"/>
    <w:rsid w:val="007122C3"/>
    <w:rsid w:val="007146CE"/>
    <w:rsid w:val="00715D7E"/>
    <w:rsid w:val="00716E77"/>
    <w:rsid w:val="0072074E"/>
    <w:rsid w:val="007307DC"/>
    <w:rsid w:val="00731445"/>
    <w:rsid w:val="007324A0"/>
    <w:rsid w:val="00732CA7"/>
    <w:rsid w:val="007341CE"/>
    <w:rsid w:val="007444D8"/>
    <w:rsid w:val="00745C68"/>
    <w:rsid w:val="0075708B"/>
    <w:rsid w:val="00757331"/>
    <w:rsid w:val="00762EEA"/>
    <w:rsid w:val="00765F61"/>
    <w:rsid w:val="00770639"/>
    <w:rsid w:val="0077146E"/>
    <w:rsid w:val="00775107"/>
    <w:rsid w:val="0078168A"/>
    <w:rsid w:val="00782743"/>
    <w:rsid w:val="0078292B"/>
    <w:rsid w:val="007852B4"/>
    <w:rsid w:val="00790A63"/>
    <w:rsid w:val="00793F16"/>
    <w:rsid w:val="0079684D"/>
    <w:rsid w:val="00796982"/>
    <w:rsid w:val="007A25DD"/>
    <w:rsid w:val="007A2868"/>
    <w:rsid w:val="007A3A8F"/>
    <w:rsid w:val="007B5A81"/>
    <w:rsid w:val="007C10AB"/>
    <w:rsid w:val="007C1456"/>
    <w:rsid w:val="007C479D"/>
    <w:rsid w:val="007C7B0E"/>
    <w:rsid w:val="007D0EF3"/>
    <w:rsid w:val="007D4121"/>
    <w:rsid w:val="007D6756"/>
    <w:rsid w:val="007E090B"/>
    <w:rsid w:val="007E37C9"/>
    <w:rsid w:val="007F392A"/>
    <w:rsid w:val="00810137"/>
    <w:rsid w:val="00812231"/>
    <w:rsid w:val="00815381"/>
    <w:rsid w:val="00816485"/>
    <w:rsid w:val="00816A67"/>
    <w:rsid w:val="008172A7"/>
    <w:rsid w:val="008172CD"/>
    <w:rsid w:val="00825312"/>
    <w:rsid w:val="008260CD"/>
    <w:rsid w:val="00832486"/>
    <w:rsid w:val="00832DC5"/>
    <w:rsid w:val="008363B4"/>
    <w:rsid w:val="008506C1"/>
    <w:rsid w:val="00852ACF"/>
    <w:rsid w:val="00854FE4"/>
    <w:rsid w:val="00856824"/>
    <w:rsid w:val="00860664"/>
    <w:rsid w:val="00863F86"/>
    <w:rsid w:val="008713B5"/>
    <w:rsid w:val="00871D11"/>
    <w:rsid w:val="00880AAF"/>
    <w:rsid w:val="00885A4C"/>
    <w:rsid w:val="00885B0A"/>
    <w:rsid w:val="008936B7"/>
    <w:rsid w:val="008A13C3"/>
    <w:rsid w:val="008A232B"/>
    <w:rsid w:val="008A25F9"/>
    <w:rsid w:val="008A531D"/>
    <w:rsid w:val="008A5E30"/>
    <w:rsid w:val="008A636E"/>
    <w:rsid w:val="008B05CF"/>
    <w:rsid w:val="008B2009"/>
    <w:rsid w:val="008B3037"/>
    <w:rsid w:val="008C01EF"/>
    <w:rsid w:val="008C3718"/>
    <w:rsid w:val="008C7742"/>
    <w:rsid w:val="008D3EED"/>
    <w:rsid w:val="008D5592"/>
    <w:rsid w:val="008E1338"/>
    <w:rsid w:val="008E2BC7"/>
    <w:rsid w:val="008E40B4"/>
    <w:rsid w:val="008E60F3"/>
    <w:rsid w:val="008E7E9D"/>
    <w:rsid w:val="008F0815"/>
    <w:rsid w:val="008F214C"/>
    <w:rsid w:val="008F2FA5"/>
    <w:rsid w:val="008F360A"/>
    <w:rsid w:val="008F4213"/>
    <w:rsid w:val="008F6303"/>
    <w:rsid w:val="00900CEC"/>
    <w:rsid w:val="00901488"/>
    <w:rsid w:val="00901596"/>
    <w:rsid w:val="00902677"/>
    <w:rsid w:val="00905F41"/>
    <w:rsid w:val="009063E8"/>
    <w:rsid w:val="00907681"/>
    <w:rsid w:val="009126E0"/>
    <w:rsid w:val="0091472F"/>
    <w:rsid w:val="009150A3"/>
    <w:rsid w:val="0091534D"/>
    <w:rsid w:val="0091573F"/>
    <w:rsid w:val="00915EA5"/>
    <w:rsid w:val="00916CA2"/>
    <w:rsid w:val="00927526"/>
    <w:rsid w:val="00933981"/>
    <w:rsid w:val="00936539"/>
    <w:rsid w:val="00936708"/>
    <w:rsid w:val="0093725E"/>
    <w:rsid w:val="0094048F"/>
    <w:rsid w:val="00941B92"/>
    <w:rsid w:val="009433AD"/>
    <w:rsid w:val="009508A5"/>
    <w:rsid w:val="009554E2"/>
    <w:rsid w:val="009634E4"/>
    <w:rsid w:val="00965F2A"/>
    <w:rsid w:val="00967AFC"/>
    <w:rsid w:val="00972741"/>
    <w:rsid w:val="00973441"/>
    <w:rsid w:val="00974688"/>
    <w:rsid w:val="00980293"/>
    <w:rsid w:val="0098157B"/>
    <w:rsid w:val="00982233"/>
    <w:rsid w:val="00983D76"/>
    <w:rsid w:val="00983EB7"/>
    <w:rsid w:val="00985DC0"/>
    <w:rsid w:val="00990FA6"/>
    <w:rsid w:val="009913BC"/>
    <w:rsid w:val="009936E0"/>
    <w:rsid w:val="00994FC0"/>
    <w:rsid w:val="00997C44"/>
    <w:rsid w:val="009A2067"/>
    <w:rsid w:val="009A32F9"/>
    <w:rsid w:val="009A7857"/>
    <w:rsid w:val="009B0CE0"/>
    <w:rsid w:val="009B17C3"/>
    <w:rsid w:val="009B30B7"/>
    <w:rsid w:val="009B52DD"/>
    <w:rsid w:val="009C1329"/>
    <w:rsid w:val="009C3339"/>
    <w:rsid w:val="009C4897"/>
    <w:rsid w:val="009C4F3B"/>
    <w:rsid w:val="009C66B9"/>
    <w:rsid w:val="009C67E5"/>
    <w:rsid w:val="009D24AD"/>
    <w:rsid w:val="009D57F5"/>
    <w:rsid w:val="009E2937"/>
    <w:rsid w:val="009E3525"/>
    <w:rsid w:val="009F024C"/>
    <w:rsid w:val="009F25FB"/>
    <w:rsid w:val="009F2FE1"/>
    <w:rsid w:val="009F3B10"/>
    <w:rsid w:val="009F697C"/>
    <w:rsid w:val="009F721B"/>
    <w:rsid w:val="00A017F3"/>
    <w:rsid w:val="00A0701B"/>
    <w:rsid w:val="00A07922"/>
    <w:rsid w:val="00A07CC1"/>
    <w:rsid w:val="00A122B3"/>
    <w:rsid w:val="00A1614D"/>
    <w:rsid w:val="00A16CE6"/>
    <w:rsid w:val="00A17A0E"/>
    <w:rsid w:val="00A21E89"/>
    <w:rsid w:val="00A24E66"/>
    <w:rsid w:val="00A27E92"/>
    <w:rsid w:val="00A32BE1"/>
    <w:rsid w:val="00A33559"/>
    <w:rsid w:val="00A5198F"/>
    <w:rsid w:val="00A53BFD"/>
    <w:rsid w:val="00A54D7D"/>
    <w:rsid w:val="00A57E32"/>
    <w:rsid w:val="00A6053A"/>
    <w:rsid w:val="00A626CA"/>
    <w:rsid w:val="00A62CCF"/>
    <w:rsid w:val="00A6365D"/>
    <w:rsid w:val="00A6604A"/>
    <w:rsid w:val="00A66573"/>
    <w:rsid w:val="00A66F67"/>
    <w:rsid w:val="00A67D87"/>
    <w:rsid w:val="00A71143"/>
    <w:rsid w:val="00A71DC6"/>
    <w:rsid w:val="00A72E1C"/>
    <w:rsid w:val="00A74073"/>
    <w:rsid w:val="00A76FCB"/>
    <w:rsid w:val="00A8158D"/>
    <w:rsid w:val="00A82671"/>
    <w:rsid w:val="00A91621"/>
    <w:rsid w:val="00A91A5B"/>
    <w:rsid w:val="00AA0247"/>
    <w:rsid w:val="00AA086C"/>
    <w:rsid w:val="00AA09D2"/>
    <w:rsid w:val="00AA0AB7"/>
    <w:rsid w:val="00AA1FE8"/>
    <w:rsid w:val="00AA6507"/>
    <w:rsid w:val="00AB4B3D"/>
    <w:rsid w:val="00AB5038"/>
    <w:rsid w:val="00AB6DA4"/>
    <w:rsid w:val="00AC1371"/>
    <w:rsid w:val="00AC1937"/>
    <w:rsid w:val="00AC2208"/>
    <w:rsid w:val="00AC2CF7"/>
    <w:rsid w:val="00AC3AE4"/>
    <w:rsid w:val="00AC544D"/>
    <w:rsid w:val="00AD1034"/>
    <w:rsid w:val="00AD1F27"/>
    <w:rsid w:val="00AD5B23"/>
    <w:rsid w:val="00AD5CF9"/>
    <w:rsid w:val="00AE462C"/>
    <w:rsid w:val="00AE683A"/>
    <w:rsid w:val="00AF2AFF"/>
    <w:rsid w:val="00AF39AE"/>
    <w:rsid w:val="00AF7E85"/>
    <w:rsid w:val="00B02512"/>
    <w:rsid w:val="00B03809"/>
    <w:rsid w:val="00B049D6"/>
    <w:rsid w:val="00B05C21"/>
    <w:rsid w:val="00B063F8"/>
    <w:rsid w:val="00B066F3"/>
    <w:rsid w:val="00B10E7C"/>
    <w:rsid w:val="00B1124E"/>
    <w:rsid w:val="00B20F24"/>
    <w:rsid w:val="00B21561"/>
    <w:rsid w:val="00B2177D"/>
    <w:rsid w:val="00B25290"/>
    <w:rsid w:val="00B26DD3"/>
    <w:rsid w:val="00B30E85"/>
    <w:rsid w:val="00B33647"/>
    <w:rsid w:val="00B34675"/>
    <w:rsid w:val="00B35A46"/>
    <w:rsid w:val="00B362FD"/>
    <w:rsid w:val="00B45586"/>
    <w:rsid w:val="00B515AF"/>
    <w:rsid w:val="00B51C2F"/>
    <w:rsid w:val="00B54EEF"/>
    <w:rsid w:val="00B55A49"/>
    <w:rsid w:val="00B57B94"/>
    <w:rsid w:val="00B76A26"/>
    <w:rsid w:val="00B80155"/>
    <w:rsid w:val="00B8206A"/>
    <w:rsid w:val="00B834BC"/>
    <w:rsid w:val="00B909D4"/>
    <w:rsid w:val="00B91D54"/>
    <w:rsid w:val="00B92268"/>
    <w:rsid w:val="00B92512"/>
    <w:rsid w:val="00B93A7D"/>
    <w:rsid w:val="00B94251"/>
    <w:rsid w:val="00BA35CC"/>
    <w:rsid w:val="00BA5861"/>
    <w:rsid w:val="00BA6092"/>
    <w:rsid w:val="00BB535D"/>
    <w:rsid w:val="00BB5478"/>
    <w:rsid w:val="00BB5768"/>
    <w:rsid w:val="00BD07FD"/>
    <w:rsid w:val="00BD3801"/>
    <w:rsid w:val="00BD5C3F"/>
    <w:rsid w:val="00BD7603"/>
    <w:rsid w:val="00BD79EA"/>
    <w:rsid w:val="00BE2C42"/>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211D8"/>
    <w:rsid w:val="00C31C2C"/>
    <w:rsid w:val="00C32847"/>
    <w:rsid w:val="00C433EC"/>
    <w:rsid w:val="00C43B5E"/>
    <w:rsid w:val="00C51173"/>
    <w:rsid w:val="00C51EE3"/>
    <w:rsid w:val="00C54426"/>
    <w:rsid w:val="00C6635F"/>
    <w:rsid w:val="00C6637E"/>
    <w:rsid w:val="00C74FED"/>
    <w:rsid w:val="00C83EE7"/>
    <w:rsid w:val="00C865E7"/>
    <w:rsid w:val="00CA12B4"/>
    <w:rsid w:val="00CA16AE"/>
    <w:rsid w:val="00CA63F1"/>
    <w:rsid w:val="00CB7F8A"/>
    <w:rsid w:val="00CC3F10"/>
    <w:rsid w:val="00CC5303"/>
    <w:rsid w:val="00CD163A"/>
    <w:rsid w:val="00CD408C"/>
    <w:rsid w:val="00CD4F65"/>
    <w:rsid w:val="00CD5979"/>
    <w:rsid w:val="00CD73BE"/>
    <w:rsid w:val="00CE6C16"/>
    <w:rsid w:val="00CF07D3"/>
    <w:rsid w:val="00CF3D50"/>
    <w:rsid w:val="00CF406A"/>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76DA"/>
    <w:rsid w:val="00D32207"/>
    <w:rsid w:val="00D3341E"/>
    <w:rsid w:val="00D33FDD"/>
    <w:rsid w:val="00D36920"/>
    <w:rsid w:val="00D41C4A"/>
    <w:rsid w:val="00D4286B"/>
    <w:rsid w:val="00D50976"/>
    <w:rsid w:val="00D51CC8"/>
    <w:rsid w:val="00D54ADD"/>
    <w:rsid w:val="00D579FB"/>
    <w:rsid w:val="00D661AF"/>
    <w:rsid w:val="00D66FC9"/>
    <w:rsid w:val="00D674D4"/>
    <w:rsid w:val="00D72DB4"/>
    <w:rsid w:val="00D75CFF"/>
    <w:rsid w:val="00D768CC"/>
    <w:rsid w:val="00D80A0C"/>
    <w:rsid w:val="00D8150C"/>
    <w:rsid w:val="00D928B1"/>
    <w:rsid w:val="00DA209B"/>
    <w:rsid w:val="00DA293D"/>
    <w:rsid w:val="00DA4B01"/>
    <w:rsid w:val="00DA4F1B"/>
    <w:rsid w:val="00DB0273"/>
    <w:rsid w:val="00DB04A4"/>
    <w:rsid w:val="00DB1C85"/>
    <w:rsid w:val="00DB250D"/>
    <w:rsid w:val="00DB2DBD"/>
    <w:rsid w:val="00DB31BB"/>
    <w:rsid w:val="00DB46FA"/>
    <w:rsid w:val="00DB630C"/>
    <w:rsid w:val="00DC0CC9"/>
    <w:rsid w:val="00DD4A2D"/>
    <w:rsid w:val="00DD56F3"/>
    <w:rsid w:val="00DE6B94"/>
    <w:rsid w:val="00DE6D73"/>
    <w:rsid w:val="00DE74A5"/>
    <w:rsid w:val="00DE75EE"/>
    <w:rsid w:val="00DE796B"/>
    <w:rsid w:val="00DF1BCA"/>
    <w:rsid w:val="00DF354E"/>
    <w:rsid w:val="00E03145"/>
    <w:rsid w:val="00E037C7"/>
    <w:rsid w:val="00E04533"/>
    <w:rsid w:val="00E05719"/>
    <w:rsid w:val="00E126F0"/>
    <w:rsid w:val="00E236F9"/>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87B"/>
    <w:rsid w:val="00E728F5"/>
    <w:rsid w:val="00E734CF"/>
    <w:rsid w:val="00E7531E"/>
    <w:rsid w:val="00E76289"/>
    <w:rsid w:val="00E764AE"/>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B5B24"/>
    <w:rsid w:val="00EC043A"/>
    <w:rsid w:val="00EC73E3"/>
    <w:rsid w:val="00ED4380"/>
    <w:rsid w:val="00ED4CE4"/>
    <w:rsid w:val="00ED54AD"/>
    <w:rsid w:val="00ED6092"/>
    <w:rsid w:val="00ED7C65"/>
    <w:rsid w:val="00EE07A9"/>
    <w:rsid w:val="00EE0D4D"/>
    <w:rsid w:val="00EE24DF"/>
    <w:rsid w:val="00EE2DA5"/>
    <w:rsid w:val="00EE3BB7"/>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86C"/>
    <w:rsid w:val="00F1507E"/>
    <w:rsid w:val="00F15AF1"/>
    <w:rsid w:val="00F175D7"/>
    <w:rsid w:val="00F1770B"/>
    <w:rsid w:val="00F178E2"/>
    <w:rsid w:val="00F20810"/>
    <w:rsid w:val="00F21864"/>
    <w:rsid w:val="00F227E6"/>
    <w:rsid w:val="00F22FBF"/>
    <w:rsid w:val="00F243D7"/>
    <w:rsid w:val="00F2445E"/>
    <w:rsid w:val="00F24EB5"/>
    <w:rsid w:val="00F2708C"/>
    <w:rsid w:val="00F31D48"/>
    <w:rsid w:val="00F33956"/>
    <w:rsid w:val="00F3608B"/>
    <w:rsid w:val="00F430B4"/>
    <w:rsid w:val="00F56D73"/>
    <w:rsid w:val="00F61D78"/>
    <w:rsid w:val="00F655F8"/>
    <w:rsid w:val="00F65B49"/>
    <w:rsid w:val="00F6672A"/>
    <w:rsid w:val="00F71E84"/>
    <w:rsid w:val="00F74472"/>
    <w:rsid w:val="00F76676"/>
    <w:rsid w:val="00F774B8"/>
    <w:rsid w:val="00F8143F"/>
    <w:rsid w:val="00F86AB0"/>
    <w:rsid w:val="00F86F52"/>
    <w:rsid w:val="00F91609"/>
    <w:rsid w:val="00F95395"/>
    <w:rsid w:val="00F96E20"/>
    <w:rsid w:val="00FA0321"/>
    <w:rsid w:val="00FA2133"/>
    <w:rsid w:val="00FA4925"/>
    <w:rsid w:val="00FA663A"/>
    <w:rsid w:val="00FB1C50"/>
    <w:rsid w:val="00FB5DE4"/>
    <w:rsid w:val="00FB6901"/>
    <w:rsid w:val="00FC072D"/>
    <w:rsid w:val="00FC19D2"/>
    <w:rsid w:val="00FC1F5D"/>
    <w:rsid w:val="00FC32AA"/>
    <w:rsid w:val="00FC6E84"/>
    <w:rsid w:val="00FD0289"/>
    <w:rsid w:val="00FD5A8A"/>
    <w:rsid w:val="00FD7176"/>
    <w:rsid w:val="00FE0994"/>
    <w:rsid w:val="00FE2452"/>
    <w:rsid w:val="00FE3140"/>
    <w:rsid w:val="00FE48EF"/>
    <w:rsid w:val="00FE7CA8"/>
    <w:rsid w:val="00FF3547"/>
    <w:rsid w:val="00FF380F"/>
    <w:rsid w:val="00FF3B80"/>
    <w:rsid w:val="00FF3D23"/>
    <w:rsid w:val="00FF419A"/>
    <w:rsid w:val="65AF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41"/>
    <w:uiPriority w:val="0"/>
    <w:pPr>
      <w:shd w:val="clear" w:color="auto" w:fill="000080"/>
    </w:pPr>
    <w:rPr>
      <w:sz w:val="32"/>
      <w:szCs w:val="20"/>
    </w:rPr>
  </w:style>
  <w:style w:type="paragraph" w:styleId="3">
    <w:name w:val="Body Text"/>
    <w:basedOn w:val="1"/>
    <w:link w:val="36"/>
    <w:uiPriority w:val="0"/>
    <w:pPr>
      <w:spacing w:line="620" w:lineRule="exact"/>
    </w:pPr>
    <w:rPr>
      <w:rFonts w:ascii="仿宋_GB2312" w:eastAsia="仿宋_GB2312"/>
      <w:sz w:val="32"/>
    </w:rPr>
  </w:style>
  <w:style w:type="paragraph" w:styleId="4">
    <w:name w:val="Body Text Indent"/>
    <w:basedOn w:val="1"/>
    <w:uiPriority w:val="0"/>
    <w:pPr>
      <w:spacing w:line="600" w:lineRule="exact"/>
      <w:ind w:firstLine="648" w:firstLineChars="200"/>
    </w:pPr>
    <w:rPr>
      <w:rFonts w:eastAsia="仿宋_GB2312"/>
      <w:bCs/>
      <w:spacing w:val="2"/>
      <w:sz w:val="32"/>
    </w:rPr>
  </w:style>
  <w:style w:type="paragraph" w:styleId="5">
    <w:name w:val="Plain Text"/>
    <w:basedOn w:val="1"/>
    <w:link w:val="24"/>
    <w:uiPriority w:val="0"/>
    <w:pPr>
      <w:jc w:val="left"/>
    </w:pPr>
    <w:rPr>
      <w:rFonts w:eastAsia="仿宋_GB2312"/>
      <w:sz w:val="32"/>
      <w:szCs w:val="32"/>
    </w:rPr>
  </w:style>
  <w:style w:type="paragraph" w:styleId="6">
    <w:name w:val="Date"/>
    <w:basedOn w:val="1"/>
    <w:next w:val="1"/>
    <w:link w:val="23"/>
    <w:uiPriority w:val="0"/>
    <w:pPr>
      <w:ind w:left="100" w:leftChars="2500"/>
    </w:pPr>
  </w:style>
  <w:style w:type="paragraph" w:styleId="7">
    <w:name w:val="Body Text Indent 2"/>
    <w:basedOn w:val="1"/>
    <w:link w:val="29"/>
    <w:qFormat/>
    <w:uiPriority w:val="0"/>
    <w:pPr>
      <w:spacing w:after="120" w:line="480" w:lineRule="auto"/>
      <w:ind w:left="420" w:leftChars="200"/>
    </w:pPr>
  </w:style>
  <w:style w:type="paragraph" w:styleId="8">
    <w:name w:val="Balloon Text"/>
    <w:basedOn w:val="1"/>
    <w:link w:val="33"/>
    <w:uiPriority w:val="99"/>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rFonts w:cs="Times New Roman"/>
      <w:b/>
      <w:bCs/>
    </w:rPr>
  </w:style>
  <w:style w:type="character" w:styleId="14">
    <w:name w:val="page number"/>
    <w:basedOn w:val="12"/>
    <w:qFormat/>
    <w:uiPriority w:val="0"/>
  </w:style>
  <w:style w:type="character" w:customStyle="1" w:styleId="16">
    <w:name w:val="页脚 Char"/>
    <w:basedOn w:val="12"/>
    <w:link w:val="9"/>
    <w:qFormat/>
    <w:uiPriority w:val="0"/>
    <w:rPr>
      <w:rFonts w:eastAsia="宋体"/>
      <w:kern w:val="2"/>
      <w:sz w:val="18"/>
      <w:szCs w:val="18"/>
      <w:lang w:val="en-US" w:eastAsia="zh-CN" w:bidi="ar-SA"/>
    </w:rPr>
  </w:style>
  <w:style w:type="paragraph" w:customStyle="1" w:styleId="17">
    <w:name w:val="！正文"/>
    <w:basedOn w:val="1"/>
    <w:next w:val="9"/>
    <w:link w:val="18"/>
    <w:qFormat/>
    <w:uiPriority w:val="99"/>
    <w:pPr>
      <w:ind w:firstLine="200" w:firstLineChars="200"/>
    </w:pPr>
    <w:rPr>
      <w:rFonts w:eastAsia="仿宋_GB2312"/>
      <w:sz w:val="32"/>
      <w:szCs w:val="32"/>
    </w:rPr>
  </w:style>
  <w:style w:type="character" w:customStyle="1" w:styleId="18">
    <w:name w:val="！正文 Char"/>
    <w:basedOn w:val="12"/>
    <w:link w:val="17"/>
    <w:uiPriority w:val="99"/>
    <w:rPr>
      <w:rFonts w:eastAsia="仿宋_GB2312"/>
      <w:kern w:val="2"/>
      <w:sz w:val="32"/>
      <w:szCs w:val="32"/>
      <w:lang w:val="en-US" w:eastAsia="zh-CN" w:bidi="ar-SA"/>
    </w:rPr>
  </w:style>
  <w:style w:type="character" w:customStyle="1" w:styleId="19">
    <w:name w:val="页眉 Char"/>
    <w:basedOn w:val="12"/>
    <w:link w:val="10"/>
    <w:uiPriority w:val="99"/>
    <w:rPr>
      <w:rFonts w:eastAsia="宋体"/>
      <w:kern w:val="2"/>
      <w:sz w:val="18"/>
      <w:szCs w:val="18"/>
      <w:lang w:val="en-US" w:eastAsia="zh-CN" w:bidi="ar-SA"/>
    </w:rPr>
  </w:style>
  <w:style w:type="character" w:customStyle="1" w:styleId="20">
    <w:name w:val="公文标题2 Char"/>
    <w:basedOn w:val="12"/>
    <w:uiPriority w:val="0"/>
    <w:rPr>
      <w:rFonts w:eastAsia="楷体_GB2312"/>
      <w:bCs/>
      <w:kern w:val="30"/>
      <w:sz w:val="30"/>
      <w:szCs w:val="32"/>
      <w:lang w:val="en-US" w:eastAsia="zh-CN" w:bidi="ar-SA"/>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样式1"/>
    <w:basedOn w:val="1"/>
    <w:qFormat/>
    <w:uiPriority w:val="0"/>
    <w:pPr>
      <w:spacing w:line="600" w:lineRule="exact"/>
      <w:ind w:firstLine="640" w:firstLineChars="200"/>
    </w:pPr>
    <w:rPr>
      <w:rFonts w:ascii="仿宋" w:hAnsi="仿宋" w:eastAsia="仿宋"/>
      <w:sz w:val="32"/>
    </w:rPr>
  </w:style>
  <w:style w:type="character" w:customStyle="1" w:styleId="23">
    <w:name w:val="日期 Char"/>
    <w:basedOn w:val="12"/>
    <w:link w:val="6"/>
    <w:uiPriority w:val="0"/>
    <w:rPr>
      <w:kern w:val="2"/>
      <w:sz w:val="21"/>
      <w:szCs w:val="24"/>
    </w:rPr>
  </w:style>
  <w:style w:type="character" w:customStyle="1" w:styleId="24">
    <w:name w:val="纯文本 Char"/>
    <w:basedOn w:val="12"/>
    <w:link w:val="5"/>
    <w:uiPriority w:val="99"/>
    <w:rPr>
      <w:rFonts w:eastAsia="仿宋_GB2312"/>
      <w:kern w:val="2"/>
      <w:sz w:val="32"/>
      <w:szCs w:val="32"/>
    </w:rPr>
  </w:style>
  <w:style w:type="paragraph" w:customStyle="1" w:styleId="25">
    <w:name w:val="List Paragraph1"/>
    <w:basedOn w:val="1"/>
    <w:uiPriority w:val="99"/>
    <w:pPr>
      <w:ind w:firstLine="420" w:firstLineChars="200"/>
    </w:pPr>
    <w:rPr>
      <w:rFonts w:ascii="Calibri" w:hAnsi="Calibri" w:cs="Calibri"/>
      <w:szCs w:val="21"/>
    </w:rPr>
  </w:style>
  <w:style w:type="character" w:customStyle="1" w:styleId="26">
    <w:name w:val="C-正文 Char"/>
    <w:basedOn w:val="12"/>
    <w:link w:val="27"/>
    <w:locked/>
    <w:uiPriority w:val="99"/>
    <w:rPr>
      <w:rFonts w:eastAsia="仿宋_GB2312"/>
      <w:sz w:val="32"/>
      <w:szCs w:val="32"/>
    </w:rPr>
  </w:style>
  <w:style w:type="paragraph" w:customStyle="1" w:styleId="27">
    <w:name w:val="C-正文"/>
    <w:basedOn w:val="1"/>
    <w:link w:val="26"/>
    <w:uiPriority w:val="99"/>
    <w:pPr>
      <w:spacing w:line="560" w:lineRule="exact"/>
      <w:ind w:firstLine="200" w:firstLineChars="200"/>
    </w:pPr>
    <w:rPr>
      <w:rFonts w:eastAsia="仿宋_GB2312"/>
      <w:kern w:val="0"/>
      <w:sz w:val="32"/>
      <w:szCs w:val="32"/>
    </w:rPr>
  </w:style>
  <w:style w:type="paragraph" w:customStyle="1" w:styleId="28">
    <w:name w:val="List Paragraph"/>
    <w:basedOn w:val="1"/>
    <w:qFormat/>
    <w:uiPriority w:val="99"/>
    <w:pPr>
      <w:ind w:firstLine="420" w:firstLineChars="200"/>
    </w:pPr>
    <w:rPr>
      <w:rFonts w:ascii="Calibri" w:hAnsi="Calibri" w:cs="Calibri"/>
      <w:szCs w:val="21"/>
    </w:rPr>
  </w:style>
  <w:style w:type="character" w:customStyle="1" w:styleId="29">
    <w:name w:val="正文文本缩进 2 Char"/>
    <w:basedOn w:val="12"/>
    <w:link w:val="7"/>
    <w:qFormat/>
    <w:uiPriority w:val="0"/>
    <w:rPr>
      <w:kern w:val="2"/>
      <w:sz w:val="21"/>
      <w:szCs w:val="24"/>
    </w:rPr>
  </w:style>
  <w:style w:type="paragraph" w:customStyle="1" w:styleId="30">
    <w:name w:val="公文正文"/>
    <w:basedOn w:val="1"/>
    <w:link w:val="31"/>
    <w:qFormat/>
    <w:uiPriority w:val="99"/>
    <w:pPr>
      <w:pBdr>
        <w:top w:val="none" w:color="000000" w:sz="0" w:space="0"/>
        <w:left w:val="none" w:color="000000" w:sz="0" w:space="0"/>
        <w:bottom w:val="none" w:color="000000" w:sz="0" w:space="11"/>
        <w:right w:val="none" w:color="000000" w:sz="0" w:space="0"/>
      </w:pBdr>
      <w:spacing w:line="620" w:lineRule="exact"/>
      <w:ind w:firstLine="640" w:firstLineChars="200"/>
    </w:pPr>
    <w:rPr>
      <w:rFonts w:ascii="楷体_GB2312" w:eastAsia="仿宋_GB2312"/>
      <w:sz w:val="32"/>
      <w:szCs w:val="32"/>
    </w:rPr>
  </w:style>
  <w:style w:type="character" w:customStyle="1" w:styleId="31">
    <w:name w:val="公文正文 Char"/>
    <w:basedOn w:val="12"/>
    <w:link w:val="30"/>
    <w:qFormat/>
    <w:uiPriority w:val="99"/>
    <w:rPr>
      <w:rFonts w:ascii="楷体_GB2312" w:eastAsia="仿宋_GB2312"/>
      <w:kern w:val="2"/>
      <w:sz w:val="32"/>
      <w:szCs w:val="32"/>
    </w:rPr>
  </w:style>
  <w:style w:type="character" w:customStyle="1" w:styleId="32">
    <w:name w:val="bjh-p"/>
    <w:basedOn w:val="12"/>
    <w:uiPriority w:val="0"/>
  </w:style>
  <w:style w:type="character" w:customStyle="1" w:styleId="33">
    <w:name w:val="批注框文本 Char"/>
    <w:basedOn w:val="12"/>
    <w:link w:val="8"/>
    <w:semiHidden/>
    <w:uiPriority w:val="99"/>
    <w:rPr>
      <w:kern w:val="2"/>
      <w:sz w:val="18"/>
      <w:szCs w:val="18"/>
    </w:rPr>
  </w:style>
  <w:style w:type="character" w:customStyle="1" w:styleId="34">
    <w:name w:val="页脚 字符"/>
    <w:uiPriority w:val="99"/>
    <w:rPr>
      <w:rFonts w:ascii="仿宋_GB2312" w:hAnsi="Times New Roman" w:eastAsia="仿宋_GB2312" w:cs="Times New Roman"/>
      <w:kern w:val="2"/>
      <w:sz w:val="18"/>
      <w:szCs w:val="18"/>
    </w:rPr>
  </w:style>
  <w:style w:type="character" w:customStyle="1" w:styleId="35">
    <w:name w:val="页眉 字符"/>
    <w:uiPriority w:val="99"/>
    <w:rPr>
      <w:rFonts w:ascii="Tahoma" w:hAnsi="Tahoma" w:eastAsia="仿宋_GB2312" w:cs="Times New Roman"/>
      <w:b/>
      <w:kern w:val="2"/>
      <w:sz w:val="18"/>
      <w:szCs w:val="18"/>
    </w:rPr>
  </w:style>
  <w:style w:type="character" w:customStyle="1" w:styleId="36">
    <w:name w:val="正文文本 Char"/>
    <w:link w:val="3"/>
    <w:uiPriority w:val="0"/>
    <w:rPr>
      <w:rFonts w:ascii="仿宋_GB2312" w:eastAsia="仿宋_GB2312"/>
      <w:kern w:val="2"/>
      <w:sz w:val="32"/>
      <w:szCs w:val="24"/>
    </w:rPr>
  </w:style>
  <w:style w:type="character" w:customStyle="1" w:styleId="37">
    <w:name w:val="纯文本 字符"/>
    <w:uiPriority w:val="0"/>
    <w:rPr>
      <w:rFonts w:ascii="宋体" w:hAnsi="宋体" w:eastAsia="宋体" w:cs="Times New Roman"/>
      <w:color w:val="000000"/>
      <w:kern w:val="2"/>
      <w:sz w:val="21"/>
      <w:szCs w:val="21"/>
    </w:rPr>
  </w:style>
  <w:style w:type="paragraph" w:customStyle="1" w:styleId="38">
    <w:name w:val="样式 样式 四号 行距: 固定值 25 磅 + 首行缩进:  2 字符"/>
    <w:basedOn w:val="1"/>
    <w:uiPriority w:val="0"/>
    <w:pPr>
      <w:spacing w:line="500" w:lineRule="atLeast"/>
      <w:ind w:firstLine="560" w:firstLineChars="200"/>
    </w:pPr>
    <w:rPr>
      <w:sz w:val="28"/>
      <w:szCs w:val="28"/>
    </w:rPr>
  </w:style>
  <w:style w:type="character" w:customStyle="1" w:styleId="39">
    <w:name w:val="font41"/>
    <w:uiPriority w:val="0"/>
    <w:rPr>
      <w:rFonts w:hint="eastAsia" w:ascii="宋体" w:hAnsi="宋体" w:eastAsia="宋体" w:cs="宋体"/>
      <w:b/>
      <w:color w:val="000000"/>
      <w:sz w:val="24"/>
      <w:szCs w:val="24"/>
      <w:u w:val="none"/>
    </w:rPr>
  </w:style>
  <w:style w:type="character" w:customStyle="1" w:styleId="40">
    <w:name w:val="font31"/>
    <w:uiPriority w:val="0"/>
    <w:rPr>
      <w:rFonts w:hint="default" w:ascii="Times New Roman" w:hAnsi="Times New Roman" w:eastAsia="宋体" w:cs="Times New Roman"/>
      <w:b/>
      <w:color w:val="000000"/>
      <w:sz w:val="24"/>
      <w:szCs w:val="24"/>
      <w:u w:val="none"/>
    </w:rPr>
  </w:style>
  <w:style w:type="character" w:customStyle="1" w:styleId="41">
    <w:name w:val="文档结构图 Char"/>
    <w:basedOn w:val="12"/>
    <w:link w:val="2"/>
    <w:uiPriority w:val="0"/>
    <w:rPr>
      <w:kern w:val="2"/>
      <w:sz w:val="32"/>
      <w:shd w:val="clear" w:color="auto" w:fill="000080"/>
    </w:rPr>
  </w:style>
  <w:style w:type="paragraph" w:customStyle="1" w:styleId="42">
    <w:name w:val="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Char11"/>
    <w:basedOn w:val="1"/>
    <w:uiPriority w:val="0"/>
    <w:rPr>
      <w:rFonts w:ascii="宋体" w:hAnsi="宋体" w:cs="Courier New"/>
      <w:sz w:val="32"/>
      <w:szCs w:val="32"/>
    </w:rPr>
  </w:style>
  <w:style w:type="paragraph" w:customStyle="1" w:styleId="45">
    <w:name w:val="Char Char Char1 Char"/>
    <w:basedOn w:val="1"/>
    <w:uiPriority w:val="0"/>
    <w:rPr>
      <w:rFonts w:ascii="Tahoma" w:hAnsi="Tahoma"/>
      <w:b/>
      <w:kern w:val="0"/>
      <w:sz w:val="24"/>
    </w:rPr>
  </w:style>
  <w:style w:type="paragraph" w:customStyle="1" w:styleId="46">
    <w:name w:val="Char1"/>
    <w:basedOn w:val="1"/>
    <w:uiPriority w:val="0"/>
    <w:rPr>
      <w:rFonts w:ascii="宋体" w:hAnsi="宋体" w:eastAsia="楷体_GB2312" w:cs="Courier New"/>
      <w:sz w:val="32"/>
      <w:szCs w:val="32"/>
    </w:rPr>
  </w:style>
  <w:style w:type="paragraph" w:customStyle="1" w:styleId="47">
    <w:name w:val="Char1 Char Char Char"/>
    <w:basedOn w:val="1"/>
    <w:uiPriority w:val="0"/>
    <w:rPr>
      <w:rFonts w:ascii="Tahoma" w:hAnsi="Tahoma"/>
      <w:sz w:val="24"/>
      <w:szCs w:val="20"/>
    </w:rPr>
  </w:style>
  <w:style w:type="paragraph" w:customStyle="1" w:styleId="48">
    <w:name w:val="Char Char Char Char"/>
    <w:basedOn w:val="2"/>
    <w:uiPriority w:val="0"/>
    <w:pPr>
      <w:adjustRightInd w:val="0"/>
      <w:spacing w:line="436" w:lineRule="exact"/>
      <w:ind w:left="357"/>
      <w:jc w:val="left"/>
      <w:outlineLvl w:val="3"/>
    </w:pPr>
    <w:rPr>
      <w:rFonts w:ascii="Tahoma" w:hAnsi="Tahoma"/>
      <w:b/>
      <w:sz w:val="24"/>
      <w:szCs w:val="24"/>
    </w:rPr>
  </w:style>
  <w:style w:type="paragraph" w:customStyle="1" w:styleId="49">
    <w:name w:val="大标题"/>
    <w:basedOn w:val="1"/>
    <w:uiPriority w:val="0"/>
    <w:pPr>
      <w:spacing w:line="600" w:lineRule="exact"/>
      <w:ind w:left="340" w:right="340"/>
      <w:jc w:val="center"/>
    </w:pPr>
    <w:rPr>
      <w:sz w:val="44"/>
      <w:szCs w:val="20"/>
    </w:rPr>
  </w:style>
  <w:style w:type="paragraph" w:customStyle="1" w:styleId="50">
    <w:name w:val="Char Char Char Char Char Char Char"/>
    <w:basedOn w:val="2"/>
    <w:uiPriority w:val="0"/>
    <w:pPr>
      <w:adjustRightInd w:val="0"/>
      <w:spacing w:line="436" w:lineRule="exact"/>
      <w:ind w:left="357"/>
      <w:jc w:val="left"/>
      <w:outlineLvl w:val="3"/>
    </w:pPr>
    <w:rPr>
      <w:rFonts w:ascii="Tahoma" w:hAnsi="Tahoma"/>
      <w:b/>
      <w:sz w:val="24"/>
      <w:szCs w:val="24"/>
    </w:rPr>
  </w:style>
  <w:style w:type="paragraph" w:customStyle="1" w:styleId="51">
    <w:name w:val="Char Char"/>
    <w:basedOn w:val="1"/>
    <w:uiPriority w:val="0"/>
    <w:rPr>
      <w:rFonts w:ascii="Tahoma" w:hAnsi="Tahoma"/>
      <w:sz w:val="24"/>
      <w:szCs w:val="20"/>
    </w:rPr>
  </w:style>
  <w:style w:type="paragraph" w:customStyle="1" w:styleId="52">
    <w:name w:val="p0"/>
    <w:basedOn w:val="1"/>
    <w:uiPriority w:val="0"/>
    <w:pPr>
      <w:widowControl/>
    </w:pPr>
    <w:rPr>
      <w:rFonts w:ascii="Calibri" w:hAnsi="Calibri" w:cs="宋体"/>
      <w:kern w:val="0"/>
      <w:szCs w:val="21"/>
    </w:rPr>
  </w:style>
  <w:style w:type="paragraph" w:customStyle="1" w:styleId="53">
    <w:name w:val="Char Char Char Char Char Char Char1"/>
    <w:basedOn w:val="1"/>
    <w:uiPriority w:val="0"/>
    <w:rPr>
      <w:rFonts w:ascii="Tahoma" w:hAnsi="Tahoma"/>
      <w:b/>
      <w:kern w:val="0"/>
      <w:sz w:val="24"/>
    </w:rPr>
  </w:style>
  <w:style w:type="paragraph" w:customStyle="1" w:styleId="54">
    <w:name w:val="默认段落字体 Para Char Char Char Char Char Char Char"/>
    <w:basedOn w:val="1"/>
    <w:uiPriority w:val="0"/>
    <w:rPr>
      <w:rFonts w:ascii="Tahoma" w:hAnsi="Tahoma"/>
      <w:sz w:val="24"/>
      <w:szCs w:val="20"/>
    </w:rPr>
  </w:style>
  <w:style w:type="paragraph" w:customStyle="1" w:styleId="55">
    <w:name w:val="_Style 54"/>
    <w:basedOn w:val="1"/>
    <w:next w:val="28"/>
    <w:qFormat/>
    <w:uiPriority w:val="34"/>
    <w:pPr>
      <w:ind w:firstLine="420" w:firstLineChars="200"/>
    </w:pPr>
    <w:rPr>
      <w:rFonts w:ascii="Calibri" w:hAnsi="Calibri"/>
      <w:szCs w:val="22"/>
    </w:rPr>
  </w:style>
  <w:style w:type="character" w:customStyle="1" w:styleId="56">
    <w:name w:val="批注框文本 字符"/>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A5567-C5FF-42B5-AF21-3342E6169C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738</Words>
  <Characters>4207</Characters>
  <Lines>35</Lines>
  <Paragraphs>9</Paragraphs>
  <TotalTime>0</TotalTime>
  <ScaleCrop>false</ScaleCrop>
  <LinksUpToDate>false</LinksUpToDate>
  <CharactersWithSpaces>4936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2020-12-22T03:35:00Z</dcterms:created>
  <dc:creator>微软用户</dc:creator>
  <cp:lastModifiedBy>Administrator</cp:lastModifiedBy>
  <cp:lastPrinted>2020-06-29T03:46:00Z</cp:lastPrinted>
  <dcterms:modified xsi:type="dcterms:W3CDTF">2021-05-18T06:36:58Z</dcterms:modified>
  <dc:title>北京市朝阳区人民政府文件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