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崔各庄乡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崔各庄乡人民政府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朝阳区崔各庄乡人民政府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个，执法队编制数为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包括审查决定岗和业务承办岗，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A岗28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执法资格证的人员有20人，全年参与执法人数为22人。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崔各庄地区政务服务中心共设立88项对外公开办理事项，涉及民政、残联、计生、住保、社保等。政务中心设立对外综合窗口9个，专业窗口1个，全年社保业务量3524件，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计生业务量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件，住保业务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197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，民政残联业务量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1170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，全年共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6891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以按全年计划完成执法检查，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人均执法量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全年完成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200%，</w:t>
      </w:r>
      <w:r>
        <w:rPr>
          <w:rFonts w:eastAsia="仿宋_GB2312"/>
          <w:kern w:val="0"/>
          <w:sz w:val="32"/>
          <w:szCs w:val="32"/>
        </w:rPr>
        <w:t>违法行为实施检查率已完成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00%。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自2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年1月至2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月，一般程序案件共立案2</w:t>
      </w:r>
      <w:r>
        <w:rPr>
          <w:rFonts w:ascii="Times New Roman" w:hAnsi="Times New Roman" w:eastAsia="仿宋_GB2312" w:cs="Times New Roman"/>
          <w:sz w:val="32"/>
          <w:szCs w:val="32"/>
        </w:rPr>
        <w:t>07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起，共处罚45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900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，其中生活垃圾类处罚1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起，罚款3</w:t>
      </w:r>
      <w:r>
        <w:rPr>
          <w:rFonts w:ascii="Times New Roman" w:hAnsi="Times New Roman" w:eastAsia="仿宋_GB2312" w:cs="Times New Roman"/>
          <w:sz w:val="32"/>
          <w:szCs w:val="32"/>
        </w:rPr>
        <w:t>1600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元；渣土车处罚6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起，罚款8</w:t>
      </w:r>
      <w:r>
        <w:rPr>
          <w:rFonts w:ascii="Times New Roman" w:hAnsi="Times New Roman" w:eastAsia="仿宋_GB2312" w:cs="Times New Roman"/>
          <w:sz w:val="32"/>
          <w:szCs w:val="32"/>
        </w:rPr>
        <w:t>6000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元；控烟处罚1起，罚款5</w:t>
      </w:r>
      <w:r>
        <w:rPr>
          <w:rFonts w:ascii="Times New Roman" w:hAnsi="Times New Roman" w:eastAsia="仿宋_GB2312" w:cs="Times New Roman"/>
          <w:sz w:val="32"/>
          <w:szCs w:val="32"/>
        </w:rPr>
        <w:t>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元；工地处罚1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起，罚款1</w:t>
      </w:r>
      <w:r>
        <w:rPr>
          <w:rFonts w:ascii="Times New Roman" w:hAnsi="Times New Roman" w:eastAsia="仿宋_GB2312" w:cs="Times New Roman"/>
          <w:sz w:val="32"/>
          <w:szCs w:val="32"/>
        </w:rPr>
        <w:t>40000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元；燃气处罚1起，罚款5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元；电力类处罚1起，罚款8</w:t>
      </w:r>
      <w:r>
        <w:rPr>
          <w:rFonts w:ascii="Times New Roman" w:hAnsi="Times New Roman" w:eastAsia="仿宋_GB2312" w:cs="Times New Roman"/>
          <w:sz w:val="32"/>
          <w:szCs w:val="32"/>
        </w:rPr>
        <w:t>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元；其他类处罚1</w:t>
      </w: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起，罚款</w:t>
      </w:r>
      <w:r>
        <w:rPr>
          <w:rFonts w:ascii="Times New Roman" w:hAnsi="Times New Roman" w:eastAsia="仿宋_GB2312" w:cs="Times New Roman"/>
          <w:sz w:val="32"/>
          <w:szCs w:val="32"/>
        </w:rPr>
        <w:t>74300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元。简易程序共立案1</w:t>
      </w:r>
      <w:r>
        <w:rPr>
          <w:rFonts w:ascii="Times New Roman" w:hAnsi="Times New Roman" w:eastAsia="仿宋_GB2312" w:cs="Times New Roman"/>
          <w:sz w:val="32"/>
          <w:szCs w:val="32"/>
        </w:rPr>
        <w:t>47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起，处罚0元。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自2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年1月至2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月，违法建设共冻结1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处。</w:t>
      </w:r>
    </w:p>
    <w:p>
      <w:pPr>
        <w:widowControl/>
        <w:numPr>
          <w:ilvl w:val="0"/>
          <w:numId w:val="1"/>
        </w:numPr>
        <w:shd w:val="clear" w:color="auto" w:fill="FFFFFF"/>
        <w:spacing w:line="580" w:lineRule="exact"/>
        <w:ind w:left="0" w:leftChars="0" w:firstLine="640" w:firstLineChars="200"/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投诉、举报案件的受理和分类办理情况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崔各庄乡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共收到群众诉求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因点位问题退回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1776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实际受理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其中，政民互动系统市级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直派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件，政民互动系统区级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转派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城乡建设881件、疫情防控845件、交通管理772件、住房639件、农村管理489件、环境保护449件、物业管理423件、公共安全335件、劳动和社会保障280件、市容环卫267件、违纪举报259件、市政208件、公共服务205件、垃圾分类109件、城市绿化99件、卫生健康92件、市场管理88件、公园管理70件、社会秩序57件、咨询48件、供暖43件、表扬36件、民政事务32件、企业服务27件、复工复产19件、换届选举18件、其他问题14件、房屋管理9件、妇女权益7件、教育7件、无7件、政风投诉7件、科体文宣5件、其他5件、新闻热线5件、政法民声5件、能源运行管理4件、物价4件、邮政业服务管理3件、金融财税2件、退役军人事务2件、知识产权2件、办事指南1件、工作处罚执法1件、历史问题1件、社会治安1件、水文气象1件、退伍军人事务1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ind w:left="0" w:leftChars="0" w:firstLine="4480" w:firstLineChars="14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北京市朝阳区崔各庄乡政府</w:t>
      </w:r>
    </w:p>
    <w:p>
      <w:pPr>
        <w:pStyle w:val="2"/>
        <w:ind w:left="0" w:leftChars="0" w:firstLine="5120" w:firstLineChars="1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2022年1月21日</w:t>
      </w: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ind w:leftChars="200"/>
        <w:rPr>
          <w:rFonts w:ascii="Times New Roman" w:hAnsi="黑体" w:eastAsia="黑体" w:cs="Times New Roman"/>
          <w:color w:val="FF0000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ind w:leftChars="200"/>
        <w:rPr>
          <w:rFonts w:ascii="Times New Roman" w:hAnsi="黑体" w:eastAsia="黑体" w:cs="Times New Roman"/>
          <w:color w:val="FF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89816"/>
    <w:multiLevelType w:val="singleLevel"/>
    <w:tmpl w:val="3058981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0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284"/>
        <w:tab w:val="left" w:pos="72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0"/>
        <w:tab w:val="left" w:pos="284"/>
        <w:tab w:val="left" w:pos="720"/>
      </w:tabs>
      <w:adjustRightInd w:val="0"/>
      <w:snapToGrid w:val="0"/>
      <w:spacing w:line="560" w:lineRule="exact"/>
      <w:ind w:firstLine="63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2022-01-21T06:34:05Z</dcterms:created>
  <dc:creator>Administrator</dc:creator>
  <cp:lastModifiedBy>婷婷</cp:lastModifiedBy>
  <dcterms:modified xsi:type="dcterms:W3CDTF">2022-01-21T06:34:12Z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6545650D148D4D0EA48196253EED0B0D</vt:lpwstr>
  </property>
</Properties>
</file>