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hd w:val="clear" w:color="auto" w:fill="FFFFFF"/>
        <w:jc w:val="center"/>
        <w:rPr>
          <w:sz w:val="18"/>
          <w:szCs w:val="18"/>
        </w:rPr>
      </w:pPr>
      <w:r>
        <w:rPr>
          <w:rStyle w:val="19"/>
          <w:rFonts w:hint="eastAsia"/>
          <w:sz w:val="30"/>
          <w:szCs w:val="30"/>
        </w:rPr>
        <w:t>北京市朝阳区产业发展促进中心2022年度部门决算公开</w:t>
      </w:r>
    </w:p>
    <w:p>
      <w:pPr>
        <w:pStyle w:val="18"/>
        <w:shd w:val="clear" w:color="auto" w:fill="FFFFFF"/>
        <w:jc w:val="center"/>
        <w:rPr>
          <w:sz w:val="18"/>
          <w:szCs w:val="18"/>
        </w:rPr>
      </w:pPr>
      <w:r>
        <w:rPr>
          <w:rStyle w:val="19"/>
          <w:rFonts w:hint="eastAsia"/>
          <w:sz w:val="21"/>
          <w:szCs w:val="21"/>
        </w:rPr>
        <w:t>目    录</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第一部分 2022年度部门决算报表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一、收入支出决算总表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二、收入决算表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三、支出决算表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四、财政拨款收入支出决算总表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五、一般公共预算财政拨款支出决算表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六、政府性基金预算财政拨款收入支出决算表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七、财政拨款基本支出经济分类决算表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八、国有资本经营预算财政拨款支出决算表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九、财政拨款“三公”经费支出决算表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十、政府采购情况表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十一、政府购买服务支出情况表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第二部分 2022年度部门决算说明</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第三部分 2022年度其他重要事项的情况说明</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第四部分 2022年度部门绩效评价情况</w:t>
      </w:r>
    </w:p>
    <w:p>
      <w:pPr>
        <w:pStyle w:val="18"/>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第一部分 2022年度部门决算报表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报表详见附件。</w:t>
      </w:r>
    </w:p>
    <w:p>
      <w:pPr>
        <w:pStyle w:val="18"/>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第二部分 2022年度部门决算说明</w:t>
      </w:r>
    </w:p>
    <w:p>
      <w:pPr>
        <w:pStyle w:val="18"/>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Fonts w:ascii="Times New Roman" w:eastAsia="仿宋_GB2312" w:cs="Times New Roman" w:hAnsi="Times New Roman"/>
          <w:sz w:val="28"/>
          <w:szCs w:val="28"/>
        </w:rPr>
        <w:t> </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一、单位基本情况</w:t>
      </w:r>
    </w:p>
    <w:p>
      <w:pPr>
        <w:widowControl/>
        <w:shd w:val="clear" w:color="auto" w:fill="FFFFFF"/>
        <w:adjustRightInd w:val="0"/>
        <w:snapToGrid w:val="0"/>
        <w:spacing w:line="600" w:lineRule="exact"/>
        <w:ind w:firstLineChars="200" w:firstLine="560"/>
        <w:jc w:val="left"/>
        <w:rPr>
          <w:rFonts w:ascii="Times New Roman" w:eastAsia="仿宋_GB2312" w:cs="Times New Roman" w:hAnsi="Times New Roman"/>
          <w:color w:val="404040"/>
          <w:kern w:val="0"/>
          <w:sz w:val="28"/>
          <w:szCs w:val="28"/>
        </w:rPr>
      </w:pPr>
      <w:r>
        <w:rPr>
          <w:rFonts w:ascii="Times New Roman" w:eastAsia="仿宋_GB2312" w:cs="Times New Roman" w:hAnsi="Times New Roman"/>
          <w:color w:val="404040"/>
          <w:kern w:val="0"/>
          <w:sz w:val="28"/>
          <w:szCs w:val="28"/>
        </w:rPr>
        <w:t xml:space="preserve"> (一)机构设置、职责</w:t>
      </w:r>
    </w:p>
    <w:p>
      <w:pPr>
        <w:widowControl/>
        <w:shd w:val="clear" w:color="auto" w:fill="FFFFFF"/>
        <w:adjustRightInd w:val="0"/>
        <w:snapToGrid w:val="0"/>
        <w:spacing w:line="600" w:lineRule="exact"/>
        <w:ind w:firstLineChars="200" w:firstLine="560"/>
        <w:jc w:val="left"/>
        <w:rPr>
          <w:rFonts w:ascii="Times New Roman" w:eastAsia="仿宋_GB2312" w:cs="Times New Roman" w:hAnsi="Times New Roman"/>
          <w:color w:val="404040"/>
          <w:kern w:val="0"/>
          <w:sz w:val="28"/>
          <w:szCs w:val="28"/>
        </w:rPr>
      </w:pPr>
      <w:r>
        <w:rPr>
          <w:rFonts w:ascii="Times New Roman" w:eastAsia="仿宋_GB2312" w:cs="Times New Roman" w:hAnsi="Times New Roman"/>
          <w:color w:val="404040"/>
          <w:kern w:val="0"/>
          <w:sz w:val="28"/>
          <w:szCs w:val="28"/>
        </w:rPr>
        <w:t>根据《中共北京市朝阳区委机构编制委员会关于区发展改革委所属事业单位改革有关事项的批复》(朝编〔202</w:t>
      </w:r>
      <w:r>
        <w:rPr>
          <w:rFonts w:ascii="Times New Roman" w:eastAsia="仿宋_GB2312" w:cs="Times New Roman" w:hAnsi="Times New Roman" w:hint="eastAsia"/>
          <w:color w:val="404040"/>
          <w:kern w:val="0"/>
          <w:sz w:val="28"/>
          <w:szCs w:val="28"/>
        </w:rPr>
        <w:t>1</w:t>
      </w:r>
      <w:r>
        <w:rPr>
          <w:rFonts w:ascii="Times New Roman" w:eastAsia="仿宋_GB2312" w:cs="Times New Roman" w:hAnsi="Times New Roman"/>
          <w:color w:val="404040"/>
          <w:kern w:val="0"/>
          <w:sz w:val="28"/>
          <w:szCs w:val="28"/>
        </w:rPr>
        <w:t>〕38号)设立北京市朝阳区产业发展促进中心。主要职责是：协助做好各产业领域发展战略、规划和政策研究，并组织实施。对各产业运行情况进行分析研判，针对重难点问题提出对策建议。配合做好各类产业空间信息汇总，统筹优化产业空间资源利用。协助做好招商引资，以及重点企业、高成长企业服务工作。策划并组织实施各类产业促进活动。会同相关部门做好产业促进宣传工作。承担本区财源建设与收入管理的数据统计、情况监测等相关事务性工作，汇总、分析重点企业财税数据、人员变动、营业收入等指标变化，协助部门、街乡开展市区两级任务清单企业的走访核实工作，负责对走访成效跟踪、巩固。负责宣传落实国家及北京市促进中小企业发展政策，监测中小企业发展运行情况，统筹做好中小企业服务工作。</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（二）人员构成情况</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color w:val="404040"/>
          <w:sz w:val="28"/>
          <w:szCs w:val="28"/>
        </w:rPr>
        <w:t>北京市朝阳区产业发展促进中心部门参照公务员管理事业编制27人，实际</w:t>
      </w:r>
      <w:r>
        <w:rPr>
          <w:rFonts w:ascii="Times New Roman" w:eastAsia="仿宋_GB2312" w:cs="Times New Roman" w:hAnsi="Times New Roman" w:hint="eastAsia"/>
          <w:color w:val="404040"/>
          <w:sz w:val="28"/>
          <w:szCs w:val="28"/>
        </w:rPr>
        <w:t>1</w:t>
      </w:r>
      <w:r>
        <w:rPr>
          <w:rFonts w:ascii="Times New Roman" w:eastAsia="仿宋_GB2312" w:cs="Times New Roman" w:hAnsi="Times New Roman"/>
          <w:color w:val="404040"/>
          <w:sz w:val="28"/>
          <w:szCs w:val="28"/>
        </w:rPr>
        <w:t>4人。</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 二、收入支出决算总体情况说明</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202</w:t>
      </w:r>
      <w:r>
        <w:rPr>
          <w:rFonts w:ascii="Times New Roman" w:eastAsia="仿宋_GB2312" w:cs="Times New Roman" w:hAnsi="Times New Roman" w:hint="eastAsia"/>
          <w:sz w:val="28"/>
          <w:szCs w:val="28"/>
        </w:rPr>
        <w:t>2</w:t>
      </w:r>
      <w:r>
        <w:rPr>
          <w:rFonts w:ascii="Times New Roman" w:eastAsia="仿宋_GB2312" w:cs="Times New Roman" w:hAnsi="Times New Roman"/>
          <w:sz w:val="28"/>
          <w:szCs w:val="28"/>
        </w:rPr>
        <w:t>年度收、支总计</w:t>
      </w:r>
      <w:r>
        <w:rPr>
          <w:rFonts w:ascii="Times New Roman" w:eastAsia="仿宋_GB2312" w:cs="Times New Roman" w:hAnsi="Times New Roman" w:hint="eastAsia"/>
          <w:sz w:val="28"/>
          <w:szCs w:val="28"/>
        </w:rPr>
        <w:t>218.96</w:t>
      </w:r>
      <w:r>
        <w:rPr>
          <w:rFonts w:ascii="Times New Roman" w:eastAsia="仿宋_GB2312" w:cs="Times New Roman" w:hAnsi="Times New Roman"/>
          <w:sz w:val="28"/>
          <w:szCs w:val="28"/>
        </w:rPr>
        <w:t>万元，比上年</w:t>
      </w:r>
      <w:r>
        <w:rPr>
          <w:rFonts w:ascii="Times New Roman" w:eastAsia="仿宋_GB2312" w:cs="Times New Roman" w:hAnsi="Times New Roman" w:hint="eastAsia"/>
          <w:sz w:val="28"/>
          <w:szCs w:val="28"/>
        </w:rPr>
        <w:t>增加96.3</w:t>
      </w:r>
      <w:r>
        <w:rPr>
          <w:rFonts w:ascii="Times New Roman" w:eastAsia="仿宋_GB2312" w:cs="Times New Roman" w:hAnsi="Times New Roman"/>
          <w:sz w:val="28"/>
          <w:szCs w:val="28"/>
        </w:rPr>
        <w:t>万元，</w:t>
      </w:r>
      <w:r>
        <w:rPr>
          <w:rFonts w:ascii="Times New Roman" w:eastAsia="仿宋_GB2312" w:cs="Times New Roman" w:hAnsi="Times New Roman" w:hint="eastAsia"/>
          <w:sz w:val="28"/>
          <w:szCs w:val="28"/>
        </w:rPr>
        <w:t>增长78.51</w:t>
      </w:r>
      <w:r>
        <w:rPr>
          <w:rFonts w:ascii="Times New Roman" w:eastAsia="仿宋_GB2312" w:cs="Times New Roman" w:hAnsi="Times New Roman"/>
          <w:sz w:val="28"/>
          <w:szCs w:val="28"/>
        </w:rPr>
        <w:t>%。主要原因是本年</w:t>
      </w:r>
      <w:r>
        <w:rPr>
          <w:rFonts w:ascii="Times New Roman" w:eastAsia="仿宋_GB2312" w:cs="Times New Roman" w:hAnsi="Times New Roman" w:hint="eastAsia"/>
          <w:sz w:val="28"/>
          <w:szCs w:val="28"/>
        </w:rPr>
        <w:t>基本支出增加</w:t>
      </w:r>
      <w:r>
        <w:rPr>
          <w:rFonts w:ascii="Times New Roman" w:eastAsia="仿宋_GB2312" w:cs="Times New Roman" w:hAnsi="Times New Roman"/>
          <w:sz w:val="28"/>
          <w:szCs w:val="28"/>
        </w:rPr>
        <w:t>。</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（一）收入决算说明</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2022年度收入合计</w:t>
      </w:r>
      <w:r>
        <w:rPr>
          <w:rFonts w:ascii="Times New Roman" w:eastAsia="仿宋_GB2312" w:cs="Times New Roman" w:hAnsi="Times New Roman" w:hint="eastAsia"/>
          <w:sz w:val="28"/>
          <w:szCs w:val="28"/>
        </w:rPr>
        <w:t>218.22</w:t>
      </w:r>
      <w:r>
        <w:rPr>
          <w:rFonts w:ascii="Times New Roman" w:eastAsia="仿宋_GB2312" w:cs="Times New Roman" w:hAnsi="Times New Roman"/>
          <w:sz w:val="28"/>
          <w:szCs w:val="28"/>
        </w:rPr>
        <w:t>万元，比上年</w:t>
      </w:r>
      <w:r>
        <w:rPr>
          <w:rFonts w:ascii="Times New Roman" w:eastAsia="仿宋_GB2312" w:cs="Times New Roman" w:hAnsi="Times New Roman" w:hint="eastAsia"/>
          <w:sz w:val="28"/>
          <w:szCs w:val="28"/>
        </w:rPr>
        <w:t>增加96.23</w:t>
      </w:r>
      <w:r>
        <w:rPr>
          <w:rFonts w:ascii="Times New Roman" w:eastAsia="仿宋_GB2312" w:cs="Times New Roman" w:hAnsi="Times New Roman"/>
          <w:sz w:val="28"/>
          <w:szCs w:val="28"/>
        </w:rPr>
        <w:t>万元，</w:t>
      </w:r>
      <w:r>
        <w:rPr>
          <w:rFonts w:ascii="Times New Roman" w:eastAsia="仿宋_GB2312" w:cs="Times New Roman" w:hAnsi="Times New Roman" w:hint="eastAsia"/>
          <w:sz w:val="28"/>
          <w:szCs w:val="28"/>
        </w:rPr>
        <w:t>增长78.88</w:t>
      </w:r>
      <w:r>
        <w:rPr>
          <w:rFonts w:ascii="Times New Roman" w:eastAsia="仿宋_GB2312" w:cs="Times New Roman" w:hAnsi="Times New Roman"/>
          <w:sz w:val="28"/>
          <w:szCs w:val="28"/>
        </w:rPr>
        <w:t>%，其中：财政拨款收入</w:t>
      </w:r>
      <w:r>
        <w:rPr>
          <w:rFonts w:ascii="Times New Roman" w:eastAsia="仿宋_GB2312" w:cs="Times New Roman" w:hAnsi="Times New Roman" w:hint="eastAsia"/>
          <w:sz w:val="28"/>
          <w:szCs w:val="28"/>
        </w:rPr>
        <w:t>218.22</w:t>
      </w:r>
      <w:r>
        <w:rPr>
          <w:rFonts w:ascii="Times New Roman" w:eastAsia="仿宋_GB2312" w:cs="Times New Roman" w:hAnsi="Times New Roman"/>
          <w:sz w:val="28"/>
          <w:szCs w:val="28"/>
        </w:rPr>
        <w:t>万元，占收入合计的100.00%。</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（二）支出决算说明</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2022年度支出合计</w:t>
      </w:r>
      <w:r>
        <w:rPr>
          <w:rFonts w:ascii="Times New Roman" w:eastAsia="仿宋_GB2312" w:cs="Times New Roman" w:hAnsi="Times New Roman" w:hint="eastAsia"/>
          <w:sz w:val="28"/>
          <w:szCs w:val="28"/>
        </w:rPr>
        <w:t>218.96</w:t>
      </w:r>
      <w:r>
        <w:rPr>
          <w:rFonts w:ascii="Times New Roman" w:eastAsia="仿宋_GB2312" w:cs="Times New Roman" w:hAnsi="Times New Roman"/>
          <w:sz w:val="28"/>
          <w:szCs w:val="28"/>
        </w:rPr>
        <w:t>万元，比上年</w:t>
      </w:r>
      <w:r>
        <w:rPr>
          <w:rFonts w:ascii="Times New Roman" w:eastAsia="仿宋_GB2312" w:cs="Times New Roman" w:hAnsi="Times New Roman" w:hint="eastAsia"/>
          <w:sz w:val="28"/>
          <w:szCs w:val="28"/>
        </w:rPr>
        <w:t>增加97.43</w:t>
      </w:r>
      <w:r>
        <w:rPr>
          <w:rFonts w:ascii="Times New Roman" w:eastAsia="仿宋_GB2312" w:cs="Times New Roman" w:hAnsi="Times New Roman"/>
          <w:sz w:val="28"/>
          <w:szCs w:val="28"/>
        </w:rPr>
        <w:t>万元，</w:t>
      </w:r>
      <w:r>
        <w:rPr>
          <w:rFonts w:ascii="Times New Roman" w:eastAsia="仿宋_GB2312" w:cs="Times New Roman" w:hAnsi="Times New Roman" w:hint="eastAsia"/>
          <w:sz w:val="28"/>
          <w:szCs w:val="28"/>
        </w:rPr>
        <w:t>增长80.17</w:t>
      </w:r>
      <w:r>
        <w:rPr>
          <w:rFonts w:ascii="Times New Roman" w:eastAsia="仿宋_GB2312" w:cs="Times New Roman" w:hAnsi="Times New Roman"/>
          <w:sz w:val="28"/>
          <w:szCs w:val="28"/>
        </w:rPr>
        <w:t>%，其中：基本支出</w:t>
      </w:r>
      <w:r>
        <w:rPr>
          <w:rFonts w:ascii="Times New Roman" w:eastAsia="仿宋_GB2312" w:cs="Times New Roman" w:hAnsi="Times New Roman" w:hint="eastAsia"/>
          <w:sz w:val="28"/>
          <w:szCs w:val="28"/>
        </w:rPr>
        <w:t>212.71</w:t>
      </w:r>
      <w:r>
        <w:rPr>
          <w:rFonts w:ascii="Times New Roman" w:eastAsia="仿宋_GB2312" w:cs="Times New Roman" w:hAnsi="Times New Roman"/>
          <w:sz w:val="28"/>
          <w:szCs w:val="28"/>
        </w:rPr>
        <w:t>万元，占支出合计的</w:t>
      </w:r>
      <w:r>
        <w:rPr>
          <w:rFonts w:ascii="Times New Roman" w:eastAsia="仿宋_GB2312" w:cs="Times New Roman" w:hAnsi="Times New Roman" w:hint="eastAsia"/>
          <w:sz w:val="28"/>
          <w:szCs w:val="28"/>
        </w:rPr>
        <w:t>97.15</w:t>
      </w:r>
      <w:r>
        <w:rPr>
          <w:rFonts w:ascii="Times New Roman" w:eastAsia="仿宋_GB2312" w:cs="Times New Roman" w:hAnsi="Times New Roman"/>
          <w:sz w:val="28"/>
          <w:szCs w:val="28"/>
        </w:rPr>
        <w:t>%；项目支出</w:t>
      </w:r>
      <w:r>
        <w:rPr>
          <w:rFonts w:ascii="Times New Roman" w:eastAsia="仿宋_GB2312" w:cs="Times New Roman" w:hAnsi="Times New Roman" w:hint="eastAsia"/>
          <w:sz w:val="28"/>
          <w:szCs w:val="28"/>
        </w:rPr>
        <w:t>6.25</w:t>
      </w:r>
      <w:r>
        <w:rPr>
          <w:rFonts w:ascii="Times New Roman" w:eastAsia="仿宋_GB2312" w:cs="Times New Roman" w:hAnsi="Times New Roman"/>
          <w:sz w:val="28"/>
          <w:szCs w:val="28"/>
        </w:rPr>
        <w:t>万元，占支出合计的</w:t>
      </w:r>
      <w:r>
        <w:rPr>
          <w:rFonts w:ascii="Times New Roman" w:eastAsia="仿宋_GB2312" w:cs="Times New Roman" w:hAnsi="Times New Roman" w:hint="eastAsia"/>
          <w:sz w:val="28"/>
          <w:szCs w:val="28"/>
        </w:rPr>
        <w:t>2.85</w:t>
      </w:r>
      <w:r>
        <w:rPr>
          <w:rFonts w:ascii="Times New Roman" w:eastAsia="仿宋_GB2312" w:cs="Times New Roman" w:hAnsi="Times New Roman"/>
          <w:sz w:val="28"/>
          <w:szCs w:val="28"/>
        </w:rPr>
        <w:t>%。</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三、财政拨款收入支出决算总体情况说明</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2022年度财政拨款收、支总计</w:t>
      </w:r>
      <w:r>
        <w:rPr>
          <w:rFonts w:ascii="Times New Roman" w:eastAsia="仿宋_GB2312" w:cs="Times New Roman" w:hAnsi="Times New Roman" w:hint="eastAsia"/>
          <w:sz w:val="28"/>
          <w:szCs w:val="28"/>
        </w:rPr>
        <w:t>218.96</w:t>
      </w:r>
      <w:r>
        <w:rPr>
          <w:rFonts w:ascii="Times New Roman" w:eastAsia="仿宋_GB2312" w:cs="Times New Roman" w:hAnsi="Times New Roman"/>
          <w:sz w:val="28"/>
          <w:szCs w:val="28"/>
        </w:rPr>
        <w:t>万元，比上年</w:t>
      </w:r>
      <w:r>
        <w:rPr>
          <w:rFonts w:ascii="Times New Roman" w:eastAsia="仿宋_GB2312" w:cs="Times New Roman" w:hAnsi="Times New Roman" w:hint="eastAsia"/>
          <w:sz w:val="28"/>
          <w:szCs w:val="28"/>
        </w:rPr>
        <w:t>增加96.3</w:t>
      </w:r>
      <w:r>
        <w:rPr>
          <w:rFonts w:ascii="Times New Roman" w:eastAsia="仿宋_GB2312" w:cs="Times New Roman" w:hAnsi="Times New Roman"/>
          <w:sz w:val="28"/>
          <w:szCs w:val="28"/>
        </w:rPr>
        <w:t>万元，</w:t>
      </w:r>
      <w:r>
        <w:rPr>
          <w:rFonts w:ascii="Times New Roman" w:eastAsia="仿宋_GB2312" w:cs="Times New Roman" w:hAnsi="Times New Roman" w:hint="eastAsia"/>
          <w:sz w:val="28"/>
          <w:szCs w:val="28"/>
        </w:rPr>
        <w:t>增长78.51</w:t>
      </w:r>
      <w:r>
        <w:rPr>
          <w:rFonts w:ascii="Times New Roman" w:eastAsia="仿宋_GB2312" w:cs="Times New Roman" w:hAnsi="Times New Roman"/>
          <w:sz w:val="28"/>
          <w:szCs w:val="28"/>
        </w:rPr>
        <w:t>%。主要原因是本年</w:t>
      </w:r>
      <w:r>
        <w:rPr>
          <w:rFonts w:ascii="Times New Roman" w:eastAsia="仿宋_GB2312" w:cs="Times New Roman" w:hAnsi="Times New Roman" w:hint="eastAsia"/>
          <w:sz w:val="28"/>
          <w:szCs w:val="28"/>
        </w:rPr>
        <w:t>基本支出增加</w:t>
      </w:r>
      <w:r>
        <w:rPr>
          <w:rFonts w:ascii="Times New Roman" w:eastAsia="仿宋_GB2312" w:cs="Times New Roman" w:hAnsi="Times New Roman"/>
          <w:sz w:val="28"/>
          <w:szCs w:val="28"/>
        </w:rPr>
        <w:t>。</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四、一般公共预算财政拨款支出决算情况说明</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（一）一般公共预算财政拨款支出决算总体情况</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2022年度一般公共预算财政拨款支出</w:t>
      </w:r>
      <w:r>
        <w:rPr>
          <w:rFonts w:ascii="Times New Roman" w:eastAsia="仿宋_GB2312" w:cs="Times New Roman" w:hAnsi="Times New Roman" w:hint="eastAsia"/>
          <w:sz w:val="28"/>
          <w:szCs w:val="28"/>
        </w:rPr>
        <w:t>218.96</w:t>
      </w:r>
      <w:r>
        <w:rPr>
          <w:rFonts w:ascii="Times New Roman" w:eastAsia="仿宋_GB2312" w:cs="Times New Roman" w:hAnsi="Times New Roman"/>
          <w:sz w:val="28"/>
          <w:szCs w:val="28"/>
        </w:rPr>
        <w:t>万元，主要用于以下方面（按大类）：一般公共服务支出</w:t>
      </w:r>
      <w:r>
        <w:rPr>
          <w:rFonts w:ascii="Times New Roman" w:eastAsia="仿宋_GB2312" w:cs="Times New Roman" w:hAnsi="Times New Roman" w:hint="eastAsia"/>
          <w:sz w:val="28"/>
          <w:szCs w:val="28"/>
        </w:rPr>
        <w:t>179.83</w:t>
      </w:r>
      <w:r>
        <w:rPr>
          <w:rFonts w:ascii="Times New Roman" w:eastAsia="仿宋_GB2312" w:cs="Times New Roman" w:hAnsi="Times New Roman"/>
          <w:sz w:val="28"/>
          <w:szCs w:val="28"/>
        </w:rPr>
        <w:t>万元，占本年财政拨款支出</w:t>
      </w:r>
      <w:r>
        <w:rPr>
          <w:rFonts w:ascii="Times New Roman" w:eastAsia="仿宋_GB2312" w:cs="Times New Roman" w:hAnsi="Times New Roman" w:hint="eastAsia"/>
          <w:sz w:val="28"/>
          <w:szCs w:val="28"/>
        </w:rPr>
        <w:t>82.13</w:t>
      </w:r>
      <w:r>
        <w:rPr>
          <w:rFonts w:ascii="Times New Roman" w:eastAsia="仿宋_GB2312" w:cs="Times New Roman" w:hAnsi="Times New Roman"/>
          <w:sz w:val="28"/>
          <w:szCs w:val="28"/>
        </w:rPr>
        <w:t>%；社会保障和就业支出</w:t>
      </w:r>
      <w:r>
        <w:rPr>
          <w:rFonts w:ascii="Times New Roman" w:eastAsia="仿宋_GB2312" w:cs="Times New Roman" w:hAnsi="Times New Roman" w:hint="eastAsia"/>
          <w:sz w:val="28"/>
          <w:szCs w:val="28"/>
        </w:rPr>
        <w:t>23.43</w:t>
      </w:r>
      <w:r>
        <w:rPr>
          <w:rFonts w:ascii="Times New Roman" w:eastAsia="仿宋_GB2312" w:cs="Times New Roman" w:hAnsi="Times New Roman"/>
          <w:sz w:val="28"/>
          <w:szCs w:val="28"/>
        </w:rPr>
        <w:t>万元，占本年财政拨款支出</w:t>
      </w:r>
      <w:r>
        <w:rPr>
          <w:rFonts w:ascii="Times New Roman" w:eastAsia="仿宋_GB2312" w:cs="Times New Roman" w:hAnsi="Times New Roman" w:hint="eastAsia"/>
          <w:sz w:val="28"/>
          <w:szCs w:val="28"/>
        </w:rPr>
        <w:t>10.7</w:t>
      </w:r>
      <w:r>
        <w:rPr>
          <w:rFonts w:ascii="Times New Roman" w:eastAsia="仿宋_GB2312" w:cs="Times New Roman" w:hAnsi="Times New Roman"/>
          <w:sz w:val="28"/>
          <w:szCs w:val="28"/>
        </w:rPr>
        <w:t>%；卫生健康支出</w:t>
      </w:r>
      <w:r>
        <w:rPr>
          <w:rFonts w:ascii="Times New Roman" w:eastAsia="仿宋_GB2312" w:cs="Times New Roman" w:hAnsi="Times New Roman" w:hint="eastAsia"/>
          <w:sz w:val="28"/>
          <w:szCs w:val="28"/>
        </w:rPr>
        <w:t>15.70</w:t>
      </w:r>
      <w:r>
        <w:rPr>
          <w:rFonts w:ascii="Times New Roman" w:eastAsia="仿宋_GB2312" w:cs="Times New Roman" w:hAnsi="Times New Roman"/>
          <w:sz w:val="28"/>
          <w:szCs w:val="28"/>
        </w:rPr>
        <w:t>万元，占本年财政拨款支出</w:t>
      </w:r>
      <w:r>
        <w:rPr>
          <w:rFonts w:ascii="Times New Roman" w:eastAsia="仿宋_GB2312" w:cs="Times New Roman" w:hAnsi="Times New Roman" w:hint="eastAsia"/>
          <w:sz w:val="28"/>
          <w:szCs w:val="28"/>
        </w:rPr>
        <w:t>7.17</w:t>
      </w:r>
      <w:r>
        <w:rPr>
          <w:rFonts w:ascii="Times New Roman" w:eastAsia="仿宋_GB2312" w:cs="Times New Roman" w:hAnsi="Times New Roman"/>
          <w:sz w:val="28"/>
          <w:szCs w:val="28"/>
        </w:rPr>
        <w:t>%。</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（二）一般公共预算财政拨款支出决算具体情况</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1、“一般公共服务支出”（类）2022年度决算</w:t>
      </w:r>
      <w:r>
        <w:rPr>
          <w:rFonts w:ascii="Times New Roman" w:eastAsia="仿宋_GB2312" w:cs="Times New Roman" w:hAnsi="Times New Roman" w:hint="eastAsia"/>
          <w:sz w:val="28"/>
          <w:szCs w:val="28"/>
        </w:rPr>
        <w:t>179.83</w:t>
      </w:r>
      <w:r>
        <w:rPr>
          <w:rFonts w:ascii="Times New Roman" w:eastAsia="仿宋_GB2312" w:cs="Times New Roman" w:hAnsi="Times New Roman"/>
          <w:sz w:val="28"/>
          <w:szCs w:val="28"/>
        </w:rPr>
        <w:t>万元，比2022年年初预算</w:t>
      </w:r>
      <w:r>
        <w:rPr>
          <w:rFonts w:ascii="Times New Roman" w:eastAsia="仿宋_GB2312" w:cs="Times New Roman" w:hAnsi="Times New Roman" w:hint="eastAsia"/>
          <w:sz w:val="28"/>
          <w:szCs w:val="28"/>
        </w:rPr>
        <w:t>增加75.14</w:t>
      </w:r>
      <w:r>
        <w:rPr>
          <w:rFonts w:ascii="Times New Roman" w:eastAsia="仿宋_GB2312" w:cs="Times New Roman" w:hAnsi="Times New Roman"/>
          <w:sz w:val="28"/>
          <w:szCs w:val="28"/>
        </w:rPr>
        <w:t>万元，</w:t>
      </w:r>
      <w:r>
        <w:rPr>
          <w:rFonts w:ascii="Times New Roman" w:eastAsia="仿宋_GB2312" w:cs="Times New Roman" w:hAnsi="Times New Roman" w:hint="eastAsia"/>
          <w:sz w:val="28"/>
          <w:szCs w:val="28"/>
        </w:rPr>
        <w:t>增长71.77</w:t>
      </w:r>
      <w:r>
        <w:rPr>
          <w:rFonts w:ascii="Times New Roman" w:eastAsia="仿宋_GB2312" w:cs="Times New Roman" w:hAnsi="Times New Roman"/>
          <w:sz w:val="28"/>
          <w:szCs w:val="28"/>
        </w:rPr>
        <w:t>%。其中：</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xml:space="preserve"> “发展与改革事务”（款）2022年度决算</w:t>
      </w:r>
      <w:r>
        <w:rPr>
          <w:rFonts w:ascii="Times New Roman" w:eastAsia="仿宋_GB2312" w:cs="Times New Roman" w:hAnsi="Times New Roman" w:hint="eastAsia"/>
          <w:sz w:val="28"/>
          <w:szCs w:val="28"/>
        </w:rPr>
        <w:t>179.83</w:t>
      </w:r>
      <w:r>
        <w:rPr>
          <w:rFonts w:ascii="Times New Roman" w:eastAsia="仿宋_GB2312" w:cs="Times New Roman" w:hAnsi="Times New Roman"/>
          <w:sz w:val="28"/>
          <w:szCs w:val="28"/>
        </w:rPr>
        <w:t>万元，比2022年年初预算</w:t>
      </w:r>
      <w:r>
        <w:rPr>
          <w:rFonts w:ascii="Times New Roman" w:eastAsia="仿宋_GB2312" w:cs="Times New Roman" w:hAnsi="Times New Roman" w:hint="eastAsia"/>
          <w:sz w:val="28"/>
          <w:szCs w:val="28"/>
        </w:rPr>
        <w:t>增加75.14</w:t>
      </w:r>
      <w:r>
        <w:rPr>
          <w:rFonts w:ascii="Times New Roman" w:eastAsia="仿宋_GB2312" w:cs="Times New Roman" w:hAnsi="Times New Roman"/>
          <w:sz w:val="28"/>
          <w:szCs w:val="28"/>
        </w:rPr>
        <w:t>万元，</w:t>
      </w:r>
      <w:r>
        <w:rPr>
          <w:rFonts w:ascii="Times New Roman" w:eastAsia="仿宋_GB2312" w:cs="Times New Roman" w:hAnsi="Times New Roman" w:hint="eastAsia"/>
          <w:sz w:val="28"/>
          <w:szCs w:val="28"/>
        </w:rPr>
        <w:t>增长71.77</w:t>
      </w:r>
      <w:r>
        <w:rPr>
          <w:rFonts w:ascii="Times New Roman" w:eastAsia="仿宋_GB2312" w:cs="Times New Roman" w:hAnsi="Times New Roman"/>
          <w:sz w:val="28"/>
          <w:szCs w:val="28"/>
        </w:rPr>
        <w:t>%。</w:t>
      </w:r>
      <w:r>
        <w:rPr>
          <w:rFonts w:ascii="Times New Roman" w:eastAsia="仿宋_GB2312" w:cs="Times New Roman" w:hAnsi="Times New Roman"/>
          <w:color w:val="000000"/>
          <w:sz w:val="28"/>
          <w:szCs w:val="28"/>
        </w:rPr>
        <w:t>根据本部门支出功能定位，按照北京市统一政策发放的职工工资在此科目列示、维持机构正常运转</w:t>
      </w:r>
      <w:r>
        <w:rPr>
          <w:rFonts w:ascii="Times New Roman" w:eastAsia="仿宋_GB2312" w:cs="Times New Roman" w:hAnsi="Times New Roman"/>
          <w:sz w:val="28"/>
          <w:szCs w:val="28"/>
        </w:rPr>
        <w:t>。</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2、“社会保障和就业支出”（类）2022年度决算</w:t>
      </w:r>
      <w:r>
        <w:rPr>
          <w:rFonts w:ascii="Times New Roman" w:eastAsia="仿宋_GB2312" w:cs="Times New Roman" w:hAnsi="Times New Roman" w:hint="eastAsia"/>
          <w:sz w:val="28"/>
          <w:szCs w:val="28"/>
        </w:rPr>
        <w:t>23.43</w:t>
      </w:r>
      <w:r>
        <w:rPr>
          <w:rFonts w:ascii="Times New Roman" w:eastAsia="仿宋_GB2312" w:cs="Times New Roman" w:hAnsi="Times New Roman"/>
          <w:sz w:val="28"/>
          <w:szCs w:val="28"/>
        </w:rPr>
        <w:t>万元，比2022年年初预算</w:t>
      </w:r>
      <w:r>
        <w:rPr>
          <w:rFonts w:ascii="Times New Roman" w:eastAsia="仿宋_GB2312" w:cs="Times New Roman" w:hAnsi="Times New Roman" w:hint="eastAsia"/>
          <w:sz w:val="28"/>
          <w:szCs w:val="28"/>
        </w:rPr>
        <w:t>增加10.95</w:t>
      </w:r>
      <w:r>
        <w:rPr>
          <w:rFonts w:ascii="Times New Roman" w:eastAsia="仿宋_GB2312" w:cs="Times New Roman" w:hAnsi="Times New Roman"/>
          <w:sz w:val="28"/>
          <w:szCs w:val="28"/>
        </w:rPr>
        <w:t>万元，</w:t>
      </w:r>
      <w:r>
        <w:rPr>
          <w:rFonts w:ascii="Times New Roman" w:eastAsia="仿宋_GB2312" w:cs="Times New Roman" w:hAnsi="Times New Roman" w:hint="eastAsia"/>
          <w:sz w:val="28"/>
          <w:szCs w:val="28"/>
        </w:rPr>
        <w:t>增长87.74</w:t>
      </w:r>
      <w:r>
        <w:rPr>
          <w:rFonts w:ascii="Times New Roman" w:eastAsia="仿宋_GB2312" w:cs="Times New Roman" w:hAnsi="Times New Roman"/>
          <w:sz w:val="28"/>
          <w:szCs w:val="28"/>
        </w:rPr>
        <w:t>%。其中：</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xml:space="preserve"> “行政事业单位养老支出”（款）2022年度决算</w:t>
      </w:r>
      <w:r>
        <w:rPr>
          <w:rFonts w:ascii="Times New Roman" w:eastAsia="仿宋_GB2312" w:cs="Times New Roman" w:hAnsi="Times New Roman" w:hint="eastAsia"/>
          <w:sz w:val="28"/>
          <w:szCs w:val="28"/>
        </w:rPr>
        <w:t>23.43</w:t>
      </w:r>
      <w:r>
        <w:rPr>
          <w:rFonts w:ascii="Times New Roman" w:eastAsia="仿宋_GB2312" w:cs="Times New Roman" w:hAnsi="Times New Roman"/>
          <w:sz w:val="28"/>
          <w:szCs w:val="28"/>
        </w:rPr>
        <w:t>万元，比2022年年初预算</w:t>
      </w:r>
      <w:r>
        <w:rPr>
          <w:rFonts w:ascii="Times New Roman" w:eastAsia="仿宋_GB2312" w:cs="Times New Roman" w:hAnsi="Times New Roman" w:hint="eastAsia"/>
          <w:sz w:val="28"/>
          <w:szCs w:val="28"/>
        </w:rPr>
        <w:t>增加10.95</w:t>
      </w:r>
      <w:r>
        <w:rPr>
          <w:rFonts w:ascii="Times New Roman" w:eastAsia="仿宋_GB2312" w:cs="Times New Roman" w:hAnsi="Times New Roman"/>
          <w:sz w:val="28"/>
          <w:szCs w:val="28"/>
        </w:rPr>
        <w:t>万元，</w:t>
      </w:r>
      <w:r>
        <w:rPr>
          <w:rFonts w:ascii="Times New Roman" w:eastAsia="仿宋_GB2312" w:cs="Times New Roman" w:hAnsi="Times New Roman" w:hint="eastAsia"/>
          <w:sz w:val="28"/>
          <w:szCs w:val="28"/>
        </w:rPr>
        <w:t>增长87.74</w:t>
      </w:r>
      <w:r>
        <w:rPr>
          <w:rFonts w:ascii="Times New Roman" w:eastAsia="仿宋_GB2312" w:cs="Times New Roman" w:hAnsi="Times New Roman"/>
          <w:sz w:val="28"/>
          <w:szCs w:val="28"/>
        </w:rPr>
        <w:t>%</w:t>
      </w:r>
      <w:r>
        <w:rPr>
          <w:rFonts w:ascii="Times New Roman" w:eastAsia="仿宋_GB2312" w:cs="Times New Roman" w:hAnsi="Times New Roman" w:hint="eastAsia"/>
          <w:sz w:val="28"/>
          <w:szCs w:val="28"/>
        </w:rPr>
        <w:t>。</w:t>
      </w:r>
      <w:r>
        <w:rPr>
          <w:rFonts w:ascii="Times New Roman" w:eastAsia="仿宋_GB2312" w:cs="Times New Roman" w:hAnsi="Times New Roman"/>
          <w:color w:val="000000"/>
          <w:sz w:val="28"/>
          <w:szCs w:val="28"/>
        </w:rPr>
        <w:t>主要用于根据北京市统一政策实施养老保险制度由单位缴纳的职业年金和基本养老保险等。</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3、“卫生健康支出”（类）2022年度决算</w:t>
      </w:r>
      <w:r>
        <w:rPr>
          <w:rFonts w:ascii="Times New Roman" w:eastAsia="仿宋_GB2312" w:cs="Times New Roman" w:hAnsi="Times New Roman" w:hint="eastAsia"/>
          <w:sz w:val="28"/>
          <w:szCs w:val="28"/>
        </w:rPr>
        <w:t>15.70</w:t>
      </w:r>
      <w:r>
        <w:rPr>
          <w:rFonts w:ascii="Times New Roman" w:eastAsia="仿宋_GB2312" w:cs="Times New Roman" w:hAnsi="Times New Roman"/>
          <w:sz w:val="28"/>
          <w:szCs w:val="28"/>
        </w:rPr>
        <w:t>万元，比2022年年初预算</w:t>
      </w:r>
      <w:r>
        <w:rPr>
          <w:rFonts w:ascii="Times New Roman" w:eastAsia="仿宋_GB2312" w:cs="Times New Roman" w:hAnsi="Times New Roman" w:hint="eastAsia"/>
          <w:sz w:val="28"/>
          <w:szCs w:val="28"/>
        </w:rPr>
        <w:t>增加7.16</w:t>
      </w:r>
      <w:r>
        <w:rPr>
          <w:rFonts w:ascii="Times New Roman" w:eastAsia="仿宋_GB2312" w:cs="Times New Roman" w:hAnsi="Times New Roman"/>
          <w:sz w:val="28"/>
          <w:szCs w:val="28"/>
        </w:rPr>
        <w:t>万元，</w:t>
      </w:r>
      <w:r>
        <w:rPr>
          <w:rFonts w:ascii="Times New Roman" w:eastAsia="仿宋_GB2312" w:cs="Times New Roman" w:hAnsi="Times New Roman" w:hint="eastAsia"/>
          <w:sz w:val="28"/>
          <w:szCs w:val="28"/>
        </w:rPr>
        <w:t>增长83.84</w:t>
      </w:r>
      <w:r>
        <w:rPr>
          <w:rFonts w:ascii="Times New Roman" w:eastAsia="仿宋_GB2312" w:cs="Times New Roman" w:hAnsi="Times New Roman"/>
          <w:sz w:val="28"/>
          <w:szCs w:val="28"/>
        </w:rPr>
        <w:t>%。其中：</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xml:space="preserve"> “行政事业单位医疗”（款）2022年度决算</w:t>
      </w:r>
      <w:r>
        <w:rPr>
          <w:rFonts w:ascii="Times New Roman" w:eastAsia="仿宋_GB2312" w:cs="Times New Roman" w:hAnsi="Times New Roman" w:hint="eastAsia"/>
          <w:sz w:val="28"/>
          <w:szCs w:val="28"/>
        </w:rPr>
        <w:t>15.70</w:t>
      </w:r>
      <w:r>
        <w:rPr>
          <w:rFonts w:ascii="Times New Roman" w:eastAsia="仿宋_GB2312" w:cs="Times New Roman" w:hAnsi="Times New Roman"/>
          <w:sz w:val="28"/>
          <w:szCs w:val="28"/>
        </w:rPr>
        <w:t>万元，比2022年年初</w:t>
      </w:r>
      <w:r>
        <w:rPr>
          <w:rFonts w:ascii="Times New Roman" w:eastAsia="仿宋_GB2312" w:cs="Times New Roman" w:hAnsi="Times New Roman" w:hint="eastAsia"/>
          <w:sz w:val="28"/>
          <w:szCs w:val="28"/>
        </w:rPr>
        <w:t>增加7.16</w:t>
      </w:r>
      <w:r>
        <w:rPr>
          <w:rFonts w:ascii="Times New Roman" w:eastAsia="仿宋_GB2312" w:cs="Times New Roman" w:hAnsi="Times New Roman"/>
          <w:sz w:val="28"/>
          <w:szCs w:val="28"/>
        </w:rPr>
        <w:t>万元，</w:t>
      </w:r>
      <w:r>
        <w:rPr>
          <w:rFonts w:ascii="Times New Roman" w:eastAsia="仿宋_GB2312" w:cs="Times New Roman" w:hAnsi="Times New Roman" w:hint="eastAsia"/>
          <w:sz w:val="28"/>
          <w:szCs w:val="28"/>
        </w:rPr>
        <w:t>增长83.84</w:t>
      </w:r>
      <w:r>
        <w:rPr>
          <w:rFonts w:ascii="Times New Roman" w:eastAsia="仿宋_GB2312" w:cs="Times New Roman" w:hAnsi="Times New Roman"/>
          <w:sz w:val="28"/>
          <w:szCs w:val="28"/>
        </w:rPr>
        <w:t>%。主要用于</w:t>
      </w:r>
      <w:r>
        <w:rPr>
          <w:rFonts w:ascii="Times New Roman" w:eastAsia="仿宋_GB2312" w:cs="Times New Roman" w:hAnsi="Times New Roman"/>
          <w:color w:val="000000"/>
          <w:sz w:val="28"/>
          <w:szCs w:val="28"/>
          <w:shd w:val="clear" w:color="auto" w:fill="FFFFFF"/>
        </w:rPr>
        <w:t>根据北京市统一政策缴纳人员医疗保险</w:t>
      </w:r>
      <w:r>
        <w:rPr>
          <w:rFonts w:ascii="Times New Roman" w:eastAsia="仿宋_GB2312" w:cs="Times New Roman" w:hAnsi="Times New Roman"/>
          <w:color w:val="000000"/>
          <w:sz w:val="28"/>
          <w:szCs w:val="28"/>
        </w:rPr>
        <w:t>。</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五、政府性基金预算财政拨款支出决算情况说明</w:t>
      </w:r>
    </w:p>
    <w:p>
      <w:pPr>
        <w:widowControl/>
        <w:shd w:val="clear" w:color="auto" w:fill="FFFFFF"/>
        <w:adjustRightInd w:val="0"/>
        <w:snapToGrid w:val="0"/>
        <w:spacing w:line="600" w:lineRule="exact"/>
        <w:ind w:firstLineChars="200" w:firstLine="560"/>
        <w:jc w:val="left"/>
        <w:rPr>
          <w:rFonts w:ascii="Times New Roman" w:eastAsia="仿宋_GB2312" w:cs="Times New Roman" w:hAnsi="Times New Roman"/>
          <w:color w:val="000000"/>
          <w:kern w:val="0"/>
          <w:sz w:val="28"/>
          <w:szCs w:val="28"/>
        </w:rPr>
      </w:pPr>
      <w:r>
        <w:rPr>
          <w:rFonts w:ascii="Times New Roman" w:eastAsia="仿宋_GB2312" w:cs="Times New Roman" w:hAnsi="Times New Roman"/>
          <w:color w:val="000000"/>
          <w:kern w:val="0"/>
          <w:sz w:val="28"/>
          <w:szCs w:val="28"/>
        </w:rPr>
        <w:t>本年度无此项支出。</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六、国有资本经营预算财政拨款收支情况</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本年度无此项经费。</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七、财政拨款基本支出决算情况说明</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2022年使用一般公共预算财政拨款安排基本支出</w:t>
      </w:r>
      <w:r>
        <w:rPr>
          <w:rFonts w:ascii="Times New Roman" w:eastAsia="仿宋_GB2312" w:cs="Times New Roman" w:hAnsi="Times New Roman" w:hint="eastAsia"/>
          <w:sz w:val="28"/>
          <w:szCs w:val="28"/>
        </w:rPr>
        <w:t>212.71</w:t>
      </w:r>
      <w:r>
        <w:rPr>
          <w:rFonts w:ascii="Times New Roman" w:eastAsia="仿宋_GB2312" w:cs="Times New Roman" w:hAnsi="Times New Roman"/>
          <w:sz w:val="28"/>
          <w:szCs w:val="28"/>
        </w:rPr>
        <w:t>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资本性支出包括办公设备购置、专用设备购置等。</w:t>
      </w:r>
    </w:p>
    <w:p>
      <w:pPr>
        <w:pStyle w:val="18"/>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第三部分2022年度</w:t>
      </w:r>
      <w:bookmarkStart w:id="0" w:name="_GoBack"/>
      <w:bookmarkEnd w:id="0"/>
      <w:r>
        <w:rPr>
          <w:rStyle w:val="19"/>
          <w:rFonts w:ascii="Times New Roman" w:eastAsia="仿宋_GB2312" w:cs="Times New Roman" w:hAnsi="Times New Roman"/>
          <w:sz w:val="28"/>
          <w:szCs w:val="28"/>
        </w:rPr>
        <w:t>其他重要事项的情况说明</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一、“三公”经费财政拨款决算情况</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xml:space="preserve"> “三公”经费包括1个</w:t>
      </w:r>
      <w:r>
        <w:rPr>
          <w:rFonts w:ascii="Times New Roman" w:eastAsia="仿宋_GB2312" w:cs="Times New Roman" w:hAnsi="Times New Roman" w:hint="eastAsia"/>
          <w:sz w:val="28"/>
          <w:szCs w:val="28"/>
          <w:lang w:eastAsia="zh-CN"/>
        </w:rPr>
        <w:t>参公</w:t>
      </w:r>
      <w:r>
        <w:rPr>
          <w:rFonts w:ascii="Times New Roman" w:eastAsia="仿宋_GB2312" w:cs="Times New Roman" w:hAnsi="Times New Roman"/>
          <w:sz w:val="28"/>
          <w:szCs w:val="28"/>
        </w:rPr>
        <w:t>单位。2022年“三公”经费财政拨款决算数</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万元，比2022年“三公”经费财政拨款预算</w:t>
      </w:r>
      <w:r>
        <w:rPr>
          <w:rFonts w:ascii="Times New Roman" w:eastAsia="仿宋_GB2312" w:cs="Times New Roman" w:hAnsi="Times New Roman" w:hint="eastAsia"/>
          <w:sz w:val="28"/>
          <w:szCs w:val="28"/>
          <w:lang w:val="en-US" w:eastAsia="zh-CN"/>
        </w:rPr>
        <w:t>0.0475</w:t>
      </w:r>
      <w:r>
        <w:rPr>
          <w:rFonts w:ascii="Times New Roman" w:eastAsia="仿宋_GB2312" w:cs="Times New Roman" w:hAnsi="Times New Roman"/>
          <w:sz w:val="28"/>
          <w:szCs w:val="28"/>
        </w:rPr>
        <w:t>万元减少</w:t>
      </w:r>
      <w:r>
        <w:rPr>
          <w:rFonts w:ascii="Times New Roman" w:eastAsia="仿宋_GB2312" w:cs="Times New Roman" w:hAnsi="Times New Roman" w:hint="eastAsia"/>
          <w:sz w:val="28"/>
          <w:szCs w:val="28"/>
          <w:lang w:val="en-US" w:eastAsia="zh-CN"/>
        </w:rPr>
        <w:t>0.0475</w:t>
      </w:r>
      <w:r>
        <w:rPr>
          <w:rFonts w:ascii="Times New Roman" w:eastAsia="仿宋_GB2312" w:cs="Times New Roman" w:hAnsi="Times New Roman"/>
          <w:sz w:val="28"/>
          <w:szCs w:val="28"/>
        </w:rPr>
        <w:t>万元。其中：</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1.因公出国（境）费用。2022年决算数0.00万元，与2022年年初预算数0.00万元持平。2022年组织因公出国（境）团组0个、0人次，人均因公出国（境）费用0.00万元。</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2.公务接待费。2022年决算数0.00万元，比2022年年初预算数0.0</w:t>
      </w:r>
      <w:r>
        <w:rPr>
          <w:rFonts w:ascii="Times New Roman" w:eastAsia="仿宋_GB2312" w:cs="Times New Roman" w:hAnsi="Times New Roman" w:hint="eastAsia"/>
          <w:sz w:val="28"/>
          <w:szCs w:val="28"/>
          <w:lang w:val="en-US" w:eastAsia="zh-CN"/>
        </w:rPr>
        <w:t>475</w:t>
      </w:r>
      <w:r>
        <w:rPr>
          <w:rFonts w:ascii="Times New Roman" w:eastAsia="仿宋_GB2312" w:cs="Times New Roman" w:hAnsi="Times New Roman"/>
          <w:sz w:val="28"/>
          <w:szCs w:val="28"/>
        </w:rPr>
        <w:t>万元减少0.0</w:t>
      </w:r>
      <w:r>
        <w:rPr>
          <w:rFonts w:ascii="Times New Roman" w:eastAsia="仿宋_GB2312" w:cs="Times New Roman" w:hAnsi="Times New Roman" w:hint="eastAsia"/>
          <w:sz w:val="28"/>
          <w:szCs w:val="28"/>
          <w:lang w:val="en-US" w:eastAsia="zh-CN"/>
        </w:rPr>
        <w:t>475</w:t>
      </w:r>
      <w:r>
        <w:rPr>
          <w:rFonts w:ascii="Times New Roman" w:eastAsia="仿宋_GB2312" w:cs="Times New Roman" w:hAnsi="Times New Roman"/>
          <w:sz w:val="28"/>
          <w:szCs w:val="28"/>
        </w:rPr>
        <w:t>万元。</w:t>
      </w:r>
      <w:r>
        <w:rPr>
          <w:rFonts w:ascii="Times New Roman" w:eastAsia="仿宋_GB2312" w:cs="Times New Roman" w:hAnsi="Times New Roman"/>
          <w:color w:val="000000"/>
          <w:sz w:val="28"/>
          <w:szCs w:val="28"/>
        </w:rPr>
        <w:t>主要原因</w:t>
      </w:r>
      <w:r>
        <w:rPr>
          <w:rFonts w:ascii="Times New Roman" w:eastAsia="仿宋_GB2312" w:cs="Times New Roman" w:hAnsi="Times New Roman"/>
          <w:color w:val="000000"/>
          <w:sz w:val="28"/>
          <w:szCs w:val="28"/>
          <w:shd w:val="clear" w:color="auto" w:fill="FFFFFF"/>
        </w:rPr>
        <w:t>是严格贯彻执行中央八项规定，坚持厉行节约、压缩公务接待费。</w:t>
      </w:r>
      <w:r>
        <w:rPr>
          <w:rFonts w:ascii="Times New Roman" w:eastAsia="仿宋_GB2312" w:cs="Times New Roman" w:hAnsi="Times New Roman"/>
          <w:sz w:val="28"/>
          <w:szCs w:val="28"/>
        </w:rPr>
        <w:t>公务接待0批次，公务接待0人次。</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3.公务用车购置及运行维护费。2022年决算数</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万元，比2022年年初预算数</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万元减少</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万元。其中，公务用车购置费2022年决算数0.00万元，与2022年年初预算数0.00万元持平。2022年购置0辆，车均购置费0.00万元。公务用车运行维护费2022年决算数</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万元，比2022年年初预算数</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万元减少</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w:t>
      </w:r>
      <w:r>
        <w:rPr>
          <w:rFonts w:ascii="Times New Roman" w:eastAsia="仿宋_GB2312" w:cs="Times New Roman" w:hAnsi="Times New Roman"/>
          <w:color w:val="000000"/>
          <w:sz w:val="28"/>
          <w:szCs w:val="28"/>
        </w:rPr>
        <w:t>主要原因</w:t>
      </w:r>
      <w:r>
        <w:rPr>
          <w:rFonts w:ascii="Times New Roman" w:eastAsia="仿宋_GB2312" w:cs="Times New Roman" w:hAnsi="Times New Roman"/>
          <w:color w:val="000000"/>
          <w:sz w:val="28"/>
          <w:szCs w:val="28"/>
          <w:shd w:val="clear" w:color="auto" w:fill="FFFFFF"/>
        </w:rPr>
        <w:t>严格贯彻执行中央八项规定和《党政机关厉行节约反对浪费条例》精神，压缩车辆燃油费、维修费、车辆杂费等车辆运行费用</w:t>
      </w:r>
      <w:r>
        <w:rPr>
          <w:rFonts w:ascii="Times New Roman" w:eastAsia="仿宋_GB2312" w:cs="Times New Roman" w:hAnsi="Times New Roman"/>
          <w:color w:val="000000"/>
          <w:sz w:val="28"/>
          <w:szCs w:val="28"/>
        </w:rPr>
        <w:t>。</w:t>
      </w:r>
      <w:r>
        <w:rPr>
          <w:rFonts w:ascii="Times New Roman" w:eastAsia="仿宋_GB2312" w:cs="Times New Roman" w:hAnsi="Times New Roman"/>
          <w:sz w:val="28"/>
          <w:szCs w:val="28"/>
        </w:rPr>
        <w:t>2022年公务用车保有量</w:t>
      </w:r>
      <w:r>
        <w:rPr>
          <w:rFonts w:ascii="Times New Roman" w:eastAsia="仿宋_GB2312" w:cs="Times New Roman" w:hAnsi="Times New Roman" w:hint="eastAsia"/>
          <w:sz w:val="28"/>
          <w:szCs w:val="28"/>
          <w:lang w:val="en-US" w:eastAsia="zh-CN"/>
        </w:rPr>
        <w:t>0</w:t>
      </w:r>
      <w:r>
        <w:rPr>
          <w:rFonts w:ascii="Times New Roman" w:eastAsia="仿宋_GB2312" w:cs="Times New Roman" w:hAnsi="Times New Roman"/>
          <w:sz w:val="28"/>
          <w:szCs w:val="28"/>
        </w:rPr>
        <w:t>辆，车均运行维护费0.</w:t>
      </w:r>
      <w:r>
        <w:rPr>
          <w:rFonts w:ascii="Times New Roman" w:eastAsia="仿宋_GB2312" w:cs="Times New Roman" w:hAnsi="Times New Roman" w:hint="eastAsia"/>
          <w:sz w:val="28"/>
          <w:szCs w:val="28"/>
          <w:lang w:val="en-US" w:eastAsia="zh-CN"/>
        </w:rPr>
        <w:t>00</w:t>
      </w:r>
      <w:r>
        <w:rPr>
          <w:rFonts w:ascii="Times New Roman" w:eastAsia="仿宋_GB2312" w:cs="Times New Roman" w:hAnsi="Times New Roman"/>
          <w:sz w:val="28"/>
          <w:szCs w:val="28"/>
        </w:rPr>
        <w:t>万元。</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二、机关运行经费支出情况</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不属于机关运行经费统计范围。</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三、政府采购支出情况</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2022年政府采购支出总额</w:t>
      </w:r>
      <w:r>
        <w:rPr>
          <w:rFonts w:ascii="Times New Roman" w:eastAsia="仿宋_GB2312" w:cs="Times New Roman" w:hAnsi="Times New Roman" w:hint="eastAsia"/>
          <w:sz w:val="28"/>
          <w:szCs w:val="28"/>
        </w:rPr>
        <w:t>2.92</w:t>
      </w:r>
      <w:r>
        <w:rPr>
          <w:rFonts w:ascii="Times New Roman" w:eastAsia="仿宋_GB2312" w:cs="Times New Roman" w:hAnsi="Times New Roman"/>
          <w:sz w:val="28"/>
          <w:szCs w:val="28"/>
        </w:rPr>
        <w:t>万元，其中：政府采购货物支出</w:t>
      </w:r>
      <w:r>
        <w:rPr>
          <w:rFonts w:ascii="Times New Roman" w:eastAsia="仿宋_GB2312" w:cs="Times New Roman" w:hAnsi="Times New Roman" w:hint="eastAsia"/>
          <w:sz w:val="28"/>
          <w:szCs w:val="28"/>
        </w:rPr>
        <w:t>2.92</w:t>
      </w:r>
      <w:r>
        <w:rPr>
          <w:rFonts w:ascii="Times New Roman" w:eastAsia="仿宋_GB2312" w:cs="Times New Roman" w:hAnsi="Times New Roman"/>
          <w:sz w:val="28"/>
          <w:szCs w:val="28"/>
        </w:rPr>
        <w:t>万元，政府采购工程支出0.00万元，政府采购服务支出0.00万元。授予中小企业合同金额</w:t>
      </w:r>
      <w:r>
        <w:rPr>
          <w:rFonts w:ascii="Times New Roman" w:eastAsia="仿宋_GB2312" w:cs="Times New Roman" w:hAnsi="Times New Roman" w:hint="eastAsia"/>
          <w:sz w:val="28"/>
          <w:szCs w:val="28"/>
        </w:rPr>
        <w:t>2.92</w:t>
      </w:r>
      <w:r>
        <w:rPr>
          <w:rFonts w:ascii="Times New Roman" w:eastAsia="仿宋_GB2312" w:cs="Times New Roman" w:hAnsi="Times New Roman"/>
          <w:sz w:val="28"/>
          <w:szCs w:val="28"/>
        </w:rPr>
        <w:t>万元，占政府采购支出总额的</w:t>
      </w:r>
      <w:r>
        <w:rPr>
          <w:rFonts w:ascii="Times New Roman" w:eastAsia="仿宋_GB2312" w:cs="Times New Roman" w:hAnsi="Times New Roman" w:hint="eastAsia"/>
          <w:sz w:val="28"/>
          <w:szCs w:val="28"/>
        </w:rPr>
        <w:t>100</w:t>
      </w:r>
      <w:r>
        <w:rPr>
          <w:rFonts w:ascii="Times New Roman" w:eastAsia="仿宋_GB2312" w:cs="Times New Roman" w:hAnsi="Times New Roman"/>
          <w:sz w:val="28"/>
          <w:szCs w:val="28"/>
        </w:rPr>
        <w:t>%，其中：授予小微企业合同金额</w:t>
      </w:r>
      <w:r>
        <w:rPr>
          <w:rFonts w:ascii="Times New Roman" w:eastAsia="仿宋_GB2312" w:cs="Times New Roman" w:hAnsi="Times New Roman" w:hint="eastAsia"/>
          <w:sz w:val="28"/>
          <w:szCs w:val="28"/>
        </w:rPr>
        <w:t>2.92</w:t>
      </w:r>
      <w:r>
        <w:rPr>
          <w:rFonts w:ascii="Times New Roman" w:eastAsia="仿宋_GB2312" w:cs="Times New Roman" w:hAnsi="Times New Roman"/>
          <w:sz w:val="28"/>
          <w:szCs w:val="28"/>
        </w:rPr>
        <w:t>万元，占政府采购支出总额的</w:t>
      </w:r>
      <w:r>
        <w:rPr>
          <w:rFonts w:ascii="Times New Roman" w:eastAsia="仿宋_GB2312" w:cs="Times New Roman" w:hAnsi="Times New Roman" w:hint="eastAsia"/>
          <w:sz w:val="28"/>
          <w:szCs w:val="28"/>
        </w:rPr>
        <w:t>100</w:t>
      </w:r>
      <w:r>
        <w:rPr>
          <w:rFonts w:ascii="Times New Roman" w:eastAsia="仿宋_GB2312" w:cs="Times New Roman" w:hAnsi="Times New Roman"/>
          <w:sz w:val="28"/>
          <w:szCs w:val="28"/>
        </w:rPr>
        <w:t>%。</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四、国有资产占用情况</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2022年车辆0台，0.00万元；单位价值50万元以上的通用设备0台（套），单位价值100万元以上的专用设备0台（套）。</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五、政府购买服务支出说明</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2022年政府购买服务决算0.00万元。</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六、专业名词解释</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1.基本支出：指为保障机构正常运转、完成日常工作任务而发生的人员支出和公用支出。</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2.项目支出：指在基本支出之外为完成特定行政任务或事业发展目标所发生的支出。</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4.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5.政府采购：指各级国家机关、事业单位和团体组织，使用财政性资金采购依法制定的集中目录以内的或者采购限额标准以上的货物、工程和服务的行为。</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6.政府购买服务：是指各级国家机关将属于自身职责范围且适合通过市场化方式提供的服务事项，按照政府采购方式和程序，交由符合条件的服务供应商承担，并根据服务数量和质量等因素向其支付费用的行为。</w:t>
      </w:r>
    </w:p>
    <w:p>
      <w:pPr>
        <w:rPr>
          <w:rFonts w:ascii="Times New Roman" w:eastAsia="仿宋_GB2312" w:cs="Times New Roman" w:hAnsi="Times New Roman"/>
          <w:kern w:val="0"/>
          <w:sz w:val="28"/>
          <w:szCs w:val="28"/>
        </w:rPr>
      </w:pPr>
      <w:r>
        <w:rPr>
          <w:rFonts w:ascii="Times New Roman" w:eastAsia="仿宋_GB2312" w:cs="Times New Roman" w:hAnsi="Times New Roman" w:hint="eastAsia"/>
          <w:sz w:val="28"/>
          <w:szCs w:val="28"/>
        </w:rPr>
        <w:t xml:space="preserve">    7.</w:t>
      </w:r>
      <w:r>
        <w:rPr>
          <w:rFonts w:ascii="Times New Roman" w:eastAsia="仿宋_GB2312" w:cs="Times New Roman" w:hAnsi="Times New Roman" w:hint="eastAsia"/>
          <w:kern w:val="0"/>
          <w:sz w:val="28"/>
          <w:szCs w:val="28"/>
        </w:rPr>
        <w:t>支出功能分类“类级”科目名词解释:</w:t>
      </w:r>
    </w:p>
    <w:p>
      <w:pPr>
        <w:ind w:firstLineChars="200" w:firstLine="560"/>
        <w:rPr>
          <w:rFonts w:ascii="Times New Roman" w:eastAsia="仿宋_GB2312" w:cs="Times New Roman" w:hAnsi="Times New Roman"/>
          <w:kern w:val="0"/>
          <w:sz w:val="28"/>
          <w:szCs w:val="28"/>
        </w:rPr>
      </w:pPr>
      <w:r>
        <w:rPr>
          <w:rFonts w:ascii="Times New Roman" w:eastAsia="仿宋_GB2312" w:cs="Times New Roman" w:hAnsi="Times New Roman" w:hint="eastAsia"/>
          <w:kern w:val="0"/>
          <w:sz w:val="28"/>
          <w:szCs w:val="28"/>
        </w:rPr>
        <w:t>一般公共服务支出（类）发展与改革事务（款）行政运行（项）：反映行政单位（包括实行公务员管理的事业单位）的基本支出。</w:t>
      </w:r>
    </w:p>
    <w:p>
      <w:pPr>
        <w:ind w:firstLineChars="200" w:firstLine="560"/>
        <w:rPr>
          <w:rFonts w:ascii="Times New Roman" w:eastAsia="仿宋_GB2312" w:cs="Times New Roman" w:hAnsi="Times New Roman"/>
          <w:kern w:val="0"/>
          <w:sz w:val="28"/>
          <w:szCs w:val="28"/>
        </w:rPr>
      </w:pPr>
      <w:r>
        <w:rPr>
          <w:rFonts w:ascii="Times New Roman" w:eastAsia="仿宋_GB2312" w:cs="Times New Roman" w:hAnsi="Times New Roman" w:hint="eastAsia"/>
          <w:kern w:val="0"/>
          <w:sz w:val="28"/>
          <w:szCs w:val="28"/>
        </w:rPr>
        <w:t>一般公共服务支出（类）发展与改革事务（款）一般行政管理事务（项）：反映行政单位（包括实行公务员管理的事业单位）未单独设置项级科目的其他项目支出。</w:t>
      </w:r>
    </w:p>
    <w:p>
      <w:pPr>
        <w:ind w:firstLineChars="200" w:firstLine="560"/>
        <w:rPr>
          <w:rFonts w:ascii="Times New Roman" w:eastAsia="仿宋_GB2312" w:cs="Times New Roman" w:hAnsi="Times New Roman"/>
          <w:kern w:val="0"/>
          <w:sz w:val="28"/>
          <w:szCs w:val="28"/>
        </w:rPr>
      </w:pPr>
      <w:r>
        <w:rPr>
          <w:rFonts w:ascii="Times New Roman" w:eastAsia="仿宋_GB2312" w:cs="Times New Roman" w:hAnsi="Times New Roman" w:hint="eastAsia"/>
          <w:kern w:val="0"/>
          <w:sz w:val="28"/>
          <w:szCs w:val="28"/>
        </w:rPr>
        <w:t>一般公共服务支出（类）发展与改革事务（款）事业运行（项）：反映事业单位的基本支出，不包括行政单位（包括实行公务员管理的事业单位）后勤服务中心、医务室等附属事业单位。</w:t>
      </w:r>
    </w:p>
    <w:p>
      <w:pPr>
        <w:ind w:firstLineChars="200" w:firstLine="560"/>
        <w:rPr>
          <w:rFonts w:ascii="Times New Roman" w:eastAsia="仿宋_GB2312" w:cs="Times New Roman" w:hAnsi="Times New Roman"/>
          <w:kern w:val="0"/>
          <w:sz w:val="28"/>
          <w:szCs w:val="28"/>
        </w:rPr>
      </w:pPr>
      <w:r>
        <w:rPr>
          <w:rFonts w:ascii="Times New Roman" w:eastAsia="仿宋_GB2312" w:cs="Times New Roman" w:hAnsi="Times New Roman" w:hint="eastAsia"/>
          <w:kern w:val="0"/>
          <w:sz w:val="28"/>
          <w:szCs w:val="28"/>
        </w:rPr>
        <w:t>社会保障和就业支出（类）行政事业单位养老支出（款）机关事业单位基本养老保险缴费支出（项）：反映机关事业单位实施养老保险制度由单位缴纳的基本养老保险费支出。</w:t>
      </w:r>
    </w:p>
    <w:p>
      <w:pPr>
        <w:ind w:firstLineChars="200" w:firstLine="560"/>
        <w:rPr>
          <w:rFonts w:ascii="Times New Roman" w:eastAsia="仿宋_GB2312" w:cs="Times New Roman" w:hAnsi="Times New Roman"/>
          <w:kern w:val="0"/>
          <w:sz w:val="28"/>
          <w:szCs w:val="28"/>
        </w:rPr>
      </w:pPr>
      <w:r>
        <w:rPr>
          <w:rFonts w:ascii="Times New Roman" w:eastAsia="仿宋_GB2312" w:cs="Times New Roman" w:hAnsi="Times New Roman" w:hint="eastAsia"/>
          <w:kern w:val="0"/>
          <w:sz w:val="28"/>
          <w:szCs w:val="28"/>
        </w:rPr>
        <w:t>社会保障和就业支出（类）行政事业单位养老支出（款）机关事业单位职业年金缴费支出（项）：反映机关事业单位实施养老保险制度由单位实际缴纳的职业年金支出。</w:t>
      </w:r>
    </w:p>
    <w:p>
      <w:pPr>
        <w:ind w:firstLineChars="200" w:firstLine="560"/>
        <w:rPr>
          <w:rFonts w:ascii="Times New Roman" w:eastAsia="仿宋_GB2312" w:cs="Times New Roman" w:hAnsi="Times New Roman"/>
          <w:kern w:val="0"/>
          <w:sz w:val="28"/>
          <w:szCs w:val="28"/>
        </w:rPr>
      </w:pPr>
      <w:r>
        <w:rPr>
          <w:rFonts w:ascii="Times New Roman" w:eastAsia="仿宋_GB2312" w:cs="Times New Roman" w:hAnsi="Times New Roman" w:hint="eastAsia"/>
          <w:kern w:val="0"/>
          <w:sz w:val="28"/>
          <w:szCs w:val="28"/>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Chars="200" w:firstLine="560"/>
        <w:rPr>
          <w:rFonts w:ascii="Times New Roman" w:eastAsia="仿宋_GB2312" w:cs="Times New Roman" w:hAnsi="Times New Roman"/>
          <w:kern w:val="0"/>
          <w:sz w:val="28"/>
          <w:szCs w:val="28"/>
        </w:rPr>
      </w:pPr>
      <w:r>
        <w:rPr>
          <w:rFonts w:ascii="Times New Roman" w:eastAsia="仿宋_GB2312" w:cs="Times New Roman" w:hAnsi="Times New Roman" w:hint="eastAsia"/>
          <w:kern w:val="0"/>
          <w:sz w:val="28"/>
          <w:szCs w:val="28"/>
        </w:rPr>
        <w:t>卫生健康支出（类）行政事业单位医疗（款）事业单位医疗（项）：反映财政部门安排的事业单位基本医疗保险缴费经费，未参加医疗保险的事业单位的公费医疗经费，按国家规定享受离休人员待遇的医疗经费。</w:t>
      </w:r>
    </w:p>
    <w:p>
      <w:pPr>
        <w:pStyle w:val="18"/>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Style w:val="19"/>
          <w:rFonts w:ascii="Times New Roman" w:eastAsia="仿宋_GB2312" w:cs="Times New Roman" w:hAnsi="Times New Roman"/>
          <w:sz w:val="28"/>
          <w:szCs w:val="28"/>
        </w:rPr>
        <w:t>第四部分  2022年度部门绩效评价情况</w:t>
      </w:r>
    </w:p>
    <w:p>
      <w:pPr>
        <w:pStyle w:val="18"/>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Fonts w:ascii="Times New Roman" w:eastAsia="仿宋_GB2312" w:cs="Times New Roman" w:hAnsi="Times New Roman"/>
          <w:sz w:val="28"/>
          <w:szCs w:val="28"/>
        </w:rPr>
        <w:t> </w:t>
      </w:r>
    </w:p>
    <w:p>
      <w:pPr>
        <w:widowControl/>
        <w:shd w:val="clear" w:color="auto" w:fill="FFFFFF"/>
        <w:adjustRightInd w:val="0"/>
        <w:snapToGrid w:val="0"/>
        <w:spacing w:line="600" w:lineRule="exact"/>
        <w:ind w:firstLineChars="200" w:firstLine="560"/>
        <w:jc w:val="left"/>
        <w:rPr>
          <w:rFonts w:ascii="Times New Roman" w:eastAsia="仿宋_GB2312" w:cs="Times New Roman" w:hAnsi="Times New Roman"/>
          <w:color w:val="000000"/>
          <w:sz w:val="28"/>
          <w:szCs w:val="28"/>
        </w:rPr>
      </w:pPr>
      <w:r>
        <w:rPr>
          <w:rFonts w:ascii="Times New Roman" w:eastAsia="仿宋_GB2312" w:cs="Times New Roman" w:hAnsi="Times New Roman"/>
          <w:color w:val="000000"/>
          <w:kern w:val="0"/>
          <w:sz w:val="28"/>
          <w:szCs w:val="28"/>
        </w:rPr>
        <w:t>一</w:t>
      </w:r>
      <w:r>
        <w:rPr>
          <w:rFonts w:ascii="Times New Roman" w:eastAsia="仿宋_GB2312" w:cs="Times New Roman" w:hAnsi="Times New Roman"/>
          <w:b/>
          <w:color w:val="000000"/>
          <w:kern w:val="0"/>
          <w:sz w:val="28"/>
          <w:szCs w:val="28"/>
        </w:rPr>
        <w:t>、项目支出绩效自评表或绩效评价报告</w:t>
      </w:r>
    </w:p>
    <w:p>
      <w:pPr>
        <w:pStyle w:val="18"/>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本单位按照规定对项目支出进行绩效管理，对项目支出进行有效控制，确保项目资金的使用效益</w:t>
      </w:r>
      <w:r>
        <w:rPr>
          <w:rFonts w:ascii="Times New Roman" w:eastAsia="仿宋_GB2312" w:cs="Times New Roman" w:hAnsi="Times New Roman"/>
          <w:color w:val="000000"/>
          <w:sz w:val="28"/>
          <w:szCs w:val="28"/>
        </w:rPr>
        <w:t>。</w:t>
      </w:r>
    </w:p>
    <w:p>
      <w:pPr>
        <w:pStyle w:val="18"/>
        <w:shd w:val="clear" w:color="auto" w:fill="FFFFFF"/>
        <w:rPr>
          <w:sz w:val="18"/>
          <w:szCs w:val="18"/>
        </w:rPr>
      </w:pPr>
      <w:r>
        <w:rPr>
          <w:rFonts w:hint="eastAsia"/>
          <w:sz w:val="18"/>
          <w:szCs w:val="18"/>
        </w:rPr>
        <w:t> </w:t>
      </w: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仿宋_GB2312">
    <w:altName w:val="仿宋"/>
    <w:panose1 w:val="0201060903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YmE1NjFlMzg5ZTE1YTU3YWQ0OWNiYzE5YjIxZTY2OW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styleId="18">
    <w:name w:val="Normal (Web)"/>
    <w:qFormat/>
    <w:basedOn w:val="0"/>
    <w:pPr>
      <w:widowControl/>
      <w:spacing w:before="100" w:beforeAutospacing="1" w:after="100" w:afterAutospacing="1"/>
      <w:jc w:val="left"/>
    </w:pPr>
    <w:rPr>
      <w:rFonts w:ascii="宋体" w:eastAsia="宋体" w:cs="宋体"/>
      <w:kern w:val="0"/>
      <w:sz w:val="24"/>
      <w:szCs w:val="24"/>
    </w:rPr>
  </w:style>
  <w:style w:type="character" w:styleId="19">
    <w:name w:val="Strong"/>
    <w:qFormat/>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Yozo_Office27021597764231180</Application>
  <Pages>8</Pages>
  <Words>0</Words>
  <Characters>3283</Characters>
  <Lines>0</Lines>
  <Paragraphs>85</Paragraphs>
  <CharactersWithSpaces>4378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王艺潞</dc:creator>
  <cp:lastModifiedBy>123</cp:lastModifiedBy>
  <cp:revision>26</cp:revision>
  <cp:lastPrinted>2022-09-13T09:04:00Z</cp:lastPrinted>
  <dcterms:created xsi:type="dcterms:W3CDTF">2022-08-04T07:39:00Z</dcterms:created>
  <dcterms:modified xsi:type="dcterms:W3CDTF">2024-05-27T08:54:44Z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2DEBD2D6239349468CB95A275F1DD604_12</vt:lpwstr>
  </property>
</Properties>
</file>