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highlight w:val="none"/>
          <w:lang w:eastAsia="zh-CN"/>
        </w:rPr>
      </w:pPr>
      <w:bookmarkStart w:id="0" w:name="_GoBack"/>
      <w:r>
        <w:rPr>
          <w:rFonts w:hint="eastAsia" w:ascii="方正小标宋简体" w:hAnsi="方正小标宋简体" w:eastAsia="方正小标宋简体" w:cs="方正小标宋简体"/>
          <w:i w:val="0"/>
          <w:color w:val="000000"/>
          <w:kern w:val="0"/>
          <w:sz w:val="36"/>
          <w:szCs w:val="36"/>
          <w:highlight w:val="none"/>
          <w:u w:val="none"/>
          <w:lang w:val="en-US" w:eastAsia="zh-CN" w:bidi="ar"/>
        </w:rPr>
        <w:t>（农业农村局）2021年市政府工作报告重点工作落实情况表（第四季度）</w:t>
      </w:r>
    </w:p>
    <w:bookmarkEnd w:id="0"/>
    <w:tbl>
      <w:tblPr>
        <w:tblStyle w:val="10"/>
        <w:tblW w:w="1324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04"/>
        <w:gridCol w:w="2746"/>
        <w:gridCol w:w="2908"/>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highlight w:val="none"/>
              </w:rPr>
            </w:pPr>
            <w:r>
              <w:rPr>
                <w:rFonts w:hint="eastAsia" w:ascii="黑体" w:hAnsi="宋体" w:eastAsia="黑体" w:cs="黑体"/>
                <w:i w:val="0"/>
                <w:color w:val="000000"/>
                <w:kern w:val="0"/>
                <w:sz w:val="24"/>
                <w:szCs w:val="24"/>
                <w:highlight w:val="none"/>
                <w:u w:val="none"/>
                <w:lang w:val="en-US" w:eastAsia="zh-CN" w:bidi="ar"/>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highlight w:val="none"/>
              </w:rPr>
            </w:pPr>
            <w:r>
              <w:rPr>
                <w:rFonts w:hint="eastAsia" w:ascii="黑体" w:hAnsi="宋体" w:eastAsia="黑体" w:cs="黑体"/>
                <w:i w:val="0"/>
                <w:color w:val="000000"/>
                <w:kern w:val="0"/>
                <w:sz w:val="24"/>
                <w:szCs w:val="24"/>
                <w:highlight w:val="none"/>
                <w:u w:val="none"/>
                <w:lang w:val="en-US" w:eastAsia="zh-CN" w:bidi="ar"/>
              </w:rPr>
              <w:t>任务来源</w:t>
            </w:r>
          </w:p>
        </w:tc>
        <w:tc>
          <w:tcPr>
            <w:tcW w:w="27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highlight w:val="none"/>
              </w:rPr>
            </w:pPr>
            <w:r>
              <w:rPr>
                <w:rFonts w:hint="eastAsia" w:ascii="黑体" w:hAnsi="宋体" w:eastAsia="黑体" w:cs="黑体"/>
                <w:i w:val="0"/>
                <w:color w:val="000000"/>
                <w:kern w:val="0"/>
                <w:sz w:val="24"/>
                <w:szCs w:val="24"/>
                <w:highlight w:val="none"/>
                <w:u w:val="none"/>
                <w:lang w:val="en-US" w:eastAsia="zh-CN" w:bidi="ar"/>
              </w:rPr>
              <w:t>市级任务内容</w:t>
            </w:r>
          </w:p>
        </w:tc>
        <w:tc>
          <w:tcPr>
            <w:tcW w:w="29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highlight w:val="none"/>
              </w:rPr>
            </w:pPr>
            <w:r>
              <w:rPr>
                <w:rFonts w:hint="eastAsia" w:ascii="黑体" w:hAnsi="宋体" w:eastAsia="黑体" w:cs="黑体"/>
                <w:i w:val="0"/>
                <w:color w:val="000000"/>
                <w:kern w:val="0"/>
                <w:sz w:val="24"/>
                <w:szCs w:val="24"/>
                <w:highlight w:val="none"/>
                <w:u w:val="none"/>
                <w:lang w:val="en-US" w:eastAsia="zh-CN" w:bidi="ar"/>
              </w:rPr>
              <w:t>区级责任部门</w:t>
            </w:r>
          </w:p>
        </w:tc>
        <w:tc>
          <w:tcPr>
            <w:tcW w:w="489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highlight w:val="none"/>
              </w:rPr>
            </w:pPr>
            <w:r>
              <w:rPr>
                <w:rFonts w:hint="eastAsia" w:ascii="黑体" w:hAnsi="宋体" w:eastAsia="黑体" w:cs="黑体"/>
                <w:i w:val="0"/>
                <w:color w:val="000000"/>
                <w:kern w:val="0"/>
                <w:sz w:val="24"/>
                <w:szCs w:val="24"/>
                <w:highlight w:val="none"/>
                <w:u w:val="none"/>
                <w:lang w:val="en-US" w:eastAsia="zh-CN"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仿宋_GB2312" w:hAnsi="Arial" w:eastAsia="仿宋_GB2312" w:cs="仿宋_GB2312"/>
                <w:i w:val="0"/>
                <w:color w:val="000000"/>
                <w:kern w:val="0"/>
                <w:sz w:val="24"/>
                <w:szCs w:val="24"/>
                <w:highlight w:val="none"/>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仿宋_GB2312" w:hAnsi="Arial" w:eastAsia="仿宋_GB2312" w:cs="仿宋_GB2312"/>
                <w:i w:val="0"/>
                <w:color w:val="000000"/>
                <w:kern w:val="0"/>
                <w:sz w:val="24"/>
                <w:szCs w:val="24"/>
                <w:highlight w:val="none"/>
                <w:u w:val="none"/>
                <w:lang w:val="en-US" w:eastAsia="zh-CN" w:bidi="ar"/>
              </w:rPr>
              <w:t>市政府工作报告重点工作</w:t>
            </w:r>
            <w:r>
              <w:rPr>
                <w:rFonts w:hint="eastAsia" w:ascii="仿宋_GB2312" w:hAnsi="Arial" w:eastAsia="仿宋_GB2312" w:cs="仿宋_GB2312"/>
                <w:i w:val="0"/>
                <w:color w:val="000000"/>
                <w:kern w:val="0"/>
                <w:sz w:val="24"/>
                <w:szCs w:val="24"/>
                <w:highlight w:val="none"/>
                <w:u w:val="none"/>
                <w:lang w:val="en-US" w:eastAsia="zh-CN" w:bidi="ar"/>
              </w:rPr>
              <w:br w:type="textWrapping"/>
            </w:r>
            <w:r>
              <w:rPr>
                <w:rFonts w:hint="eastAsia" w:ascii="仿宋_GB2312" w:hAnsi="Arial" w:eastAsia="仿宋_GB2312" w:cs="仿宋_GB2312"/>
                <w:i w:val="0"/>
                <w:color w:val="000000"/>
                <w:kern w:val="0"/>
                <w:sz w:val="24"/>
                <w:szCs w:val="24"/>
                <w:highlight w:val="none"/>
                <w:u w:val="none"/>
                <w:lang w:val="en-US" w:eastAsia="zh-CN" w:bidi="ar"/>
              </w:rPr>
              <w:t>第89项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拆除违法建设2500万平方米、腾退土地3000公顷。平谷区、延庆区、北京经济技术开发区完成“基本无违法建设区”创建，力争实现亦庄新城“基本无违法建设区”创建，保持新生违建动态清零。“留白增绿”860公顷，重点打造朝阳金盏郊野公园（二期）等一批城市公园和大尺度绿地。</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区城管委</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市规划自然</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资源委朝阳分局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区园林绿化局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highlight w:val="none"/>
              </w:rPr>
            </w:pPr>
            <w:r>
              <w:rPr>
                <w:rFonts w:hint="eastAsia" w:ascii="仿宋_GB2312" w:hAnsi="宋体" w:eastAsia="仿宋_GB2312" w:cs="仿宋_GB2312"/>
                <w:i w:val="0"/>
                <w:iCs w:val="0"/>
                <w:color w:val="auto"/>
                <w:kern w:val="0"/>
                <w:sz w:val="24"/>
                <w:szCs w:val="24"/>
                <w:highlight w:val="none"/>
                <w:u w:val="none"/>
                <w:lang w:val="en-US" w:eastAsia="zh-CN" w:bidi="ar"/>
              </w:rPr>
              <w:t>目前农村地区各乡已完成土地整理及播种，种植率达100%。通过市级验收并销账，任务完成率100%。金盏森林公园（二期）已完成拆迁腾退工作，目前坤江市场已完成土地复垦工作，其余地块均已完成绿化主体栽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市政府工作报告重点工作</w:t>
            </w:r>
            <w:r>
              <w:rPr>
                <w:rFonts w:hint="eastAsia" w:ascii="仿宋_GB2312" w:hAnsi="Arial" w:eastAsia="仿宋_GB2312" w:cs="仿宋_GB2312"/>
                <w:i w:val="0"/>
                <w:color w:val="000000"/>
                <w:kern w:val="0"/>
                <w:sz w:val="24"/>
                <w:szCs w:val="24"/>
                <w:highlight w:val="none"/>
                <w:u w:val="none"/>
                <w:lang w:val="en-US" w:eastAsia="zh-CN" w:bidi="ar"/>
              </w:rPr>
              <w:br w:type="textWrapping"/>
            </w:r>
            <w:r>
              <w:rPr>
                <w:rFonts w:hint="eastAsia" w:ascii="仿宋_GB2312" w:hAnsi="Arial" w:eastAsia="仿宋_GB2312" w:cs="仿宋_GB2312"/>
                <w:i w:val="0"/>
                <w:color w:val="000000"/>
                <w:kern w:val="0"/>
                <w:sz w:val="24"/>
                <w:szCs w:val="24"/>
                <w:highlight w:val="none"/>
                <w:u w:val="none"/>
                <w:lang w:val="en-US" w:eastAsia="zh-CN" w:bidi="ar"/>
              </w:rPr>
              <w:t>第238项</w:t>
            </w:r>
          </w:p>
        </w:tc>
        <w:tc>
          <w:tcPr>
            <w:tcW w:w="2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持续做好社区、公共场所、特殊场所、人员密集和空间密闭场所等常态化防控，加强农村和城乡结合部地区疫情防控。</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区委组织部</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区民政局</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一是做好重点人群核查管控。在现状村内持续开展14天内由中高风险地区返京入村人员排查；按照社区防控组推送的大数据和各乡开展的自下而上排查出的重点人员名单，及时核查，并按要求落实管控措施和健康监测。二是加强村庄卡口等重点区域、重点场所的管控。根据市区要求，强化村庄卡口“三班倒”、“四件套”措施；全面关停村庄内棋牌室、麻将室等密闭游艺空间。三是坚持每月对46个现状村开展常态化环境监测，累计完成17轮环境监测，结果全部为阴性。加快推进农村公共卫生室建设，新建5个C类(面积≧150平方米)社区卫生服务站，目前黑庄户乡大鲁店三村、万子营东村，崔各庄乡费家村3个服务站已投入使用。黑庄户乡大鲁店一村、双树北村2个服务站已完成基本建设。结合疫情防控形势，对46个现状村保洁人员开展核酸检测，已累计完成15轮（12月已完成）。摸排现状村范围内机场工作人员153人，已采取健康监测、电话随访等措施加强管控，工作人员所在单位定期组织核酸检测。</w:t>
            </w:r>
          </w:p>
        </w:tc>
      </w:tr>
    </w:tbl>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singl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highlight w:val="none"/>
          <w:lang w:eastAsia="zh-CN"/>
        </w:rPr>
      </w:pPr>
      <w:r>
        <w:rPr>
          <w:rFonts w:hint="eastAsia" w:ascii="方正小标宋简体" w:hAnsi="方正小标宋简体" w:eastAsia="方正小标宋简体" w:cs="方正小标宋简体"/>
          <w:i w:val="0"/>
          <w:color w:val="000000"/>
          <w:kern w:val="0"/>
          <w:sz w:val="36"/>
          <w:szCs w:val="36"/>
          <w:highlight w:val="none"/>
          <w:u w:val="none"/>
          <w:lang w:val="en-US" w:eastAsia="zh-CN" w:bidi="ar"/>
        </w:rPr>
        <w:t>（农业农村局）北京市2021年重要民生实事项目落实情况表（第四季度）</w:t>
      </w:r>
    </w:p>
    <w:tbl>
      <w:tblPr>
        <w:tblStyle w:val="10"/>
        <w:tblW w:w="13246"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04"/>
        <w:gridCol w:w="2769"/>
        <w:gridCol w:w="2931"/>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blHeader/>
        </w:trPr>
        <w:tc>
          <w:tcPr>
            <w:tcW w:w="796"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序号</w:t>
            </w:r>
          </w:p>
        </w:tc>
        <w:tc>
          <w:tcPr>
            <w:tcW w:w="1904"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任务来源</w:t>
            </w:r>
          </w:p>
        </w:tc>
        <w:tc>
          <w:tcPr>
            <w:tcW w:w="2769"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市级任务内容</w:t>
            </w:r>
          </w:p>
        </w:tc>
        <w:tc>
          <w:tcPr>
            <w:tcW w:w="2931"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区级责任部门</w:t>
            </w:r>
          </w:p>
        </w:tc>
        <w:tc>
          <w:tcPr>
            <w:tcW w:w="4846"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96"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Arial" w:eastAsia="仿宋_GB2312" w:cs="仿宋_GB2312"/>
                <w:i w:val="0"/>
                <w:color w:val="000000"/>
                <w:kern w:val="0"/>
                <w:sz w:val="24"/>
                <w:szCs w:val="24"/>
                <w:highlight w:val="none"/>
                <w:u w:val="none"/>
                <w:lang w:val="en-US" w:eastAsia="zh-CN" w:bidi="ar"/>
              </w:rPr>
              <w:t>1</w:t>
            </w:r>
          </w:p>
        </w:tc>
        <w:tc>
          <w:tcPr>
            <w:tcW w:w="1904"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iCs w:val="0"/>
                <w:color w:val="000000"/>
                <w:kern w:val="0"/>
                <w:sz w:val="24"/>
                <w:szCs w:val="24"/>
                <w:highlight w:val="none"/>
                <w:u w:val="none"/>
                <w:lang w:val="en-US" w:eastAsia="zh-CN" w:bidi="ar"/>
              </w:rPr>
              <w:t>市实事第22项</w:t>
            </w:r>
          </w:p>
        </w:tc>
        <w:tc>
          <w:tcPr>
            <w:tcW w:w="2769"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iCs w:val="0"/>
                <w:color w:val="000000"/>
                <w:kern w:val="0"/>
                <w:sz w:val="24"/>
                <w:szCs w:val="24"/>
                <w:highlight w:val="none"/>
                <w:u w:val="none"/>
                <w:lang w:val="en-US" w:eastAsia="zh-CN" w:bidi="ar"/>
              </w:rPr>
              <w:t>启动实施1000个左右村庄老旧基础设施改造工程，进一步提升农村人居环境。</w:t>
            </w:r>
          </w:p>
        </w:tc>
        <w:tc>
          <w:tcPr>
            <w:tcW w:w="2931"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846"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iCs w:val="0"/>
                <w:color w:val="000000"/>
                <w:kern w:val="0"/>
                <w:sz w:val="24"/>
                <w:szCs w:val="24"/>
                <w:highlight w:val="none"/>
                <w:u w:val="none"/>
                <w:lang w:val="en-US" w:eastAsia="zh-CN" w:bidi="ar"/>
              </w:rPr>
              <w:t>截至四季度，完成10个美丽乡村建设整体进度的100%。</w:t>
            </w:r>
          </w:p>
        </w:tc>
      </w:tr>
    </w:tbl>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highlight w:val="none"/>
          <w:lang w:eastAsia="zh-CN"/>
        </w:rPr>
      </w:pPr>
      <w:r>
        <w:rPr>
          <w:rFonts w:hint="eastAsia" w:ascii="方正小标宋简体" w:hAnsi="方正小标宋简体" w:eastAsia="方正小标宋简体" w:cs="方正小标宋简体"/>
          <w:i w:val="0"/>
          <w:color w:val="000000"/>
          <w:kern w:val="0"/>
          <w:sz w:val="36"/>
          <w:szCs w:val="36"/>
          <w:highlight w:val="none"/>
          <w:u w:val="none"/>
          <w:lang w:val="en-US" w:eastAsia="zh-CN" w:bidi="ar"/>
        </w:rPr>
        <w:t>（农业农村局）2021年区政府工作报告重点工作落实情况表（第四季度）</w:t>
      </w:r>
    </w:p>
    <w:tbl>
      <w:tblPr>
        <w:tblStyle w:val="10"/>
        <w:tblW w:w="1324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20"/>
        <w:gridCol w:w="2790"/>
        <w:gridCol w:w="286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trPr>
        <w:tc>
          <w:tcPr>
            <w:tcW w:w="765"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序号</w:t>
            </w:r>
          </w:p>
        </w:tc>
        <w:tc>
          <w:tcPr>
            <w:tcW w:w="1920"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任务来源</w:t>
            </w:r>
          </w:p>
        </w:tc>
        <w:tc>
          <w:tcPr>
            <w:tcW w:w="2790"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任务内容</w:t>
            </w:r>
          </w:p>
        </w:tc>
        <w:tc>
          <w:tcPr>
            <w:tcW w:w="2865"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区级责任部门</w:t>
            </w:r>
          </w:p>
        </w:tc>
        <w:tc>
          <w:tcPr>
            <w:tcW w:w="4905"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Arial" w:eastAsia="仿宋_GB2312" w:cs="仿宋_GB2312"/>
                <w:i w:val="0"/>
                <w:color w:val="000000"/>
                <w:kern w:val="0"/>
                <w:sz w:val="24"/>
                <w:szCs w:val="24"/>
                <w:highlight w:val="none"/>
                <w:u w:val="none"/>
                <w:lang w:val="en-US" w:eastAsia="zh-CN" w:bidi="ar"/>
              </w:rPr>
              <w:t>1</w:t>
            </w:r>
          </w:p>
        </w:tc>
        <w:tc>
          <w:tcPr>
            <w:tcW w:w="1920"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Arial" w:eastAsia="仿宋_GB2312" w:cs="仿宋_GB2312"/>
                <w:i w:val="0"/>
                <w:color w:val="000000"/>
                <w:kern w:val="0"/>
                <w:sz w:val="24"/>
                <w:szCs w:val="24"/>
                <w:highlight w:val="none"/>
                <w:u w:val="none"/>
                <w:lang w:val="en-US" w:eastAsia="zh-CN" w:bidi="ar"/>
              </w:rPr>
              <w:br w:type="textWrapping"/>
            </w:r>
            <w:r>
              <w:rPr>
                <w:rFonts w:hint="eastAsia" w:ascii="仿宋_GB2312" w:hAnsi="Arial" w:eastAsia="仿宋_GB2312" w:cs="仿宋_GB2312"/>
                <w:i w:val="0"/>
                <w:color w:val="000000"/>
                <w:kern w:val="0"/>
                <w:sz w:val="24"/>
                <w:szCs w:val="24"/>
                <w:highlight w:val="none"/>
                <w:u w:val="none"/>
                <w:lang w:val="en-US" w:eastAsia="zh-CN" w:bidi="ar"/>
              </w:rPr>
              <w:t>第7项</w:t>
            </w:r>
          </w:p>
        </w:tc>
        <w:tc>
          <w:tcPr>
            <w:tcW w:w="2790" w:type="dxa"/>
            <w:vAlign w:val="center"/>
          </w:tcPr>
          <w:p>
            <w:pPr>
              <w:keepNext w:val="0"/>
              <w:keepLines w:val="0"/>
              <w:widowControl/>
              <w:suppressLineNumbers w:val="0"/>
              <w:jc w:val="both"/>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iCs w:val="0"/>
                <w:color w:val="000000"/>
                <w:kern w:val="0"/>
                <w:sz w:val="24"/>
                <w:szCs w:val="24"/>
                <w:highlight w:val="none"/>
                <w:u w:val="none"/>
                <w:lang w:val="en-US" w:eastAsia="zh-CN" w:bidi="ar"/>
              </w:rPr>
              <w:t>优化社区（村）防控工作体系，构建社区治理基础信息库，增强防控精准性。</w:t>
            </w:r>
          </w:p>
        </w:tc>
        <w:tc>
          <w:tcPr>
            <w:tcW w:w="286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宋体" w:eastAsia="仿宋_GB2312" w:cs="仿宋_GB2312"/>
                <w:i w:val="0"/>
                <w:iCs w:val="0"/>
                <w:color w:val="000000"/>
                <w:kern w:val="0"/>
                <w:sz w:val="24"/>
                <w:szCs w:val="24"/>
                <w:highlight w:val="none"/>
                <w:u w:val="none"/>
                <w:lang w:val="en-US" w:eastAsia="zh-CN" w:bidi="ar"/>
              </w:rPr>
              <w:t>扎实做好疫情常态化防控工作，筑牢“外防输入、内防反弹”两道防线，积极开展各项工作。一是做好重点人群排查管控工作，针对大数据派单及时行动、排查到位，同步开展社区自摸排工作，织牢织密防控网。二是督促各地区严格落实卡口四件套防控措施，结合社区实际情况，科学合理设置卡口，便于居民出行。三是加强疫情防控政策宣传，通过公众号、微信群、张贴公告、海报等线上线下相结合的方式，提高疫情防控政策的知晓率，增强居民的自我防护意识和主动配合做好防控措施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2</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Arial" w:eastAsia="仿宋_GB2312" w:cs="仿宋_GB2312"/>
                <w:i w:val="0"/>
                <w:color w:val="000000"/>
                <w:kern w:val="0"/>
                <w:sz w:val="24"/>
                <w:szCs w:val="24"/>
                <w:highlight w:val="none"/>
                <w:u w:val="none"/>
                <w:lang w:val="en-US" w:eastAsia="zh-CN" w:bidi="ar"/>
              </w:rPr>
              <w:br w:type="textWrapping"/>
            </w:r>
            <w:r>
              <w:rPr>
                <w:rFonts w:hint="eastAsia" w:ascii="仿宋_GB2312" w:hAnsi="Arial" w:eastAsia="仿宋_GB2312" w:cs="仿宋_GB2312"/>
                <w:i w:val="0"/>
                <w:color w:val="000000"/>
                <w:kern w:val="0"/>
                <w:sz w:val="24"/>
                <w:szCs w:val="24"/>
                <w:highlight w:val="none"/>
                <w:u w:val="none"/>
                <w:lang w:val="en-US" w:eastAsia="zh-CN" w:bidi="ar"/>
              </w:rPr>
              <w:t>第28项</w:t>
            </w:r>
          </w:p>
        </w:tc>
        <w:tc>
          <w:tcPr>
            <w:tcW w:w="279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分类实施剩余拆迁腾退任务，有序推进农民市民化。</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管庄乡完成司辛庄村300余户住宅院落的拆迁腾退工作。2021年，完成了农村地区39个社区实施农民市民化项目，按照工作方案推进项目实施，开展了现场辅导，恢复线下培训课程，加强宣传推广，通过实施此项目，推进农村居民转变思维方式、生活方式和生产方式，提升地区城市化水平。开展了“金泽家园社区亲子红色阅读活动”，受到北京日报、北京头条等多家媒体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3</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第29项</w:t>
            </w:r>
          </w:p>
        </w:tc>
        <w:tc>
          <w:tcPr>
            <w:tcW w:w="279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进一步加快前期手续办理，力争5个安置房项目开工。</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截至四季度，5个安置房项目（平房乡姚家园三期、平房乡姚家园H组团、平房乡黄渠四期、东坝乡北西区、金盏乡长店组团三期）均已全部开工。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4</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第30项</w:t>
            </w:r>
          </w:p>
        </w:tc>
        <w:tc>
          <w:tcPr>
            <w:tcW w:w="279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下大力气推进南部地区城市化进程，加快十八里店、王四营土储地块和小红门棚改地块上市。</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王四营土储一期01、02、03、05地块完成出让；十八里店朝阳港一期土地一级开发项目1303-693地块完成出让。小红门乡棚改项目正在进行主体清算工作。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5</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第31项</w:t>
            </w:r>
          </w:p>
        </w:tc>
        <w:tc>
          <w:tcPr>
            <w:tcW w:w="279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加快构建东部城乡一体化总体格局，推进管庄棚改项目、黑庄户农业生态公园、北京音乐产业园、金盏森林公园建设。</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推进管庄棚改项目建设：管庄乡棚改一期03地块完成出让。</w:t>
            </w:r>
            <w:r>
              <w:rPr>
                <w:rFonts w:hint="eastAsia" w:ascii="仿宋_GB2312" w:hAnsi="宋体" w:eastAsia="仿宋_GB2312" w:cs="仿宋_GB2312"/>
                <w:i w:val="0"/>
                <w:iCs w:val="0"/>
                <w:color w:val="auto"/>
                <w:kern w:val="0"/>
                <w:sz w:val="24"/>
                <w:szCs w:val="24"/>
                <w:highlight w:val="none"/>
                <w:u w:val="none"/>
                <w:lang w:val="en-US" w:eastAsia="zh-CN" w:bidi="ar"/>
              </w:rPr>
              <w:t>金盏森林公园（二期）已完成拆迁腾退工作，目前坤江市场已完成土地复垦工作，其余地块均已完成绿化主体栽植。</w:t>
            </w:r>
            <w:r>
              <w:rPr>
                <w:rFonts w:hint="eastAsia" w:ascii="仿宋_GB2312" w:hAnsi="宋体" w:eastAsia="仿宋_GB2312" w:cs="仿宋_GB2312"/>
                <w:i w:val="0"/>
                <w:iCs w:val="0"/>
                <w:color w:val="000000"/>
                <w:kern w:val="0"/>
                <w:sz w:val="24"/>
                <w:szCs w:val="24"/>
                <w:highlight w:val="none"/>
                <w:u w:val="none"/>
                <w:lang w:val="en-US" w:eastAsia="zh-CN" w:bidi="ar"/>
              </w:rPr>
              <w:t>推进黑庄户农业生态公园建设：指导黑庄户乡委托农业农村部农村经济研究中心和中国艺术研究院共同研究制定黑庄户乡“三区”建设实施方案，结合规划建设的音乐产业园、小鲁店渔场及市级重点项目鲜活农产品流通中心，进一步利用农业资源，探索社交农业生产、乡村生活、农耕文化体验、音乐艺术欣赏等相结合的生态休闲和乡土文化旅游模式，深化完善了黑庄户农业生态园建设方案。加快推进黑庄户乡北京音乐产业园建设：截至12月底，黑庄户乡北京音乐产业园核心区内围绕音乐制作中心、沉浸式音乐体验中心、原创音乐基地三大核心功能，以及园区接待中心、演播厅、艺术中心等区域的改造工程已竣工，2022年1月投入使用；核心区三大库改造项目已进入设计阶段，音乐制作中心、会议中心、园区景观提升等项目正在改造中，力争明年底全部竣工。继续加快推动位于双桥西路、鲁店北路的音乐企业办公区共2万平米建筑的施工。</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6</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第32项</w:t>
            </w:r>
          </w:p>
        </w:tc>
        <w:tc>
          <w:tcPr>
            <w:tcW w:w="279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健全“村地区管”工作机制，开展试点项目建设。</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区农业农村局会同统筹专班，组织cbd公司、新经济公司、高碑店乡和半壁店村与北京万科进一步洽谈合作的条件。同步深化项目设计方案，准备报审审批。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7</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第33项</w:t>
            </w:r>
          </w:p>
        </w:tc>
        <w:tc>
          <w:tcPr>
            <w:tcW w:w="279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积极建设数字农业应用推广基地。</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组织来广营乡朝来农艺园、孙河乡郎枣园申报农业农村部数字农业应用推广基地项目。完成《朝阳区国家数字农业创新应用基地建设项目（设施蔬菜）实施方案》编制报送工作。按照市农业农村局批复，组织开展招标建设工作。目前，已按照合同完成来广营乡朝来农艺园连栋温室智能化建设，番茄种植区完成安装种植，项目一期建设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8</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第34项</w:t>
            </w:r>
          </w:p>
        </w:tc>
        <w:tc>
          <w:tcPr>
            <w:tcW w:w="279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做好村级产权制度改革扫尾工作。</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完成</w:t>
            </w:r>
            <w:r>
              <w:rPr>
                <w:rFonts w:hint="eastAsia" w:eastAsia="仿宋_GB2312" w:cs="Times New Roman"/>
                <w:i w:val="0"/>
                <w:iCs w:val="0"/>
                <w:color w:val="000000"/>
                <w:kern w:val="0"/>
                <w:sz w:val="24"/>
                <w:szCs w:val="24"/>
                <w:highlight w:val="none"/>
                <w:u w:val="none"/>
                <w:lang w:val="en-US" w:eastAsia="zh-CN" w:bidi="ar"/>
              </w:rPr>
              <w:t>东风等8个乡46</w:t>
            </w:r>
            <w:r>
              <w:rPr>
                <w:rFonts w:hint="default" w:ascii="Times New Roman" w:hAnsi="Times New Roman" w:eastAsia="仿宋_GB2312" w:cs="Times New Roman"/>
                <w:i w:val="0"/>
                <w:iCs w:val="0"/>
                <w:color w:val="000000"/>
                <w:kern w:val="0"/>
                <w:sz w:val="24"/>
                <w:szCs w:val="24"/>
                <w:highlight w:val="none"/>
                <w:u w:val="none"/>
                <w:lang w:val="en-US" w:eastAsia="zh-CN" w:bidi="ar"/>
              </w:rPr>
              <w:t>个</w:t>
            </w:r>
            <w:r>
              <w:rPr>
                <w:rFonts w:hint="eastAsia" w:ascii="仿宋_GB2312" w:hAnsi="宋体" w:eastAsia="仿宋_GB2312" w:cs="仿宋_GB2312"/>
                <w:i w:val="0"/>
                <w:iCs w:val="0"/>
                <w:color w:val="000000"/>
                <w:kern w:val="0"/>
                <w:sz w:val="24"/>
                <w:szCs w:val="24"/>
                <w:highlight w:val="none"/>
                <w:u w:val="none"/>
                <w:lang w:val="en-US" w:eastAsia="zh-CN" w:bidi="ar"/>
              </w:rPr>
              <w:t>村村级改革</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eastAsia" w:ascii="Times New Roman" w:hAnsi="Times New Roman" w:eastAsia="仿宋_GB2312" w:cs="Times New Roman"/>
                <w:i w:val="0"/>
                <w:iCs w:val="0"/>
                <w:color w:val="000000"/>
                <w:kern w:val="0"/>
                <w:sz w:val="24"/>
                <w:szCs w:val="24"/>
                <w:highlight w:val="none"/>
                <w:u w:val="none"/>
                <w:lang w:val="en-US" w:eastAsia="zh-CN" w:bidi="ar"/>
              </w:rPr>
              <w:t>剩余</w:t>
            </w:r>
            <w:r>
              <w:rPr>
                <w:rFonts w:hint="eastAsia" w:eastAsia="仿宋_GB2312" w:cs="Times New Roman"/>
                <w:i w:val="0"/>
                <w:iCs w:val="0"/>
                <w:color w:val="000000"/>
                <w:kern w:val="0"/>
                <w:sz w:val="24"/>
                <w:szCs w:val="24"/>
                <w:highlight w:val="none"/>
                <w:u w:val="none"/>
                <w:lang w:val="en-US" w:eastAsia="zh-CN" w:bidi="ar"/>
              </w:rPr>
              <w:t>5</w:t>
            </w:r>
            <w:r>
              <w:rPr>
                <w:rFonts w:hint="eastAsia" w:ascii="Times New Roman" w:hAnsi="Times New Roman" w:eastAsia="仿宋_GB2312" w:cs="Times New Roman"/>
                <w:i w:val="0"/>
                <w:iCs w:val="0"/>
                <w:color w:val="000000"/>
                <w:kern w:val="0"/>
                <w:sz w:val="24"/>
                <w:szCs w:val="24"/>
                <w:highlight w:val="none"/>
                <w:u w:val="none"/>
                <w:lang w:val="en-US" w:eastAsia="zh-CN" w:bidi="ar"/>
              </w:rPr>
              <w:t>个村村级改革加快扫尾</w:t>
            </w:r>
            <w:r>
              <w:rPr>
                <w:rFonts w:hint="eastAsia" w:ascii="仿宋_GB2312" w:hAnsi="宋体" w:eastAsia="仿宋_GB2312" w:cs="仿宋_GB2312"/>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9</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第35项</w:t>
            </w:r>
          </w:p>
        </w:tc>
        <w:tc>
          <w:tcPr>
            <w:tcW w:w="279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加强未拆迁村物业化管理。</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47个村中已有44个村成立了物业公司，初步推行村庄物业化管理。（实施美丽乡村建设的20个村以及实施环境提升建设的11个村，都已完成组建工作）。3个待拆迁村或已部分拆迁村不再成立物业公司。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10</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第36项</w:t>
            </w:r>
          </w:p>
        </w:tc>
        <w:tc>
          <w:tcPr>
            <w:tcW w:w="2790"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加强美丽乡村建设，加快补齐基础设施、公共服务和环境治理短板，持续改善农村人居环境。</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第二批美丽乡村建设工作有序推进。万东、万西、小鲁店、大三、黎各庄、小郊亭、方家村、老君堂、奶东、金盏西村10个村美丽乡村项目基本完成工程建设。环境提升村建设方面，东辛店、费家村、草场地、小店、皮村、十里河、吕家营、大一、大二、双南等10个村基本完成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11</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第110项</w:t>
            </w:r>
          </w:p>
        </w:tc>
        <w:tc>
          <w:tcPr>
            <w:tcW w:w="2790" w:type="dxa"/>
            <w:vAlign w:val="center"/>
          </w:tcPr>
          <w:p>
            <w:pPr>
              <w:tabs>
                <w:tab w:val="left" w:pos="632"/>
              </w:tabs>
              <w:jc w:val="both"/>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继续优化调整大型社区，稳步推进撤村建居。</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根据市民政局的工作部署，结合各乡实际需要完成了对东坝、十八里店等乡3000-5000户社区进行调整工作。对撤村建居工作的基本情况进行有序摸底,稳步推进东风乡4个村的撤村前期工作。同时，指导2020年新建社区和拆分社区办公用房装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65" w:type="dxa"/>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12</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区政府工作报告重点工作</w:t>
            </w:r>
            <w:r>
              <w:rPr>
                <w:rFonts w:hint="eastAsia" w:ascii="仿宋_GB2312" w:hAnsi="宋体" w:eastAsia="仿宋_GB2312" w:cs="仿宋_GB2312"/>
                <w:i w:val="0"/>
                <w:iCs w:val="0"/>
                <w:color w:val="000000"/>
                <w:kern w:val="0"/>
                <w:sz w:val="24"/>
                <w:szCs w:val="24"/>
                <w:highlight w:val="none"/>
                <w:u w:val="none"/>
                <w:lang w:val="en-US" w:eastAsia="zh-CN" w:bidi="ar"/>
              </w:rPr>
              <w:t>第111项</w:t>
            </w:r>
          </w:p>
        </w:tc>
        <w:tc>
          <w:tcPr>
            <w:tcW w:w="2790" w:type="dxa"/>
            <w:vAlign w:val="center"/>
          </w:tcPr>
          <w:p>
            <w:pPr>
              <w:jc w:val="both"/>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完成社区、村“两委”换届选举。</w:t>
            </w:r>
          </w:p>
        </w:tc>
        <w:tc>
          <w:tcPr>
            <w:tcW w:w="286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截至四季度，已完成换届工作。</w:t>
            </w:r>
          </w:p>
        </w:tc>
      </w:tr>
    </w:tbl>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singl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仿宋_GB2312" w:hAnsi="仿宋_GB2312" w:eastAsia="仿宋_GB2312" w:cs="仿宋_GB2312"/>
          <w:sz w:val="32"/>
          <w:szCs w:val="32"/>
          <w:highlight w:val="none"/>
          <w:lang w:eastAsia="zh-CN"/>
        </w:rPr>
      </w:pPr>
      <w:r>
        <w:rPr>
          <w:rFonts w:hint="eastAsia" w:ascii="方正小标宋简体" w:hAnsi="方正小标宋简体" w:eastAsia="方正小标宋简体" w:cs="方正小标宋简体"/>
          <w:i w:val="0"/>
          <w:color w:val="000000"/>
          <w:kern w:val="0"/>
          <w:sz w:val="36"/>
          <w:szCs w:val="36"/>
          <w:highlight w:val="none"/>
          <w:u w:val="none"/>
          <w:lang w:val="en-US" w:eastAsia="zh-CN" w:bidi="ar"/>
        </w:rPr>
        <w:t>（农业农村局）朝阳区2021年重要民生实事项目落实情况表（第四季度）</w:t>
      </w:r>
    </w:p>
    <w:tbl>
      <w:tblPr>
        <w:tblStyle w:val="10"/>
        <w:tblW w:w="1324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20"/>
        <w:gridCol w:w="2790"/>
        <w:gridCol w:w="286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blHeader/>
        </w:trPr>
        <w:tc>
          <w:tcPr>
            <w:tcW w:w="765"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序号</w:t>
            </w:r>
          </w:p>
        </w:tc>
        <w:tc>
          <w:tcPr>
            <w:tcW w:w="1920"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任务来源</w:t>
            </w:r>
          </w:p>
        </w:tc>
        <w:tc>
          <w:tcPr>
            <w:tcW w:w="2790"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任务内容</w:t>
            </w:r>
          </w:p>
        </w:tc>
        <w:tc>
          <w:tcPr>
            <w:tcW w:w="2865"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区级责任部门</w:t>
            </w:r>
          </w:p>
        </w:tc>
        <w:tc>
          <w:tcPr>
            <w:tcW w:w="4905" w:type="dxa"/>
            <w:shd w:val="clear" w:color="auto" w:fill="D9D9D9"/>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highlight w:val="none"/>
                <w:u w:val="none"/>
                <w:lang w:val="en-US" w:eastAsia="zh-CN" w:bidi="ar"/>
              </w:rPr>
            </w:pPr>
            <w:r>
              <w:rPr>
                <w:rFonts w:hint="eastAsia" w:ascii="黑体" w:hAnsi="宋体" w:eastAsia="黑体" w:cs="黑体"/>
                <w:i w:val="0"/>
                <w:color w:val="000000"/>
                <w:kern w:val="0"/>
                <w:sz w:val="24"/>
                <w:szCs w:val="24"/>
                <w:highlight w:val="none"/>
                <w:u w:val="none"/>
                <w:lang w:val="en-US" w:eastAsia="zh-CN"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6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Arial" w:eastAsia="仿宋_GB2312" w:cs="仿宋_GB2312"/>
                <w:i w:val="0"/>
                <w:color w:val="000000"/>
                <w:kern w:val="0"/>
                <w:sz w:val="24"/>
                <w:szCs w:val="24"/>
                <w:highlight w:val="none"/>
                <w:u w:val="none"/>
                <w:lang w:val="en-US" w:eastAsia="zh-CN" w:bidi="ar"/>
              </w:rPr>
              <w:t>1</w:t>
            </w:r>
          </w:p>
        </w:tc>
        <w:tc>
          <w:tcPr>
            <w:tcW w:w="1920" w:type="dxa"/>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highlight w:val="none"/>
                <w:u w:val="none"/>
                <w:lang w:val="en-US" w:eastAsia="zh-CN" w:bidi="ar"/>
              </w:rPr>
            </w:pPr>
            <w:r>
              <w:rPr>
                <w:rFonts w:hint="eastAsia" w:ascii="仿宋_GB2312" w:hAnsi="Arial" w:eastAsia="仿宋_GB2312" w:cs="仿宋_GB2312"/>
                <w:i w:val="0"/>
                <w:color w:val="000000"/>
                <w:kern w:val="0"/>
                <w:sz w:val="24"/>
                <w:szCs w:val="24"/>
                <w:highlight w:val="none"/>
                <w:u w:val="none"/>
                <w:lang w:val="en-US" w:eastAsia="zh-CN" w:bidi="ar"/>
              </w:rPr>
              <w:t>区实事</w:t>
            </w:r>
          </w:p>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Arial" w:eastAsia="仿宋_GB2312" w:cs="仿宋_GB2312"/>
                <w:i w:val="0"/>
                <w:color w:val="000000"/>
                <w:kern w:val="0"/>
                <w:sz w:val="24"/>
                <w:szCs w:val="24"/>
                <w:highlight w:val="none"/>
                <w:u w:val="none"/>
                <w:lang w:val="en-US" w:eastAsia="zh-CN" w:bidi="ar"/>
              </w:rPr>
              <w:t>第21项</w:t>
            </w:r>
          </w:p>
        </w:tc>
        <w:tc>
          <w:tcPr>
            <w:tcW w:w="2790"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Arial" w:eastAsia="仿宋_GB2312" w:cs="仿宋_GB2312"/>
                <w:i w:val="0"/>
                <w:color w:val="000000"/>
                <w:kern w:val="0"/>
                <w:sz w:val="24"/>
                <w:szCs w:val="24"/>
                <w:highlight w:val="none"/>
                <w:u w:val="none"/>
                <w:lang w:val="en-US" w:eastAsia="zh-CN" w:bidi="ar"/>
              </w:rPr>
              <w:t>启动实施20个村庄的老旧基础设施改造工程，进一步提升农村人居环境。</w:t>
            </w:r>
          </w:p>
        </w:tc>
        <w:tc>
          <w:tcPr>
            <w:tcW w:w="2865" w:type="dxa"/>
            <w:vAlign w:val="center"/>
          </w:tcPr>
          <w:p>
            <w:pPr>
              <w:keepNext w:val="0"/>
              <w:keepLines w:val="0"/>
              <w:widowControl/>
              <w:suppressLineNumbers w:val="0"/>
              <w:jc w:val="center"/>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Arial" w:eastAsia="仿宋_GB2312" w:cs="仿宋_GB2312"/>
                <w:i w:val="0"/>
                <w:color w:val="000000"/>
                <w:kern w:val="0"/>
                <w:sz w:val="24"/>
                <w:szCs w:val="24"/>
                <w:highlight w:val="none"/>
                <w:u w:val="none"/>
                <w:lang w:val="en-US" w:eastAsia="zh-CN" w:bidi="ar"/>
              </w:rPr>
              <w:t>区农业农村局</w:t>
            </w:r>
          </w:p>
        </w:tc>
        <w:tc>
          <w:tcPr>
            <w:tcW w:w="4905" w:type="dxa"/>
            <w:vAlign w:val="center"/>
          </w:tcPr>
          <w:p>
            <w:pPr>
              <w:keepNext w:val="0"/>
              <w:keepLines w:val="0"/>
              <w:widowControl/>
              <w:suppressLineNumbers w:val="0"/>
              <w:jc w:val="left"/>
              <w:textAlignment w:val="center"/>
              <w:rPr>
                <w:rFonts w:hint="eastAsia" w:ascii="仿宋_GB2312" w:hAnsi="仿宋_GB2312" w:eastAsia="仿宋_GB2312" w:cs="仿宋_GB2312"/>
                <w:sz w:val="32"/>
                <w:szCs w:val="32"/>
                <w:highlight w:val="none"/>
                <w:vertAlign w:val="baseline"/>
                <w:lang w:eastAsia="zh-CN"/>
              </w:rPr>
            </w:pPr>
            <w:r>
              <w:rPr>
                <w:rFonts w:hint="eastAsia" w:ascii="仿宋_GB2312" w:hAnsi="Arial" w:eastAsia="仿宋_GB2312" w:cs="仿宋_GB2312"/>
                <w:i w:val="0"/>
                <w:color w:val="000000"/>
                <w:kern w:val="0"/>
                <w:sz w:val="24"/>
                <w:szCs w:val="24"/>
                <w:highlight w:val="none"/>
                <w:u w:val="none"/>
                <w:lang w:val="en-US" w:eastAsia="zh-CN" w:bidi="ar"/>
              </w:rPr>
              <w:t>第二批美丽乡村建设工作有序推进。万东、万西、小鲁店、大三、黎各庄、小郊亭、方家村、老君堂、奶东、金盏西村10个村美丽乡村项目基本完成工程建设。环境提升村建设方面，东辛店、费家村、草场地、小店、皮村、十里河、吕家营、大一、大二、双南等10个村基本完成建设任务。</w:t>
            </w:r>
          </w:p>
        </w:tc>
      </w:tr>
    </w:tbl>
    <w:p>
      <w:pPr>
        <w:keepNext w:val="0"/>
        <w:keepLines w:val="0"/>
        <w:pageBreakBefore w:val="0"/>
        <w:widowControl w:val="0"/>
        <w:kinsoku/>
        <w:wordWrap/>
        <w:overflowPunct/>
        <w:topLinePunct w:val="0"/>
        <w:autoSpaceDE/>
        <w:autoSpaceDN/>
        <w:bidi w:val="0"/>
        <w:spacing w:line="440" w:lineRule="exact"/>
        <w:jc w:val="center"/>
        <w:textAlignment w:val="auto"/>
        <w:outlineLvl w:val="9"/>
        <w:rPr>
          <w:rFonts w:hint="eastAsia" w:ascii="方正小标宋简体" w:hAnsi="方正小标宋简体" w:eastAsia="方正小标宋简体" w:cs="方正小标宋简体"/>
          <w:i w:val="0"/>
          <w:color w:val="000000"/>
          <w:kern w:val="0"/>
          <w:sz w:val="36"/>
          <w:szCs w:val="36"/>
          <w:highlight w:val="none"/>
          <w:u w:val="none"/>
          <w:lang w:val="en-US" w:eastAsia="zh-CN" w:bidi="ar"/>
        </w:rPr>
      </w:pPr>
    </w:p>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pacing w:line="440" w:lineRule="exact"/>
        <w:jc w:val="both"/>
        <w:textAlignment w:val="auto"/>
        <w:outlineLvl w:val="9"/>
        <w:rPr>
          <w:rFonts w:hint="eastAsia" w:ascii="仿宋_GB2312" w:hAnsi="仿宋_GB2312" w:eastAsia="仿宋_GB2312" w:cs="仿宋_GB2312"/>
          <w:sz w:val="32"/>
          <w:szCs w:val="32"/>
          <w:highlight w:val="none"/>
          <w:lang w:eastAsia="zh-CN"/>
        </w:rPr>
      </w:pPr>
    </w:p>
    <w:sectPr>
      <w:headerReference r:id="rId3" w:type="default"/>
      <w:footerReference r:id="rId4" w:type="default"/>
      <w:pgSz w:w="16838" w:h="11906" w:orient="landscape"/>
      <w:pgMar w:top="1531" w:right="1417" w:bottom="1531" w:left="1417" w:header="851" w:footer="992" w:gutter="0"/>
      <w:cols w:space="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AD"/>
    <w:rsid w:val="00006E27"/>
    <w:rsid w:val="00013101"/>
    <w:rsid w:val="00013BC7"/>
    <w:rsid w:val="000202C7"/>
    <w:rsid w:val="00026DED"/>
    <w:rsid w:val="0003315E"/>
    <w:rsid w:val="00056D02"/>
    <w:rsid w:val="00063EAB"/>
    <w:rsid w:val="0006714A"/>
    <w:rsid w:val="00074509"/>
    <w:rsid w:val="00092041"/>
    <w:rsid w:val="0009488F"/>
    <w:rsid w:val="00097E1A"/>
    <w:rsid w:val="000B0BFD"/>
    <w:rsid w:val="000B147C"/>
    <w:rsid w:val="000B23E1"/>
    <w:rsid w:val="000C49DB"/>
    <w:rsid w:val="000C527E"/>
    <w:rsid w:val="000C537F"/>
    <w:rsid w:val="000C59C3"/>
    <w:rsid w:val="000D06A4"/>
    <w:rsid w:val="000D11A1"/>
    <w:rsid w:val="000D15B9"/>
    <w:rsid w:val="000D5315"/>
    <w:rsid w:val="000E6BCA"/>
    <w:rsid w:val="000F0777"/>
    <w:rsid w:val="000F51F4"/>
    <w:rsid w:val="0011235D"/>
    <w:rsid w:val="0011577D"/>
    <w:rsid w:val="001160BC"/>
    <w:rsid w:val="00120408"/>
    <w:rsid w:val="00153379"/>
    <w:rsid w:val="001547CD"/>
    <w:rsid w:val="001614A7"/>
    <w:rsid w:val="00172A27"/>
    <w:rsid w:val="00174EC4"/>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43F4E"/>
    <w:rsid w:val="00254096"/>
    <w:rsid w:val="0025518E"/>
    <w:rsid w:val="002566F8"/>
    <w:rsid w:val="00261C2C"/>
    <w:rsid w:val="00267F29"/>
    <w:rsid w:val="00271B98"/>
    <w:rsid w:val="002844A7"/>
    <w:rsid w:val="00286069"/>
    <w:rsid w:val="002860E4"/>
    <w:rsid w:val="00286AA8"/>
    <w:rsid w:val="00286C51"/>
    <w:rsid w:val="002B4B5C"/>
    <w:rsid w:val="002C6FC8"/>
    <w:rsid w:val="002D2747"/>
    <w:rsid w:val="002D2FEC"/>
    <w:rsid w:val="002D6D89"/>
    <w:rsid w:val="002D7D8A"/>
    <w:rsid w:val="002E3C56"/>
    <w:rsid w:val="002E5B92"/>
    <w:rsid w:val="002F29E6"/>
    <w:rsid w:val="0030679C"/>
    <w:rsid w:val="003110F5"/>
    <w:rsid w:val="00317A6E"/>
    <w:rsid w:val="00330CF5"/>
    <w:rsid w:val="00330F50"/>
    <w:rsid w:val="003431BB"/>
    <w:rsid w:val="00355B9A"/>
    <w:rsid w:val="0035664F"/>
    <w:rsid w:val="00356AD4"/>
    <w:rsid w:val="0038135C"/>
    <w:rsid w:val="0038163F"/>
    <w:rsid w:val="00383D08"/>
    <w:rsid w:val="003911D5"/>
    <w:rsid w:val="00391CA9"/>
    <w:rsid w:val="003A3D59"/>
    <w:rsid w:val="003B29E1"/>
    <w:rsid w:val="003C69D9"/>
    <w:rsid w:val="003D2F2B"/>
    <w:rsid w:val="003D76A7"/>
    <w:rsid w:val="003E6A6F"/>
    <w:rsid w:val="003F3D8B"/>
    <w:rsid w:val="0040347D"/>
    <w:rsid w:val="004035F0"/>
    <w:rsid w:val="00411A00"/>
    <w:rsid w:val="00417A6B"/>
    <w:rsid w:val="004231DE"/>
    <w:rsid w:val="00427CE0"/>
    <w:rsid w:val="004306FF"/>
    <w:rsid w:val="00436C77"/>
    <w:rsid w:val="00443505"/>
    <w:rsid w:val="004533B9"/>
    <w:rsid w:val="00455C43"/>
    <w:rsid w:val="00457CEF"/>
    <w:rsid w:val="0047738B"/>
    <w:rsid w:val="004807AD"/>
    <w:rsid w:val="00482CB5"/>
    <w:rsid w:val="00485D17"/>
    <w:rsid w:val="00490F2A"/>
    <w:rsid w:val="0049161B"/>
    <w:rsid w:val="00493E11"/>
    <w:rsid w:val="0049543C"/>
    <w:rsid w:val="004A336A"/>
    <w:rsid w:val="004A3737"/>
    <w:rsid w:val="004A59F1"/>
    <w:rsid w:val="004A5BD8"/>
    <w:rsid w:val="004B15FE"/>
    <w:rsid w:val="004B4086"/>
    <w:rsid w:val="004C49DB"/>
    <w:rsid w:val="004D4D27"/>
    <w:rsid w:val="004E1B86"/>
    <w:rsid w:val="004E2174"/>
    <w:rsid w:val="004F37B8"/>
    <w:rsid w:val="00502A6D"/>
    <w:rsid w:val="00504694"/>
    <w:rsid w:val="005145BE"/>
    <w:rsid w:val="00516B03"/>
    <w:rsid w:val="0051745F"/>
    <w:rsid w:val="0053221F"/>
    <w:rsid w:val="005357D5"/>
    <w:rsid w:val="00550F74"/>
    <w:rsid w:val="0056489C"/>
    <w:rsid w:val="00566133"/>
    <w:rsid w:val="00593623"/>
    <w:rsid w:val="00595846"/>
    <w:rsid w:val="005967E4"/>
    <w:rsid w:val="005A0694"/>
    <w:rsid w:val="005A4084"/>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6036"/>
    <w:rsid w:val="00620CAE"/>
    <w:rsid w:val="00625650"/>
    <w:rsid w:val="00631B4A"/>
    <w:rsid w:val="006364A5"/>
    <w:rsid w:val="00656490"/>
    <w:rsid w:val="00656A37"/>
    <w:rsid w:val="006578BC"/>
    <w:rsid w:val="00664AD0"/>
    <w:rsid w:val="00671013"/>
    <w:rsid w:val="0067387A"/>
    <w:rsid w:val="0067603C"/>
    <w:rsid w:val="006A047F"/>
    <w:rsid w:val="006C1BDD"/>
    <w:rsid w:val="006C6BB4"/>
    <w:rsid w:val="006D0B66"/>
    <w:rsid w:val="006D413E"/>
    <w:rsid w:val="006D72BF"/>
    <w:rsid w:val="006E4C03"/>
    <w:rsid w:val="006F41D9"/>
    <w:rsid w:val="006F6121"/>
    <w:rsid w:val="0070157C"/>
    <w:rsid w:val="007046E5"/>
    <w:rsid w:val="00710277"/>
    <w:rsid w:val="007113A3"/>
    <w:rsid w:val="00713242"/>
    <w:rsid w:val="00726F36"/>
    <w:rsid w:val="00730D7C"/>
    <w:rsid w:val="007346CA"/>
    <w:rsid w:val="0073588A"/>
    <w:rsid w:val="00736171"/>
    <w:rsid w:val="00747CF5"/>
    <w:rsid w:val="0076734A"/>
    <w:rsid w:val="00787971"/>
    <w:rsid w:val="0079157D"/>
    <w:rsid w:val="00792ED7"/>
    <w:rsid w:val="0079323E"/>
    <w:rsid w:val="007A7E1D"/>
    <w:rsid w:val="007B13C3"/>
    <w:rsid w:val="007C08D8"/>
    <w:rsid w:val="007C274E"/>
    <w:rsid w:val="007D45A2"/>
    <w:rsid w:val="007D510C"/>
    <w:rsid w:val="007E05B2"/>
    <w:rsid w:val="007E540C"/>
    <w:rsid w:val="007F4A53"/>
    <w:rsid w:val="007F72C0"/>
    <w:rsid w:val="008004F1"/>
    <w:rsid w:val="00812D88"/>
    <w:rsid w:val="00823C00"/>
    <w:rsid w:val="00824E6D"/>
    <w:rsid w:val="00834941"/>
    <w:rsid w:val="00840C47"/>
    <w:rsid w:val="0084441C"/>
    <w:rsid w:val="00846EC7"/>
    <w:rsid w:val="00847100"/>
    <w:rsid w:val="00857A33"/>
    <w:rsid w:val="00880039"/>
    <w:rsid w:val="00893BC8"/>
    <w:rsid w:val="008977B8"/>
    <w:rsid w:val="008C6C44"/>
    <w:rsid w:val="008E4F56"/>
    <w:rsid w:val="008E75CA"/>
    <w:rsid w:val="008F0334"/>
    <w:rsid w:val="00900184"/>
    <w:rsid w:val="00900CA4"/>
    <w:rsid w:val="00901573"/>
    <w:rsid w:val="0090615B"/>
    <w:rsid w:val="00906B7E"/>
    <w:rsid w:val="00913D3E"/>
    <w:rsid w:val="00933640"/>
    <w:rsid w:val="00962A8C"/>
    <w:rsid w:val="00972FCD"/>
    <w:rsid w:val="009872F3"/>
    <w:rsid w:val="00987572"/>
    <w:rsid w:val="00994FAA"/>
    <w:rsid w:val="00997D5D"/>
    <w:rsid w:val="009A7D32"/>
    <w:rsid w:val="009B415F"/>
    <w:rsid w:val="009C10C6"/>
    <w:rsid w:val="009C73FB"/>
    <w:rsid w:val="009D01EB"/>
    <w:rsid w:val="009D16B0"/>
    <w:rsid w:val="009F68A9"/>
    <w:rsid w:val="00A0704C"/>
    <w:rsid w:val="00A129F1"/>
    <w:rsid w:val="00A12EED"/>
    <w:rsid w:val="00A149D5"/>
    <w:rsid w:val="00A1619C"/>
    <w:rsid w:val="00A1648A"/>
    <w:rsid w:val="00A17E3B"/>
    <w:rsid w:val="00A361B5"/>
    <w:rsid w:val="00A45E83"/>
    <w:rsid w:val="00A4685C"/>
    <w:rsid w:val="00A5060D"/>
    <w:rsid w:val="00A52537"/>
    <w:rsid w:val="00A54765"/>
    <w:rsid w:val="00A57FCB"/>
    <w:rsid w:val="00A613E1"/>
    <w:rsid w:val="00A94401"/>
    <w:rsid w:val="00A971B7"/>
    <w:rsid w:val="00A97335"/>
    <w:rsid w:val="00AA1645"/>
    <w:rsid w:val="00AA2E9B"/>
    <w:rsid w:val="00AB142F"/>
    <w:rsid w:val="00AB4501"/>
    <w:rsid w:val="00AD37F6"/>
    <w:rsid w:val="00AD462D"/>
    <w:rsid w:val="00AE5115"/>
    <w:rsid w:val="00AE732B"/>
    <w:rsid w:val="00B03B38"/>
    <w:rsid w:val="00B125DA"/>
    <w:rsid w:val="00B12CB9"/>
    <w:rsid w:val="00B228AC"/>
    <w:rsid w:val="00B23714"/>
    <w:rsid w:val="00B269BF"/>
    <w:rsid w:val="00B34C27"/>
    <w:rsid w:val="00B402BF"/>
    <w:rsid w:val="00B43021"/>
    <w:rsid w:val="00B50F80"/>
    <w:rsid w:val="00B52B23"/>
    <w:rsid w:val="00B60130"/>
    <w:rsid w:val="00B627D5"/>
    <w:rsid w:val="00B6547A"/>
    <w:rsid w:val="00B66BA6"/>
    <w:rsid w:val="00B85742"/>
    <w:rsid w:val="00B95300"/>
    <w:rsid w:val="00BA2131"/>
    <w:rsid w:val="00BA4A3D"/>
    <w:rsid w:val="00BC36C8"/>
    <w:rsid w:val="00BD6E25"/>
    <w:rsid w:val="00BE50C5"/>
    <w:rsid w:val="00BF07BB"/>
    <w:rsid w:val="00BF2C37"/>
    <w:rsid w:val="00BF3326"/>
    <w:rsid w:val="00BF7881"/>
    <w:rsid w:val="00C03553"/>
    <w:rsid w:val="00C1472A"/>
    <w:rsid w:val="00C3522C"/>
    <w:rsid w:val="00C402D8"/>
    <w:rsid w:val="00C444D9"/>
    <w:rsid w:val="00C4594E"/>
    <w:rsid w:val="00C462AB"/>
    <w:rsid w:val="00C467DD"/>
    <w:rsid w:val="00C802E0"/>
    <w:rsid w:val="00C83A47"/>
    <w:rsid w:val="00CA3BE7"/>
    <w:rsid w:val="00CA5BC8"/>
    <w:rsid w:val="00CA750E"/>
    <w:rsid w:val="00CA75D4"/>
    <w:rsid w:val="00CB16D0"/>
    <w:rsid w:val="00CB5F43"/>
    <w:rsid w:val="00CC6B2D"/>
    <w:rsid w:val="00CD03D3"/>
    <w:rsid w:val="00CD44E5"/>
    <w:rsid w:val="00CD6EE8"/>
    <w:rsid w:val="00CE33EE"/>
    <w:rsid w:val="00CE5030"/>
    <w:rsid w:val="00CE6837"/>
    <w:rsid w:val="00CF28DB"/>
    <w:rsid w:val="00CF7734"/>
    <w:rsid w:val="00CF7DCC"/>
    <w:rsid w:val="00D01083"/>
    <w:rsid w:val="00D03B37"/>
    <w:rsid w:val="00D14600"/>
    <w:rsid w:val="00D1703E"/>
    <w:rsid w:val="00D20F80"/>
    <w:rsid w:val="00D24003"/>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417F"/>
    <w:rsid w:val="00DD3F53"/>
    <w:rsid w:val="00DF13AC"/>
    <w:rsid w:val="00DF7C67"/>
    <w:rsid w:val="00E15551"/>
    <w:rsid w:val="00E163C1"/>
    <w:rsid w:val="00E229D7"/>
    <w:rsid w:val="00E23385"/>
    <w:rsid w:val="00E301AC"/>
    <w:rsid w:val="00E46B58"/>
    <w:rsid w:val="00E47D41"/>
    <w:rsid w:val="00E52240"/>
    <w:rsid w:val="00E57E5D"/>
    <w:rsid w:val="00E742D2"/>
    <w:rsid w:val="00E95D93"/>
    <w:rsid w:val="00EA4D84"/>
    <w:rsid w:val="00EB5EDB"/>
    <w:rsid w:val="00ED67AA"/>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62C8"/>
    <w:rsid w:val="00F8334D"/>
    <w:rsid w:val="00F91EFB"/>
    <w:rsid w:val="00F923AB"/>
    <w:rsid w:val="00F943ED"/>
    <w:rsid w:val="00F94DAC"/>
    <w:rsid w:val="00F951F8"/>
    <w:rsid w:val="00F96455"/>
    <w:rsid w:val="00FA2559"/>
    <w:rsid w:val="00FA267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5525B7"/>
    <w:rsid w:val="03560FE3"/>
    <w:rsid w:val="03953349"/>
    <w:rsid w:val="03A82892"/>
    <w:rsid w:val="03AA7C4E"/>
    <w:rsid w:val="03D16F05"/>
    <w:rsid w:val="04B06125"/>
    <w:rsid w:val="0542770B"/>
    <w:rsid w:val="064B4179"/>
    <w:rsid w:val="076D2A3B"/>
    <w:rsid w:val="078672D3"/>
    <w:rsid w:val="08042158"/>
    <w:rsid w:val="08293CE4"/>
    <w:rsid w:val="083D090B"/>
    <w:rsid w:val="08A15E1F"/>
    <w:rsid w:val="0948145B"/>
    <w:rsid w:val="096A0251"/>
    <w:rsid w:val="096B2473"/>
    <w:rsid w:val="09CE1C6B"/>
    <w:rsid w:val="09FD2BA8"/>
    <w:rsid w:val="0A245F39"/>
    <w:rsid w:val="0A250FE7"/>
    <w:rsid w:val="0A566B0E"/>
    <w:rsid w:val="0A621D80"/>
    <w:rsid w:val="0AB50EE6"/>
    <w:rsid w:val="0ABD6182"/>
    <w:rsid w:val="0AEB37B3"/>
    <w:rsid w:val="0B654275"/>
    <w:rsid w:val="0B68626F"/>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BF348F"/>
    <w:rsid w:val="10CB67E7"/>
    <w:rsid w:val="10F00E42"/>
    <w:rsid w:val="11472432"/>
    <w:rsid w:val="12630E44"/>
    <w:rsid w:val="13452128"/>
    <w:rsid w:val="139A2CC3"/>
    <w:rsid w:val="13B43E61"/>
    <w:rsid w:val="142B2BA6"/>
    <w:rsid w:val="1468528F"/>
    <w:rsid w:val="14C45B93"/>
    <w:rsid w:val="1550692F"/>
    <w:rsid w:val="155D1802"/>
    <w:rsid w:val="15B67501"/>
    <w:rsid w:val="15BC4236"/>
    <w:rsid w:val="15CF4B15"/>
    <w:rsid w:val="1780522B"/>
    <w:rsid w:val="18486D7B"/>
    <w:rsid w:val="18F601BE"/>
    <w:rsid w:val="197117FF"/>
    <w:rsid w:val="19CD71FF"/>
    <w:rsid w:val="19D46DA2"/>
    <w:rsid w:val="1AAA5FBA"/>
    <w:rsid w:val="1AC443B6"/>
    <w:rsid w:val="1B01331B"/>
    <w:rsid w:val="1B023937"/>
    <w:rsid w:val="1B153CE1"/>
    <w:rsid w:val="1B1F5331"/>
    <w:rsid w:val="1C4A231A"/>
    <w:rsid w:val="1C5F5F5F"/>
    <w:rsid w:val="1CB059B6"/>
    <w:rsid w:val="1CE52938"/>
    <w:rsid w:val="1E0569E1"/>
    <w:rsid w:val="1E186F71"/>
    <w:rsid w:val="1E1B32B6"/>
    <w:rsid w:val="1E52212D"/>
    <w:rsid w:val="1E662805"/>
    <w:rsid w:val="1EAE2CC2"/>
    <w:rsid w:val="1F41319C"/>
    <w:rsid w:val="1F536313"/>
    <w:rsid w:val="1F9D5CAF"/>
    <w:rsid w:val="1FAC630E"/>
    <w:rsid w:val="209D565B"/>
    <w:rsid w:val="20FB6776"/>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61265F"/>
    <w:rsid w:val="27B60A70"/>
    <w:rsid w:val="28421BBC"/>
    <w:rsid w:val="28490CC1"/>
    <w:rsid w:val="2851167F"/>
    <w:rsid w:val="28CC7A1E"/>
    <w:rsid w:val="28F22C3A"/>
    <w:rsid w:val="29144958"/>
    <w:rsid w:val="293A6E27"/>
    <w:rsid w:val="298B3660"/>
    <w:rsid w:val="299314A1"/>
    <w:rsid w:val="29A5524E"/>
    <w:rsid w:val="29C816C1"/>
    <w:rsid w:val="29E52AE8"/>
    <w:rsid w:val="2A0774CD"/>
    <w:rsid w:val="2A261C9D"/>
    <w:rsid w:val="2A2D7536"/>
    <w:rsid w:val="2A69378A"/>
    <w:rsid w:val="2AEB2C3F"/>
    <w:rsid w:val="2AF0585D"/>
    <w:rsid w:val="2B7D7814"/>
    <w:rsid w:val="2C1C3090"/>
    <w:rsid w:val="2C2516EA"/>
    <w:rsid w:val="2C4762A0"/>
    <w:rsid w:val="2D49113D"/>
    <w:rsid w:val="2DFD2703"/>
    <w:rsid w:val="2E00216D"/>
    <w:rsid w:val="2E28173C"/>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AE564F"/>
    <w:rsid w:val="36352944"/>
    <w:rsid w:val="36CD2B3E"/>
    <w:rsid w:val="36DD642C"/>
    <w:rsid w:val="36F263B0"/>
    <w:rsid w:val="3712653C"/>
    <w:rsid w:val="371763E0"/>
    <w:rsid w:val="37220CBA"/>
    <w:rsid w:val="377759EC"/>
    <w:rsid w:val="378143FA"/>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23581A"/>
    <w:rsid w:val="3D2A251C"/>
    <w:rsid w:val="3D467A1F"/>
    <w:rsid w:val="3D507829"/>
    <w:rsid w:val="3D6C749D"/>
    <w:rsid w:val="3D8D6E89"/>
    <w:rsid w:val="3E457415"/>
    <w:rsid w:val="3E6D48C6"/>
    <w:rsid w:val="3E8D66BF"/>
    <w:rsid w:val="3E9C6B44"/>
    <w:rsid w:val="3EBB6F20"/>
    <w:rsid w:val="3EC01B0D"/>
    <w:rsid w:val="3F7D7215"/>
    <w:rsid w:val="404505BE"/>
    <w:rsid w:val="40530B57"/>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F246A8"/>
    <w:rsid w:val="44F257C5"/>
    <w:rsid w:val="452E518F"/>
    <w:rsid w:val="45EC7176"/>
    <w:rsid w:val="462A65EF"/>
    <w:rsid w:val="4683562F"/>
    <w:rsid w:val="46892AE6"/>
    <w:rsid w:val="468B1477"/>
    <w:rsid w:val="4694553B"/>
    <w:rsid w:val="46B570D6"/>
    <w:rsid w:val="4776557E"/>
    <w:rsid w:val="47F4188B"/>
    <w:rsid w:val="4837212F"/>
    <w:rsid w:val="484215AB"/>
    <w:rsid w:val="49295EE1"/>
    <w:rsid w:val="498301DB"/>
    <w:rsid w:val="49F74A64"/>
    <w:rsid w:val="4A921D66"/>
    <w:rsid w:val="4AB308D4"/>
    <w:rsid w:val="4AC04183"/>
    <w:rsid w:val="4B1E4B4A"/>
    <w:rsid w:val="4B760013"/>
    <w:rsid w:val="4BAE0B4E"/>
    <w:rsid w:val="4C2044CE"/>
    <w:rsid w:val="4C565088"/>
    <w:rsid w:val="4C855396"/>
    <w:rsid w:val="4CB67C8A"/>
    <w:rsid w:val="4CE918A1"/>
    <w:rsid w:val="4DD11C75"/>
    <w:rsid w:val="4E427E80"/>
    <w:rsid w:val="4E55513D"/>
    <w:rsid w:val="4E6B25A0"/>
    <w:rsid w:val="4EAB2537"/>
    <w:rsid w:val="4EE62BA3"/>
    <w:rsid w:val="4F12590B"/>
    <w:rsid w:val="4F962706"/>
    <w:rsid w:val="4F973682"/>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391FA8"/>
    <w:rsid w:val="555C11A5"/>
    <w:rsid w:val="55C03463"/>
    <w:rsid w:val="55DD0B61"/>
    <w:rsid w:val="55FA33D0"/>
    <w:rsid w:val="561811EF"/>
    <w:rsid w:val="564E4D85"/>
    <w:rsid w:val="566C7F54"/>
    <w:rsid w:val="566E43A2"/>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503CD3"/>
    <w:rsid w:val="6A8219B9"/>
    <w:rsid w:val="6A9D485E"/>
    <w:rsid w:val="6ABF73F6"/>
    <w:rsid w:val="6AC16976"/>
    <w:rsid w:val="6ACD1360"/>
    <w:rsid w:val="6B4138D1"/>
    <w:rsid w:val="6B4932E0"/>
    <w:rsid w:val="6B623FF7"/>
    <w:rsid w:val="6BE958C5"/>
    <w:rsid w:val="6C41609F"/>
    <w:rsid w:val="6C8F4039"/>
    <w:rsid w:val="6C96487B"/>
    <w:rsid w:val="6C97333A"/>
    <w:rsid w:val="6CA52D5A"/>
    <w:rsid w:val="6CF457D5"/>
    <w:rsid w:val="6CF61827"/>
    <w:rsid w:val="6D29264F"/>
    <w:rsid w:val="6EE75201"/>
    <w:rsid w:val="6F173736"/>
    <w:rsid w:val="6F3D59E4"/>
    <w:rsid w:val="6F43257C"/>
    <w:rsid w:val="70023FB1"/>
    <w:rsid w:val="70AC79E8"/>
    <w:rsid w:val="70C554A9"/>
    <w:rsid w:val="715351A6"/>
    <w:rsid w:val="716472C9"/>
    <w:rsid w:val="71D31722"/>
    <w:rsid w:val="71DF1A24"/>
    <w:rsid w:val="725F1FA5"/>
    <w:rsid w:val="72694A68"/>
    <w:rsid w:val="733E77A5"/>
    <w:rsid w:val="73647AB6"/>
    <w:rsid w:val="738B51BA"/>
    <w:rsid w:val="73A97503"/>
    <w:rsid w:val="73AC7391"/>
    <w:rsid w:val="73EA22D3"/>
    <w:rsid w:val="73EF2C65"/>
    <w:rsid w:val="73F91314"/>
    <w:rsid w:val="74621EF2"/>
    <w:rsid w:val="74B00F64"/>
    <w:rsid w:val="750721FE"/>
    <w:rsid w:val="753F136E"/>
    <w:rsid w:val="755D3A4B"/>
    <w:rsid w:val="759956B9"/>
    <w:rsid w:val="75FA1A9A"/>
    <w:rsid w:val="760431B8"/>
    <w:rsid w:val="770D32A8"/>
    <w:rsid w:val="773762EB"/>
    <w:rsid w:val="774755DC"/>
    <w:rsid w:val="774C562F"/>
    <w:rsid w:val="783A6AE5"/>
    <w:rsid w:val="784E3DBA"/>
    <w:rsid w:val="78E10482"/>
    <w:rsid w:val="793D31B4"/>
    <w:rsid w:val="798C24CF"/>
    <w:rsid w:val="79B820E2"/>
    <w:rsid w:val="79C753CB"/>
    <w:rsid w:val="7A39245E"/>
    <w:rsid w:val="7A534C3C"/>
    <w:rsid w:val="7A6D5B27"/>
    <w:rsid w:val="7AD7681F"/>
    <w:rsid w:val="7AE46082"/>
    <w:rsid w:val="7B6039D0"/>
    <w:rsid w:val="7BFA4812"/>
    <w:rsid w:val="7C3007DA"/>
    <w:rsid w:val="7CC43A57"/>
    <w:rsid w:val="7D545B31"/>
    <w:rsid w:val="7DE6372E"/>
    <w:rsid w:val="7DFE6CED"/>
    <w:rsid w:val="7E593717"/>
    <w:rsid w:val="7E686CA3"/>
    <w:rsid w:val="7EB23477"/>
    <w:rsid w:val="7EDD59AB"/>
    <w:rsid w:val="7EE232ED"/>
    <w:rsid w:val="7EE37EC5"/>
    <w:rsid w:val="7F1B0D3F"/>
    <w:rsid w:val="7FA46417"/>
    <w:rsid w:val="7FBA2FC7"/>
    <w:rsid w:val="7FCF0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Plain Text"/>
    <w:basedOn w:val="1"/>
    <w:link w:val="23"/>
    <w:qFormat/>
    <w:uiPriority w:val="0"/>
    <w:rPr>
      <w:rFonts w:ascii="宋体" w:hAnsi="Courier New"/>
      <w:szCs w:val="20"/>
    </w:rPr>
  </w:style>
  <w:style w:type="paragraph" w:styleId="4">
    <w:name w:val="Date"/>
    <w:basedOn w:val="1"/>
    <w:next w:val="1"/>
    <w:qFormat/>
    <w:uiPriority w:val="0"/>
    <w:rPr>
      <w:rFonts w:eastAsia="仿宋_GB2312"/>
      <w:spacing w:val="20"/>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页脚 Char"/>
    <w:basedOn w:val="11"/>
    <w:link w:val="6"/>
    <w:qFormat/>
    <w:uiPriority w:val="99"/>
    <w:rPr>
      <w:kern w:val="2"/>
      <w:sz w:val="18"/>
      <w:szCs w:val="18"/>
    </w:rPr>
  </w:style>
  <w:style w:type="character" w:customStyle="1" w:styleId="15">
    <w:name w:val="页眉 Char"/>
    <w:basedOn w:val="11"/>
    <w:link w:val="7"/>
    <w:qFormat/>
    <w:uiPriority w:val="0"/>
    <w:rPr>
      <w:kern w:val="2"/>
      <w:sz w:val="18"/>
      <w:szCs w:val="18"/>
    </w:rPr>
  </w:style>
  <w:style w:type="character" w:customStyle="1" w:styleId="16">
    <w:name w:val="标题 1 Char"/>
    <w:basedOn w:val="11"/>
    <w:link w:val="2"/>
    <w:qFormat/>
    <w:uiPriority w:val="9"/>
    <w:rPr>
      <w:rFonts w:ascii="Calibri" w:hAnsi="Calibri"/>
      <w:b/>
      <w:bCs/>
      <w:kern w:val="44"/>
      <w:sz w:val="44"/>
      <w:szCs w:val="44"/>
    </w:rPr>
  </w:style>
  <w:style w:type="paragraph" w:customStyle="1" w:styleId="17">
    <w:name w:val="Char"/>
    <w:basedOn w:val="1"/>
    <w:qFormat/>
    <w:uiPriority w:val="0"/>
    <w:rPr>
      <w:rFonts w:ascii="宋体" w:hAnsi="宋体" w:cs="Courier New"/>
      <w:sz w:val="32"/>
      <w:szCs w:val="32"/>
    </w:rPr>
  </w:style>
  <w:style w:type="paragraph" w:customStyle="1" w:styleId="18">
    <w:name w:val="Char Char Char Char Char Char Char Char Char Char Char Char"/>
    <w:basedOn w:val="1"/>
    <w:qFormat/>
    <w:uiPriority w:val="0"/>
  </w:style>
  <w:style w:type="paragraph" w:customStyle="1" w:styleId="19">
    <w:name w:val="Char Char Char Char Char Char Char Char Char Char Char Char1"/>
    <w:basedOn w:val="1"/>
    <w:qFormat/>
    <w:uiPriority w:val="0"/>
  </w:style>
  <w:style w:type="paragraph" w:customStyle="1" w:styleId="20">
    <w:name w:val="Char2 Char Char Char Char Char Char1 Char Char Char Char Char Char"/>
    <w:basedOn w:val="1"/>
    <w:qFormat/>
    <w:uiPriority w:val="0"/>
    <w:rPr>
      <w:rFonts w:ascii="宋体" w:hAnsi="宋体" w:cs="Courier New"/>
      <w:sz w:val="32"/>
      <w:szCs w:val="32"/>
    </w:rPr>
  </w:style>
  <w:style w:type="paragraph" w:customStyle="1" w:styleId="21">
    <w:name w:val="Char Char Char"/>
    <w:basedOn w:val="1"/>
    <w:qFormat/>
    <w:uiPriority w:val="0"/>
    <w:rPr>
      <w:rFonts w:ascii="宋体" w:hAnsi="宋体" w:cs="Courier New"/>
      <w:sz w:val="32"/>
      <w:szCs w:val="32"/>
    </w:rPr>
  </w:style>
  <w:style w:type="paragraph" w:customStyle="1" w:styleId="22">
    <w:name w:val="Char1"/>
    <w:basedOn w:val="1"/>
    <w:qFormat/>
    <w:uiPriority w:val="0"/>
    <w:rPr>
      <w:rFonts w:ascii="宋体" w:hAnsi="宋体" w:cs="Courier New"/>
      <w:sz w:val="32"/>
      <w:szCs w:val="32"/>
    </w:rPr>
  </w:style>
  <w:style w:type="character" w:customStyle="1" w:styleId="23">
    <w:name w:val="纯文本 Char"/>
    <w:basedOn w:val="11"/>
    <w:link w:val="3"/>
    <w:qFormat/>
    <w:uiPriority w:val="0"/>
    <w:rPr>
      <w:rFonts w:ascii="宋体" w:hAnsi="Courier New"/>
      <w:kern w:val="2"/>
      <w:sz w:val="21"/>
    </w:rPr>
  </w:style>
  <w:style w:type="character" w:customStyle="1" w:styleId="24">
    <w:name w:val="font01"/>
    <w:basedOn w:val="11"/>
    <w:qFormat/>
    <w:uiPriority w:val="0"/>
    <w:rPr>
      <w:rFonts w:hint="eastAsia" w:ascii="楷体_GB2312" w:eastAsia="楷体_GB2312" w:cs="楷体_GB2312"/>
      <w:color w:val="000000"/>
      <w:sz w:val="24"/>
      <w:szCs w:val="24"/>
      <w:u w:val="none"/>
    </w:rPr>
  </w:style>
  <w:style w:type="character" w:customStyle="1" w:styleId="25">
    <w:name w:val="font31"/>
    <w:basedOn w:val="11"/>
    <w:qFormat/>
    <w:uiPriority w:val="0"/>
    <w:rPr>
      <w:rFonts w:hint="default" w:ascii="Times New Roman" w:hAnsi="Times New Roman" w:cs="Times New Roman"/>
      <w:color w:val="000000"/>
      <w:sz w:val="24"/>
      <w:szCs w:val="24"/>
      <w:u w:val="none"/>
    </w:rPr>
  </w:style>
  <w:style w:type="character" w:customStyle="1" w:styleId="26">
    <w:name w:val="font61"/>
    <w:basedOn w:val="11"/>
    <w:qFormat/>
    <w:uiPriority w:val="0"/>
    <w:rPr>
      <w:rFonts w:hint="default" w:ascii="Times New Roman" w:hAnsi="Times New Roman" w:cs="Times New Roman"/>
      <w:color w:val="000000"/>
      <w:sz w:val="24"/>
      <w:szCs w:val="24"/>
      <w:u w:val="none"/>
    </w:rPr>
  </w:style>
  <w:style w:type="character" w:customStyle="1" w:styleId="27">
    <w:name w:val="font21"/>
    <w:basedOn w:val="11"/>
    <w:qFormat/>
    <w:uiPriority w:val="0"/>
    <w:rPr>
      <w:rFonts w:hint="eastAsia" w:ascii="仿宋_GB2312" w:eastAsia="仿宋_GB2312" w:cs="仿宋_GB2312"/>
      <w:color w:val="000000"/>
      <w:sz w:val="24"/>
      <w:szCs w:val="24"/>
      <w:u w:val="none"/>
    </w:rPr>
  </w:style>
  <w:style w:type="character" w:customStyle="1" w:styleId="28">
    <w:name w:val="font51"/>
    <w:basedOn w:val="11"/>
    <w:qFormat/>
    <w:uiPriority w:val="0"/>
    <w:rPr>
      <w:rFonts w:hint="eastAsia" w:ascii="仿宋_GB2312" w:eastAsia="仿宋_GB2312" w:cs="仿宋_GB2312"/>
      <w:color w:val="003300"/>
      <w:sz w:val="24"/>
      <w:szCs w:val="24"/>
      <w:u w:val="none"/>
    </w:rPr>
  </w:style>
  <w:style w:type="character" w:customStyle="1" w:styleId="29">
    <w:name w:val="font71"/>
    <w:basedOn w:val="11"/>
    <w:qFormat/>
    <w:uiPriority w:val="0"/>
    <w:rPr>
      <w:rFonts w:hint="default" w:ascii="Arial" w:hAnsi="Arial" w:cs="Arial"/>
      <w:color w:val="000000"/>
      <w:sz w:val="24"/>
      <w:szCs w:val="24"/>
      <w:u w:val="none"/>
    </w:rPr>
  </w:style>
  <w:style w:type="character" w:customStyle="1" w:styleId="30">
    <w:name w:val="font1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921EF-EFF3-4162-B285-4F92157B201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844</Words>
  <Characters>911</Characters>
  <Lines>10</Lines>
  <Paragraphs>19</Paragraphs>
  <TotalTime>11</TotalTime>
  <ScaleCrop>false</ScaleCrop>
  <LinksUpToDate>false</LinksUpToDate>
  <CharactersWithSpaces>1013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2019-03-29T06:00:00Z</dcterms:created>
  <dc:creator>lidong</dc:creator>
  <cp:lastModifiedBy>mi.ao</cp:lastModifiedBy>
  <cp:lastPrinted>2022-01-17T03:42:00Z</cp:lastPrinted>
  <dcterms:modified xsi:type="dcterms:W3CDTF">2022-01-19T02:22:46Z</dcterms:modified>
  <dc:title>朝阳区人民政府督查室</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F53205D791A048739FC8AED1D9B42B1D</vt:lpwstr>
  </property>
</Properties>
</file>