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危险化学品重大危险源监督管理暂行规定</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（2011年8月5日国家安全生产监督管理总局令第40号公布，自2011年12月1日起施行；根据2015年5月27日国家安全生产监督管理总局令第79号修正）</w:t>
      </w:r>
    </w:p>
    <w:p>
      <w:pPr>
        <w:ind w:firstLine="720" w:firstLineChars="200"/>
        <w:rPr>
          <w:rFonts w:ascii="宋体" w:hAnsi="宋体" w:eastAsia="宋体" w:cs="宋体"/>
          <w:color w:val="333333"/>
          <w:sz w:val="36"/>
          <w:szCs w:val="36"/>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为了加强危险化学品重大危险源的安全监督管理，防止和减少危险化学品事故的发生，保障人民群众生命财产安全，根据《中华人民共和国安全生产法》和《危险化学品安全管理条例》等有关法律、行政法规，制定本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hint="eastAsia" w:ascii="仿宋_GB2312" w:hAnsi="仿宋_GB2312" w:eastAsia="仿宋_GB2312" w:cs="仿宋_GB2312"/>
          <w:color w:val="333333"/>
          <w:sz w:val="32"/>
          <w:szCs w:val="32"/>
          <w:shd w:val="clear" w:color="auto" w:fill="FFFFFF"/>
        </w:rPr>
        <w:t>　从事危险化学品生产、储存、使用和经营的单位（以下统称危险化学品单位）的危险化学品重大危险源的辨识、评估、登记建档、备案、核销及其监督管理，适用本规定。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城镇燃气、用于国防科研生产的危险化学品重大危险源以及港区内危险化学品重大危险源的安全监督管理，不适用本规定。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本规定所称危险化学品重大危险源（以下简称重大危险源），是指按照《危险化学品重大危险源辨识》（GB18218）标准辨识确定，生产、储存、使用或者搬运危险化学品的数量等于或者超过临界量的单元（包括场所和设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危险化学品单位是本单位重大危险源安全管理的责任主体，其主要负责人对本单位的重大危险源安全管理工作负责，并保证重大危险源安全生产所必需的安全投入。</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重大危险源的安全监督管理实行属地监管与分级管理相结合的原则。</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县级以上地方人民政府安全生产监督管理部门按照有关法律、法规、标准和本规定，对本辖区内的重大危险源实施安全监督管理。</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国家鼓励危险化学品单位采用有利于提高重大危险源安全保障水平的先进适用的工艺、技术、设备以及自动控制系统，推进安全生产监督管理部门重大危险源安全监管的信息化建设。</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辨识与评估</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危险化学品单位应当按照《危险化学品重大危险源辨识》标准，对本单位的危险化学品生产、经营、储存和使用装置、设施或者场所进行重大危险源辨识，并记录辨识过程与结果。</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危险化学品单位应当对重大危险源进行安全评估并确定重大危险源等级。危险化学品单位可以组织本单位的注册安全工程师、技术人员或者聘请有关专家进行安全评估，也可以委托具有相应资质的安全评价机构进行安全评估。</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依照法律、行政法规的规定，危险化学品单位需要进行安全评价的，重大危险源安全评估可以与本单位的安全评价一起进行，以安全评价报告代替安全评估报告，也可以单独进行重大危险源安全评估。</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重大危险源根据其危险程度，分为一级、二级、三级和四级，一级为最高级别。重大危险源分级方法由本规定附件1列示。</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重大危险源有下列情形之一的，应当委托具有相应资质的安全评价机构，按照有关标准的规定采用定量风险评价方法进行安全评估，确定个人和社会风险值：</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（一）构成一级或者二级重大危险源，且毒性气体实际存在（在线）量与其在《危险化学品重大危险源辨识》中规定的临界量比值之和大于或等于1的；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（二）构成一级重大危险源，且爆炸品或液化易燃气体实际存在（在线）量与其在《危险化学品重大危险源辨识》中规定的临界量比值之和大于或等于1的。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重大危险源安全评估报告应当客观公正、数据准确、内容完整、结论明确、措施可行，并包括下列内容：</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（一）评估的主要依据；</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（二）重大危险源的基本情况；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（三）事故发生的可能性及危害程度；</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（四）个人风险和社会风险值（仅适用定量风险评价方法）；</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（五）可能受事故影响的周边场所、人员情况；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（六）重大危险源辨识、分级的符合性分析；</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（七）安全管理措施、安全技术和监控措施；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（八）事故应急措施；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（九）评估结论与建议。</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危险化学品单位以安全评价报告代替安全评估报告的，其安全评价报告中有关重大危险源的内容应当符合本条第一款规定的要求。</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有下列情形之一的，危险化学品单位应当对重大危险源重新进行辨识、安全评估及分级：</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（一）重大危险源安全评估已满三年的；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（二）构成重大危险源的装置、设施或者场所进行新建、改建、扩建的；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（三）危险化学品种类、数量、生产、使用工艺或者储存方式及重要设备、设施等发生变化，影响重大危险源级别或者风险程度的；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（四）外界生产安全环境因素发生变化，影响重大危险源级别和风险程度的；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（五）发生危险化学品事故造成人员死亡，或者10人以上受伤，或者影响到公共安全的；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（六）有关重大危险源辨识和安全评估的国家标准、行业标准发生变化的。</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安全管理</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危险化学品单位应当建立完善重大危险源安全管理规章制度和安全操作规程，并采取有效措施保证其得到执行。</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危险化学品单位应当根据构成重大危险源的危险化学品种类、数量、生产、使用工艺（方式）或者相关设备、设施等实际情况，按照下列要求建立健全安全监测监控体系，完善控制措施：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重大危险源配备温度、压力、液位、流量、组份等信息的不间断采集和监测系统以及可燃气体和有毒有害气体泄漏检测报警装置，并具备信息远传、连续记录、事故预警、信息存储等功能；一级或者二级重大危险源，具备紧急停车功能。记录的电子数据的保存时间不少于30天；</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（二）重大危险源的化工生产装置装备满足安全生产要求的自动化控制系统；一级或者二级重大危险源，装备紧急停车系统；</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对重大危险源中的毒性气体、剧毒液体和易燃气体等重点设施，设置紧急切断装置；毒性气体的设施，设置泄漏物紧急处置装置。涉及毒性气体、液化气体、剧毒液体的一级或者二级重大危险源，配备独立的安全仪表系统（SIS）；</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（四）重大危险源中储存剧毒物质的场所或者设施，设置视频监控系统；</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（五）安全监测监控系统符合国家标准或者行业标准的规定。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通过定量风险评价确定的重大危险源的个人和社会风险值，不得超过本规定附件2列示的个人和社会可容许风险限值标准。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超过个人和社会可容许风险限值标准的，危险化学品单位应当采取相应的降低风险措施。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危险化学品单位应当对重大危险源的管理和操作岗位人员进行安全操作技能培训，使其了解重大危险源的危险特性，熟悉重大危险源安全管理规章制度和安全操作规程，掌握本岗位的安全操作技能和应急措施。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危险化学品单位应当在重大危险源所在场所设置明显的安全警示标志，写明紧急情况下的应急处置办法。</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危险化学品单位应当将重大危险源可能发生的事故后果和应急措施等信息，以适当方式告知可能受影响的单位、区域及人员。</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存在吸入性有毒、有害气体的重大危险源，危险化学品单位应当配备便携式浓度检测设备、空气呼吸器、化学防护服、堵漏器材等应急器材和设备；涉及剧毒气体的重大危险源，还应当配备两套以上（含本数）气密型化学防护服；涉及易燃易爆气体或者易燃液体蒸气的重大危险源，还应当配备一定数量的便携式可燃气体检测设备。</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危险化学品单位应当制定重大危险源事故应急预案演练计划，并按照下列要求进行事故应急预案演练：</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（一）对重大危险源专项应急预案，每年至少进行一次；</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（二）对重大危险源现场处置方案，每半年至少进行一次。</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应急预案演练结束后，危险化学品单位应当对应急预案演练效果进行评估，撰写应急预案演练评估报告，分析存在的问题，对应急预案提出修订意见，并及时修订完善。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危险化学品单位应当对辨识确认的重大危险源及时、逐项进行登记建档。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重大危险源档案应当包括下列文件、资料：</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（一）辨识、分级记录；</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（二）重大危险源基本特征表；</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（三）涉及的所有化学品安全技术说明书；</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（四）区域位置图、平面布置图、工艺流程图和主要设备一览表；</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（五）重大危险源安全管理规章制度及安全操作规程；</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（六）安全监测监控系统、措施说明、检测、检验结果；</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（七）重大危险源事故应急预案、评审意见、演练计划和评估报告；</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（八）安全评估报告或者安全评价报告；</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（九）重大危险源关键装置、重点部位的责任人、责任机构名称；</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（十）重大危险源场所安全警示标志的设置情况；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（十一）其他文件、资料。</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危险化学品单位在完成重大危险源安全评估报告或者安全评价报告后15日内，应当填写重大危险源备案申请表，连同本规定第二十二条规定的重大危险源档案材料（其中第二款第五项规定的文件资料只需提供清单），报送所在地县级人民政府安全生产监督管理部门备案。</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县级人民政府安全生产监督管理部门应当每季度将辖区内的一级、二级重大危险源备案材料报送至设区的市级人民政府安全生产监督管理部门。设区的市级人民政府安全生产监督管理部门应当每半年将辖区内的一级重大危险源备案材料报送至省级人民政府安全生产监督管理部门。</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重大危险源出现本规定第十一条所列情形之一的，危险化学品单位应当及时更新档案，并向所在地县级人民政府安全生产监督管理部门重新备案。</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危险化学品单位新建、改建和扩建危险化学品建设项目，应当在建设项目竣工验收前完成重大危险源的辨识、安全评估和分级、登记建档工作，并向所在地县级人民政府安全生产监督管理部门备案。</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监督检查</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县级人民政府安全生产监督管理部门应当建立健全危险化学品重大危险源管理制度，明确责任人员，加强资料归档。</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县级人民政府安全生产监督管理部门应当在每年1月15日前，将辖区内上一年度重大危险源的汇总信息报送至设区的市级人民政府安全生产监督管理部门。设区的市级人民政府安全生产监督管理部门应当在每年1月31日前，将辖区内上一年度重大危险源的汇总信息报送至省级人民政府安全生产监督管理部门。省级人民政府安全生产监督管理部门应当在每年2月15日前，将辖区内上一年度重大危险源的汇总信息报送至国家安全生产监督管理总局。</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重大危险源经过安全评价或者安全评估不再构成重大危险源的，危险化学品单位应当向所在地县级人民政府安全生产监督管理部门申请核销。</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申请核销重大危险源应当提交下列文件、资料：</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（一）载明核销理由的申请书；</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（二）单位名称、法定代表人、住所、联系人、联系方式；</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（三）安全评价报告或者安全评估报告。</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县级人民政府安全生产监督管理部门应当自收到申请核销的文件、资料之日起30日内进行审查，符合条件的，予以核销并出具证明文书；不符合条件的，说明理由并书面告知申请单位。必要时，县级人民政府安全生产监督管理部门应当聘请有关专家进行现场核查。</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县级人民政府安全生产监督管理部门应当每季度将辖区内一级、二级重大危险源的核销材料报送至设区的市级人民政府安全生产监督管理部门。设区的市级人民政府安全生产监督管理部门应当每半年将辖区内一级重大危险源的核销材料报送至省级人民政府安全生产监督管理部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县级以上地方各级人民政府安全生产监督管理部门应当加强对存在重大危险源的危险化学品单位的监督检查，督促危险化学品单位做好重大危险源的辨识、安全评估及分级、登记建档、备案、监测监控、事故应急预案编制、核销和安全管理工作。</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首次对重大危险源的监督检查应当包括下列主要内容：</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（一）重大危险源的运行情况、安全管理规章制度及安全操作规程制定和落实情况；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（二）重大危险源的辨识、分级、安全评估、登记建档、备案情况；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（三）重大危险源的监测监控情况；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（四）重大危险源安全设施和安全监测监控系统的检测、检验以及维护保养情况；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（五）重大危险源事故应急预案的编制、评审、备案、修订和演练情况；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（六）有关从业人员的安全培训教育情况；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（七）安全标志设置情况；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（八）应急救援器材、设备、物资配备情况；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（九）预防和控制事故措施的落实情况。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生产监督管理部门在监督检查中发现重大危险源存在事故隐患的，应当责令立即排除；重大事故隐患排除前或者排除过程中无法保证安全的，应当责令从危险区域内撤出作业人员，责令暂时停产停业或者停止使用；重大事故隐患排除后，经安全生产监督管理部门审查同意，方可恢复生产经营和使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县级以上地方各级人民政府安全生产监督管理部门应当会同本级人民政府有关部门，加强对工业（化工）园区等重大危险源集中区域的监督检查，确保重大危险源与周边单位、居民区、人员密集场所等重要目标和敏感场所之间保持适当的安全距离。</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法律责任</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危险化学品单位有下列行为之一的，由县级以上人民政府安全生产监督管理部门责令限期改正，可以处10万元以下的罚款；逾期未改正的，责令停产停业整顿，并处10万元以上20万元以下的罚款，对其直接负责的主管人员和其他直接责任人员处2万元以上5万元以下的罚款；构成犯罪的，依照刑法有关规定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（一）未按照本规定要求对重大危险源进行安全评估或者安全评价的；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（二）未按照本规定要求对重大危险源进行登记建档的；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（三）未按照本规定及相关标准要求对重大危险源进行安全监测监控的；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（四）未制定重大危险源事故应急预案的。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危险化学品单位有下列行为之一的，由县级以上人民政府安全生产监督管理部门责令限期改正，可以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（一）未在构成重大危险源的场所设置明显的安全警示标志的；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（二）未对重大危险源中的设备、设施等进行定期检测、检验的。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危险化学品单位有下列情形之一的，由县级以上人民政府安全生产监督管理部门给予警告，可以并处5000元以上3万元以下的罚款：</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（一）未按照标准对重大危险源进行辨识的；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（二）未按照本规定明确重大危险源中关键装置、重点部位的责任人或者责任机构的；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（三）未按照本规定建立应急救援组织或者配备应急救援人员，以及配备必要的防护装备及器材、设备、物资，并保障其完好的；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（四）未按照本规定进行重大危险源备案或者核销的；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（五）未将重大危险源可能引发的事故后果、应急措施等信息告知可能受影响的单位、区域及人员的；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（六）未按照本规定要求开展重大危险源事故应急预案演练的。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危险化学品单位未按照本规定对重大危险源的安全生产状况进行定期检查，采取措施消除事故隐患的，责令立即消除或者限期消除；危险化学品单位拒不执行的，责令停产停业整顿，并处10万元以上20万元以下的罚款，对其直接负责的主管人员和其他直接责任人员处2万元以上5万元以下的罚款。</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承担检测、检验、安全评价工作的机构，出具虚假证明的，没收违法所得；违法所得在10万元以上的，并处违法所得2倍以上5倍以下的罚款；没有违法所得或者违法所得不足10万元的，单处或者并处10万元以上20万元以下的罚款；对其直接负责的主管人员和其他直接责任人员处2万元以上5万元以下的罚款；给他人造成损害的，与危险化学品单位承担连带赔偿责任；构成犯罪的，依照刑法有关规定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对有前款违法行为的机构，依法吊销其相应资质。</w:t>
      </w:r>
    </w:p>
    <w:p>
      <w:pPr>
        <w:ind w:firstLine="640" w:firstLineChars="200"/>
        <w:rPr>
          <w:rFonts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第六章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本规定自2011年12月1日起施行。</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附件</w:t>
      </w:r>
      <w:r>
        <w:rPr>
          <w:rFonts w:hint="eastAsia" w:ascii="仿宋_GB2312" w:hAnsi="仿宋_GB2312" w:eastAsia="仿宋_GB2312" w:cs="仿宋_GB2312"/>
          <w:color w:val="333333"/>
          <w:sz w:val="32"/>
          <w:szCs w:val="32"/>
          <w:shd w:val="clear" w:color="auto" w:fill="FFFFFF"/>
        </w:rPr>
        <w:t>：1．危险化学品重大危险源分级方法</w:t>
      </w:r>
    </w:p>
    <w:p>
      <w:pPr>
        <w:ind w:firstLine="1600" w:firstLineChars="5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2．可容许风险标准</w:t>
      </w: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spacing w:line="560" w:lineRule="exact"/>
        <w:rPr>
          <w:rFonts w:ascii="仿宋_GB2312" w:hAnsi="Times New Roman" w:eastAsia="仿宋_GB2312" w:cs="Times New Roman"/>
          <w:sz w:val="32"/>
          <w:szCs w:val="32"/>
        </w:rPr>
      </w:pPr>
      <w:bookmarkStart w:id="0" w:name="_GoBack"/>
      <w:bookmarkEnd w:id="0"/>
    </w:p>
    <w:p>
      <w:pPr>
        <w:jc w:val="left"/>
        <w:rPr>
          <w:rFonts w:ascii="黑体" w:hAnsi="黑体" w:eastAsia="黑体" w:cs="Times New Roman"/>
          <w:b/>
          <w:sz w:val="32"/>
          <w:szCs w:val="32"/>
        </w:rPr>
      </w:pPr>
      <w:r>
        <w:rPr>
          <w:rFonts w:hint="eastAsia" w:ascii="黑体" w:hAnsi="黑体" w:eastAsia="黑体" w:cs="Times New Roman"/>
          <w:b/>
          <w:sz w:val="32"/>
          <w:szCs w:val="32"/>
        </w:rPr>
        <w:t>附件1</w:t>
      </w:r>
    </w:p>
    <w:p>
      <w:pPr>
        <w:jc w:val="center"/>
        <w:rPr>
          <w:rFonts w:ascii="黑体" w:hAnsi="黑体" w:eastAsia="黑体" w:cs="Times New Roman"/>
          <w:b/>
          <w:sz w:val="32"/>
          <w:szCs w:val="32"/>
        </w:rPr>
      </w:pPr>
      <w:r>
        <w:rPr>
          <w:rFonts w:hint="eastAsia" w:ascii="黑体" w:hAnsi="黑体" w:eastAsia="黑体" w:cs="Times New Roman"/>
          <w:b/>
          <w:sz w:val="32"/>
          <w:szCs w:val="32"/>
        </w:rPr>
        <w:t>危险化学品重大危险源分级方法</w:t>
      </w:r>
    </w:p>
    <w:p>
      <w:pPr>
        <w:jc w:val="center"/>
        <w:rPr>
          <w:rFonts w:ascii="华文中宋" w:hAnsi="华文中宋" w:eastAsia="华文中宋" w:cs="Times New Roman"/>
          <w:b/>
          <w:sz w:val="44"/>
          <w:szCs w:val="44"/>
        </w:rPr>
      </w:pPr>
    </w:p>
    <w:p>
      <w:pPr>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一、分级指标</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采用单元内各种危险化学品实际存在（在线）量与其在《危险化学品重大危险源辨识》（GB18218）中规定的临界量比值，经校正系数校正后的比值之和</w:t>
      </w:r>
      <w:r>
        <w:rPr>
          <w:rFonts w:hint="eastAsia" w:ascii="仿宋_GB2312" w:hAnsi="Times New Roman" w:eastAsia="仿宋_GB2312" w:cs="Times New Roman"/>
          <w:i/>
          <w:sz w:val="32"/>
          <w:szCs w:val="32"/>
        </w:rPr>
        <w:t>R</w:t>
      </w:r>
      <w:r>
        <w:rPr>
          <w:rFonts w:hint="eastAsia" w:ascii="仿宋_GB2312" w:hAnsi="Times New Roman" w:eastAsia="仿宋_GB2312" w:cs="Times New Roman"/>
          <w:sz w:val="32"/>
          <w:szCs w:val="32"/>
        </w:rPr>
        <w:t>作为分级指标。</w:t>
      </w:r>
    </w:p>
    <w:p>
      <w:pPr>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二、R的计算方法</w:t>
      </w:r>
    </w:p>
    <w:p>
      <w:pPr>
        <w:jc w:val="center"/>
        <w:rPr>
          <w:rFonts w:ascii="仿宋_GB2312" w:hAnsi="Times New Roman" w:eastAsia="仿宋_GB2312" w:cs="Times New Roman"/>
          <w:sz w:val="28"/>
          <w:szCs w:val="28"/>
        </w:rPr>
      </w:pPr>
      <w:r>
        <w:rPr>
          <w:rFonts w:ascii="Times New Roman" w:hAnsi="Times New Roman" w:eastAsia="宋体" w:cs="Times New Roman"/>
          <w:position w:val="-32"/>
          <w:sz w:val="28"/>
          <w:szCs w:val="28"/>
        </w:rPr>
        <w:object>
          <v:shape id="_x0000_i1025" o:spt="75" type="#_x0000_t75" style="height:46.5pt;width:216.5pt;" o:ole="t" fillcolor="#BBE0E3"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式中：</w:t>
      </w:r>
    </w:p>
    <w:p>
      <w:pPr>
        <w:ind w:firstLine="1440" w:firstLineChars="450"/>
        <w:rPr>
          <w:rFonts w:ascii="仿宋_GB2312" w:hAnsi="Times New Roman" w:eastAsia="仿宋_GB2312" w:cs="Times New Roman"/>
          <w:sz w:val="32"/>
          <w:szCs w:val="32"/>
        </w:rPr>
      </w:pPr>
      <w:r>
        <w:rPr>
          <w:rFonts w:hint="eastAsia" w:ascii="仿宋_GB2312" w:hAnsi="Times New Roman" w:eastAsia="仿宋_GB2312" w:cs="Times New Roman"/>
          <w:i/>
          <w:sz w:val="32"/>
          <w:szCs w:val="32"/>
        </w:rPr>
        <w:t>q</w:t>
      </w:r>
      <w:r>
        <w:rPr>
          <w:rFonts w:hint="eastAsia" w:ascii="仿宋_GB2312" w:hAnsi="Times New Roman" w:eastAsia="仿宋_GB2312" w:cs="Times New Roman"/>
          <w:i/>
          <w:sz w:val="32"/>
          <w:szCs w:val="32"/>
          <w:vertAlign w:val="subscript"/>
        </w:rPr>
        <w:t>1</w:t>
      </w:r>
      <w:r>
        <w:rPr>
          <w:rFonts w:hint="eastAsia" w:ascii="仿宋_GB2312" w:hAnsi="Times New Roman" w:eastAsia="仿宋_GB2312" w:cs="Times New Roman"/>
          <w:i/>
          <w:sz w:val="32"/>
          <w:szCs w:val="32"/>
        </w:rPr>
        <w:t>,q</w:t>
      </w:r>
      <w:r>
        <w:rPr>
          <w:rFonts w:hint="eastAsia" w:ascii="仿宋_GB2312" w:hAnsi="Times New Roman" w:eastAsia="仿宋_GB2312" w:cs="Times New Roman"/>
          <w:i/>
          <w:sz w:val="32"/>
          <w:szCs w:val="32"/>
          <w:vertAlign w:val="subscript"/>
        </w:rPr>
        <w:t>2</w:t>
      </w:r>
      <w:r>
        <w:rPr>
          <w:rFonts w:hint="eastAsia" w:ascii="仿宋_GB2312" w:hAnsi="Times New Roman" w:eastAsia="仿宋_GB2312" w:cs="Times New Roman"/>
          <w:i/>
          <w:sz w:val="32"/>
          <w:szCs w:val="32"/>
        </w:rPr>
        <w:t>,…,q</w:t>
      </w:r>
      <w:r>
        <w:rPr>
          <w:rFonts w:hint="eastAsia" w:ascii="仿宋_GB2312" w:hAnsi="Times New Roman" w:eastAsia="仿宋_GB2312" w:cs="Times New Roman"/>
          <w:i/>
          <w:sz w:val="32"/>
          <w:szCs w:val="32"/>
          <w:vertAlign w:val="subscript"/>
        </w:rPr>
        <w:t>n</w:t>
      </w:r>
      <w:r>
        <w:rPr>
          <w:rFonts w:hint="eastAsia" w:ascii="仿宋_GB2312" w:hAnsi="Times New Roman" w:eastAsia="仿宋_GB2312" w:cs="Times New Roman"/>
          <w:sz w:val="32"/>
          <w:szCs w:val="32"/>
        </w:rPr>
        <w:t xml:space="preserve"> —每种危险化学品实际存在（在线）量（单位：吨）；</w:t>
      </w:r>
    </w:p>
    <w:p>
      <w:pPr>
        <w:ind w:firstLine="1440" w:firstLineChars="450"/>
        <w:rPr>
          <w:rFonts w:ascii="仿宋_GB2312" w:hAnsi="Times New Roman" w:eastAsia="仿宋_GB2312" w:cs="Times New Roman"/>
          <w:sz w:val="32"/>
          <w:szCs w:val="32"/>
        </w:rPr>
      </w:pPr>
      <w:r>
        <w:rPr>
          <w:rFonts w:hint="eastAsia" w:ascii="仿宋_GB2312" w:hAnsi="Times New Roman" w:eastAsia="仿宋_GB2312" w:cs="Times New Roman"/>
          <w:i/>
          <w:sz w:val="32"/>
          <w:szCs w:val="32"/>
        </w:rPr>
        <w:t>Q</w:t>
      </w:r>
      <w:r>
        <w:rPr>
          <w:rFonts w:hint="eastAsia" w:ascii="仿宋_GB2312" w:hAnsi="Times New Roman" w:eastAsia="仿宋_GB2312" w:cs="Times New Roman"/>
          <w:i/>
          <w:sz w:val="32"/>
          <w:szCs w:val="32"/>
          <w:vertAlign w:val="subscript"/>
        </w:rPr>
        <w:t>1</w:t>
      </w:r>
      <w:r>
        <w:rPr>
          <w:rFonts w:hint="eastAsia" w:ascii="仿宋_GB2312" w:hAnsi="Times New Roman" w:eastAsia="仿宋_GB2312" w:cs="Times New Roman"/>
          <w:i/>
          <w:sz w:val="32"/>
          <w:szCs w:val="32"/>
        </w:rPr>
        <w:t>,Q</w:t>
      </w:r>
      <w:r>
        <w:rPr>
          <w:rFonts w:hint="eastAsia" w:ascii="仿宋_GB2312" w:hAnsi="Times New Roman" w:eastAsia="仿宋_GB2312" w:cs="Times New Roman"/>
          <w:i/>
          <w:sz w:val="32"/>
          <w:szCs w:val="32"/>
          <w:vertAlign w:val="subscript"/>
        </w:rPr>
        <w:t>2</w:t>
      </w:r>
      <w:r>
        <w:rPr>
          <w:rFonts w:hint="eastAsia" w:ascii="仿宋_GB2312" w:hAnsi="Times New Roman" w:eastAsia="仿宋_GB2312" w:cs="Times New Roman"/>
          <w:i/>
          <w:sz w:val="32"/>
          <w:szCs w:val="32"/>
        </w:rPr>
        <w:t>,…,Q</w:t>
      </w:r>
      <w:r>
        <w:rPr>
          <w:rFonts w:hint="eastAsia" w:ascii="仿宋_GB2312" w:hAnsi="Times New Roman" w:eastAsia="仿宋_GB2312" w:cs="Times New Roman"/>
          <w:i/>
          <w:sz w:val="32"/>
          <w:szCs w:val="32"/>
          <w:vertAlign w:val="subscript"/>
        </w:rPr>
        <w:t>n</w:t>
      </w:r>
      <w:r>
        <w:rPr>
          <w:rFonts w:hint="eastAsia" w:ascii="仿宋_GB2312" w:hAnsi="Times New Roman" w:eastAsia="仿宋_GB2312" w:cs="Times New Roman"/>
          <w:sz w:val="32"/>
          <w:szCs w:val="32"/>
        </w:rPr>
        <w:t xml:space="preserve"> —与各危险化学品相对应的临界量（单位：吨）；</w:t>
      </w:r>
    </w:p>
    <w:p>
      <w:pPr>
        <w:ind w:firstLine="1440" w:firstLineChars="450"/>
        <w:rPr>
          <w:rFonts w:ascii="仿宋_GB2312" w:hAnsi="Times New Roman" w:eastAsia="仿宋_GB2312" w:cs="Times New Roman"/>
          <w:sz w:val="32"/>
          <w:szCs w:val="32"/>
        </w:rPr>
      </w:pPr>
      <w:r>
        <w:rPr>
          <w:rFonts w:hint="eastAsia" w:ascii="仿宋_GB2312" w:hAnsi="Times New Roman" w:eastAsia="仿宋_GB2312" w:cs="Times New Roman"/>
          <w:i/>
          <w:sz w:val="32"/>
          <w:szCs w:val="32"/>
        </w:rPr>
        <w:t>β</w:t>
      </w:r>
      <w:r>
        <w:rPr>
          <w:rFonts w:hint="eastAsia" w:ascii="仿宋_GB2312" w:hAnsi="Times New Roman" w:eastAsia="仿宋_GB2312" w:cs="Times New Roman"/>
          <w:i/>
          <w:sz w:val="32"/>
          <w:szCs w:val="32"/>
          <w:vertAlign w:val="subscript"/>
        </w:rPr>
        <w:t>1</w:t>
      </w:r>
      <w:r>
        <w:rPr>
          <w:rFonts w:hint="eastAsia" w:ascii="仿宋_GB2312" w:hAnsi="Times New Roman" w:eastAsia="仿宋_GB2312" w:cs="Times New Roman"/>
          <w:sz w:val="32"/>
          <w:szCs w:val="32"/>
        </w:rPr>
        <w:t>，</w:t>
      </w:r>
      <w:r>
        <w:rPr>
          <w:rFonts w:hint="eastAsia" w:ascii="仿宋_GB2312" w:hAnsi="Times New Roman" w:eastAsia="仿宋_GB2312" w:cs="Times New Roman"/>
          <w:i/>
          <w:sz w:val="32"/>
          <w:szCs w:val="32"/>
        </w:rPr>
        <w:t>β</w:t>
      </w:r>
      <w:r>
        <w:rPr>
          <w:rFonts w:hint="eastAsia" w:ascii="仿宋_GB2312" w:hAnsi="Times New Roman" w:eastAsia="仿宋_GB2312" w:cs="Times New Roman"/>
          <w:i/>
          <w:sz w:val="32"/>
          <w:szCs w:val="32"/>
          <w:vertAlign w:val="subscript"/>
        </w:rPr>
        <w:t>2</w:t>
      </w:r>
      <w:r>
        <w:rPr>
          <w:rFonts w:hint="eastAsia" w:ascii="仿宋_GB2312" w:hAnsi="Times New Roman" w:eastAsia="仿宋_GB2312" w:cs="Times New Roman"/>
          <w:i/>
          <w:sz w:val="32"/>
          <w:szCs w:val="32"/>
        </w:rPr>
        <w:t>…,β</w:t>
      </w:r>
      <w:r>
        <w:rPr>
          <w:rFonts w:hint="eastAsia" w:ascii="仿宋_GB2312" w:hAnsi="Times New Roman" w:eastAsia="仿宋_GB2312" w:cs="Times New Roman"/>
          <w:i/>
          <w:sz w:val="32"/>
          <w:szCs w:val="32"/>
          <w:vertAlign w:val="subscript"/>
        </w:rPr>
        <w:t>n</w:t>
      </w:r>
      <w:r>
        <w:rPr>
          <w:rFonts w:hint="eastAsia" w:ascii="仿宋_GB2312" w:hAnsi="Times New Roman" w:eastAsia="仿宋_GB2312" w:cs="Times New Roman"/>
          <w:sz w:val="32"/>
          <w:szCs w:val="32"/>
        </w:rPr>
        <w:t>— 与各危险化学品相对应的校正系数；</w:t>
      </w:r>
    </w:p>
    <w:p>
      <w:pPr>
        <w:ind w:firstLine="1440" w:firstLineChars="450"/>
        <w:rPr>
          <w:rFonts w:ascii="仿宋_GB2312" w:hAnsi="Times New Roman" w:eastAsia="仿宋_GB2312" w:cs="Times New Roman"/>
          <w:sz w:val="28"/>
          <w:szCs w:val="28"/>
        </w:rPr>
      </w:pPr>
      <w:r>
        <w:rPr>
          <w:rFonts w:hint="eastAsia" w:ascii="仿宋_GB2312" w:hAnsi="Times New Roman" w:eastAsia="仿宋_GB2312" w:cs="Times New Roman"/>
          <w:i/>
          <w:sz w:val="32"/>
          <w:szCs w:val="32"/>
        </w:rPr>
        <w:t>α</w:t>
      </w:r>
      <w:r>
        <w:rPr>
          <w:rFonts w:hint="eastAsia" w:ascii="仿宋_GB2312" w:hAnsi="Times New Roman" w:eastAsia="仿宋_GB2312" w:cs="Times New Roman"/>
          <w:sz w:val="32"/>
          <w:szCs w:val="32"/>
        </w:rPr>
        <w:t>— 该危险化学品重大危险源厂区外暴露人员的校正系数。</w:t>
      </w:r>
    </w:p>
    <w:p>
      <w:pPr>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三、校正系数</w:t>
      </w:r>
      <w:r>
        <w:rPr>
          <w:rFonts w:ascii="黑体" w:hAnsi="Times New Roman" w:eastAsia="黑体" w:cs="Times New Roman"/>
          <w:sz w:val="32"/>
          <w:szCs w:val="32"/>
        </w:rPr>
        <w:t>β</w:t>
      </w:r>
      <w:r>
        <w:rPr>
          <w:rFonts w:hint="eastAsia" w:ascii="黑体" w:hAnsi="Times New Roman" w:eastAsia="黑体" w:cs="Times New Roman"/>
          <w:sz w:val="32"/>
          <w:szCs w:val="32"/>
        </w:rPr>
        <w:t>的取值</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根据单元内危险化学品的类别不同，设定校正系数</w:t>
      </w:r>
      <w:r>
        <w:rPr>
          <w:rFonts w:hint="eastAsia" w:ascii="仿宋_GB2312" w:hAnsi="Times New Roman" w:eastAsia="仿宋_GB2312" w:cs="Times New Roman"/>
          <w:i/>
          <w:sz w:val="32"/>
          <w:szCs w:val="32"/>
        </w:rPr>
        <w:t>β</w:t>
      </w:r>
      <w:r>
        <w:rPr>
          <w:rFonts w:hint="eastAsia" w:ascii="仿宋_GB2312" w:hAnsi="Times New Roman" w:eastAsia="仿宋_GB2312" w:cs="Times New Roman"/>
          <w:sz w:val="32"/>
          <w:szCs w:val="32"/>
        </w:rPr>
        <w:t>值，见表1和表2：</w:t>
      </w:r>
    </w:p>
    <w:p>
      <w:pPr>
        <w:ind w:firstLine="300" w:firstLineChars="100"/>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表1 校正系数</w:t>
      </w:r>
      <w:r>
        <w:rPr>
          <w:rFonts w:ascii="Times New Roman" w:hAnsi="Times New Roman" w:eastAsia="仿宋_GB2312" w:cs="Times New Roman"/>
          <w:i/>
          <w:sz w:val="30"/>
          <w:szCs w:val="30"/>
        </w:rPr>
        <w:t>β</w:t>
      </w:r>
      <w:r>
        <w:rPr>
          <w:rFonts w:hint="eastAsia" w:ascii="仿宋_GB2312" w:hAnsi="Times New Roman" w:eastAsia="仿宋_GB2312" w:cs="Times New Roman"/>
          <w:sz w:val="30"/>
          <w:szCs w:val="30"/>
        </w:rPr>
        <w:t>取值表</w:t>
      </w:r>
    </w:p>
    <w:tbl>
      <w:tblPr>
        <w:tblStyle w:val="5"/>
        <w:tblW w:w="86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46"/>
        <w:gridCol w:w="1719"/>
        <w:gridCol w:w="1719"/>
        <w:gridCol w:w="1719"/>
        <w:gridCol w:w="171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46" w:type="dxa"/>
            <w:tcBorders>
              <w:top w:val="single" w:color="auto" w:sz="12" w:space="0"/>
              <w:left w:val="nil"/>
              <w:bottom w:val="single" w:color="auto" w:sz="4" w:space="0"/>
              <w:right w:val="single" w:color="auto" w:sz="4" w:space="0"/>
            </w:tcBorders>
            <w:vAlign w:val="center"/>
          </w:tcPr>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危险化学品</w:t>
            </w:r>
          </w:p>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类别</w:t>
            </w:r>
          </w:p>
        </w:tc>
        <w:tc>
          <w:tcPr>
            <w:tcW w:w="1719" w:type="dxa"/>
            <w:tcBorders>
              <w:top w:val="single" w:color="auto" w:sz="12"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毒性气体</w:t>
            </w:r>
          </w:p>
        </w:tc>
        <w:tc>
          <w:tcPr>
            <w:tcW w:w="1719" w:type="dxa"/>
            <w:tcBorders>
              <w:top w:val="single" w:color="auto" w:sz="12"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爆炸品</w:t>
            </w:r>
          </w:p>
        </w:tc>
        <w:tc>
          <w:tcPr>
            <w:tcW w:w="1719" w:type="dxa"/>
            <w:tcBorders>
              <w:top w:val="single" w:color="auto" w:sz="12" w:space="0"/>
              <w:left w:val="single" w:color="auto" w:sz="4" w:space="0"/>
              <w:bottom w:val="single" w:color="auto" w:sz="4" w:space="0"/>
              <w:right w:val="single" w:color="auto" w:sz="4" w:space="0"/>
            </w:tcBorders>
            <w:vAlign w:val="center"/>
          </w:tcPr>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易燃气体</w:t>
            </w:r>
          </w:p>
        </w:tc>
        <w:tc>
          <w:tcPr>
            <w:tcW w:w="1719" w:type="dxa"/>
            <w:tcBorders>
              <w:top w:val="single" w:color="auto" w:sz="12" w:space="0"/>
              <w:left w:val="single" w:color="auto" w:sz="4" w:space="0"/>
              <w:bottom w:val="single" w:color="auto" w:sz="4" w:space="0"/>
              <w:right w:val="nil"/>
            </w:tcBorders>
            <w:vAlign w:val="center"/>
          </w:tcPr>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其他类</w:t>
            </w:r>
          </w:p>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危险化学品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746" w:type="dxa"/>
            <w:tcBorders>
              <w:top w:val="single" w:color="auto" w:sz="4" w:space="0"/>
              <w:left w:val="nil"/>
              <w:bottom w:val="single" w:color="auto" w:sz="12" w:space="0"/>
              <w:right w:val="single" w:color="auto" w:sz="4" w:space="0"/>
            </w:tcBorders>
            <w:vAlign w:val="center"/>
          </w:tcPr>
          <w:p>
            <w:pPr>
              <w:jc w:val="center"/>
              <w:rPr>
                <w:rFonts w:ascii="Times New Roman" w:hAnsi="Times New Roman" w:eastAsia="仿宋_GB2312" w:cs="Times New Roman"/>
                <w:i/>
                <w:sz w:val="30"/>
                <w:szCs w:val="30"/>
              </w:rPr>
            </w:pPr>
            <w:r>
              <w:rPr>
                <w:rFonts w:ascii="Times New Roman" w:hAnsi="Times New Roman" w:eastAsia="仿宋_GB2312" w:cs="Times New Roman"/>
                <w:i/>
                <w:sz w:val="30"/>
                <w:szCs w:val="30"/>
              </w:rPr>
              <w:t>β</w:t>
            </w:r>
          </w:p>
        </w:tc>
        <w:tc>
          <w:tcPr>
            <w:tcW w:w="1719" w:type="dxa"/>
            <w:tcBorders>
              <w:top w:val="single" w:color="auto" w:sz="4" w:space="0"/>
              <w:left w:val="single" w:color="auto" w:sz="4" w:space="0"/>
              <w:bottom w:val="single" w:color="auto" w:sz="12" w:space="0"/>
              <w:right w:val="single" w:color="auto" w:sz="4" w:space="0"/>
            </w:tcBorders>
            <w:vAlign w:val="center"/>
          </w:tcPr>
          <w:p>
            <w:pPr>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见表</w:t>
            </w:r>
            <w:r>
              <w:rPr>
                <w:rFonts w:ascii="Times New Roman" w:hAnsi="Times New Roman" w:eastAsia="仿宋_GB2312" w:cs="Times New Roman"/>
                <w:sz w:val="30"/>
                <w:szCs w:val="30"/>
              </w:rPr>
              <w:t>2</w:t>
            </w:r>
          </w:p>
        </w:tc>
        <w:tc>
          <w:tcPr>
            <w:tcW w:w="1719" w:type="dxa"/>
            <w:tcBorders>
              <w:top w:val="single" w:color="auto" w:sz="4" w:space="0"/>
              <w:left w:val="single" w:color="auto" w:sz="4" w:space="0"/>
              <w:bottom w:val="single" w:color="auto" w:sz="12" w:space="0"/>
              <w:right w:val="single" w:color="auto" w:sz="4" w:space="0"/>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1719" w:type="dxa"/>
            <w:tcBorders>
              <w:top w:val="single" w:color="auto" w:sz="4" w:space="0"/>
              <w:left w:val="single" w:color="auto" w:sz="4" w:space="0"/>
              <w:bottom w:val="single" w:color="auto" w:sz="12" w:space="0"/>
              <w:right w:val="single" w:color="auto" w:sz="4" w:space="0"/>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1.5</w:t>
            </w:r>
          </w:p>
        </w:tc>
        <w:tc>
          <w:tcPr>
            <w:tcW w:w="1719" w:type="dxa"/>
            <w:tcBorders>
              <w:top w:val="single" w:color="auto" w:sz="4" w:space="0"/>
              <w:left w:val="single" w:color="auto" w:sz="4" w:space="0"/>
              <w:bottom w:val="single" w:color="auto" w:sz="12"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r>
    </w:tbl>
    <w:p>
      <w:pPr>
        <w:ind w:firstLine="280" w:firstLineChars="100"/>
        <w:rPr>
          <w:rFonts w:ascii="楷体_GB2312" w:hAnsi="Times New Roman" w:eastAsia="楷体_GB2312" w:cs="Times New Roman"/>
          <w:sz w:val="28"/>
          <w:szCs w:val="28"/>
        </w:rPr>
      </w:pPr>
      <w:r>
        <w:rPr>
          <w:rFonts w:hint="eastAsia" w:ascii="楷体_GB2312" w:hAnsi="Times New Roman" w:eastAsia="楷体_GB2312" w:cs="Times New Roman"/>
          <w:sz w:val="28"/>
          <w:szCs w:val="28"/>
        </w:rPr>
        <w:t>注：危险化学品类别依据《危险货物品名表》中分类标准确定。</w:t>
      </w:r>
    </w:p>
    <w:p>
      <w:pPr>
        <w:jc w:val="center"/>
        <w:rPr>
          <w:rFonts w:ascii="Times New Roman" w:hAnsi="Times New Roman" w:eastAsia="仿宋_GB2312" w:cs="Times New Roman"/>
          <w:sz w:val="28"/>
          <w:szCs w:val="28"/>
        </w:rPr>
      </w:pPr>
    </w:p>
    <w:p>
      <w:pPr>
        <w:jc w:val="center"/>
        <w:rPr>
          <w:rFonts w:ascii="仿宋_GB2312" w:hAnsi="Times New Roman" w:eastAsia="仿宋_GB2312" w:cs="Times New Roman"/>
          <w:sz w:val="30"/>
          <w:szCs w:val="30"/>
        </w:rPr>
      </w:pPr>
      <w:r>
        <w:rPr>
          <w:rFonts w:hint="eastAsia" w:ascii="Times New Roman" w:hAnsi="Times New Roman" w:eastAsia="仿宋_GB2312" w:cs="Times New Roman"/>
          <w:sz w:val="30"/>
          <w:szCs w:val="30"/>
        </w:rPr>
        <w:t>表</w:t>
      </w:r>
      <w:r>
        <w:rPr>
          <w:rFonts w:ascii="Times New Roman" w:hAnsi="Times New Roman" w:eastAsia="仿宋_GB2312" w:cs="Times New Roman"/>
          <w:sz w:val="30"/>
          <w:szCs w:val="30"/>
        </w:rPr>
        <w:t xml:space="preserve">2 </w:t>
      </w:r>
      <w:r>
        <w:rPr>
          <w:rFonts w:hint="eastAsia" w:ascii="Times New Roman" w:hAnsi="Times New Roman" w:eastAsia="仿宋_GB2312" w:cs="Times New Roman"/>
          <w:sz w:val="30"/>
          <w:szCs w:val="30"/>
        </w:rPr>
        <w:t>常见毒性气体</w:t>
      </w:r>
      <w:r>
        <w:rPr>
          <w:rFonts w:hint="eastAsia" w:ascii="仿宋_GB2312" w:hAnsi="Times New Roman" w:eastAsia="仿宋_GB2312" w:cs="Times New Roman"/>
          <w:sz w:val="30"/>
          <w:szCs w:val="30"/>
        </w:rPr>
        <w:t>校正系数</w:t>
      </w:r>
      <w:r>
        <w:rPr>
          <w:rFonts w:ascii="Times New Roman" w:hAnsi="Times New Roman" w:eastAsia="仿宋_GB2312" w:cs="Times New Roman"/>
          <w:i/>
          <w:sz w:val="30"/>
          <w:szCs w:val="30"/>
        </w:rPr>
        <w:t>β</w:t>
      </w:r>
      <w:r>
        <w:rPr>
          <w:rFonts w:hint="eastAsia" w:ascii="Times New Roman" w:hAnsi="Times New Roman" w:eastAsia="仿宋_GB2312" w:cs="Times New Roman"/>
          <w:sz w:val="30"/>
          <w:szCs w:val="30"/>
        </w:rPr>
        <w:t>值</w:t>
      </w:r>
      <w:r>
        <w:rPr>
          <w:rFonts w:hint="eastAsia" w:ascii="仿宋_GB2312" w:hAnsi="Times New Roman" w:eastAsia="仿宋_GB2312" w:cs="Times New Roman"/>
          <w:sz w:val="30"/>
          <w:szCs w:val="30"/>
        </w:rPr>
        <w:t>取值表</w:t>
      </w:r>
    </w:p>
    <w:tbl>
      <w:tblPr>
        <w:tblStyle w:val="5"/>
        <w:tblW w:w="86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1033"/>
        <w:gridCol w:w="1034"/>
        <w:gridCol w:w="1034"/>
        <w:gridCol w:w="1033"/>
        <w:gridCol w:w="1034"/>
        <w:gridCol w:w="1034"/>
        <w:gridCol w:w="103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386" w:type="dxa"/>
            <w:tcBorders>
              <w:top w:val="single" w:color="auto" w:sz="12" w:space="0"/>
              <w:left w:val="nil"/>
              <w:bottom w:val="single" w:color="auto" w:sz="4" w:space="0"/>
              <w:right w:val="single" w:color="auto" w:sz="4" w:space="0"/>
            </w:tcBorders>
            <w:vAlign w:val="center"/>
          </w:tcPr>
          <w:p>
            <w:pPr>
              <w:snapToGrid w:val="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毒性气体名称</w:t>
            </w:r>
          </w:p>
        </w:tc>
        <w:tc>
          <w:tcPr>
            <w:tcW w:w="1033" w:type="dxa"/>
            <w:tcBorders>
              <w:top w:val="single" w:color="auto" w:sz="12" w:space="0"/>
              <w:left w:val="single" w:color="auto" w:sz="4" w:space="0"/>
              <w:bottom w:val="single" w:color="auto" w:sz="4"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一氧</w:t>
            </w:r>
          </w:p>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化碳</w:t>
            </w:r>
          </w:p>
        </w:tc>
        <w:tc>
          <w:tcPr>
            <w:tcW w:w="1034" w:type="dxa"/>
            <w:tcBorders>
              <w:top w:val="single" w:color="auto" w:sz="12" w:space="0"/>
              <w:left w:val="single" w:color="auto" w:sz="4" w:space="0"/>
              <w:bottom w:val="single" w:color="auto" w:sz="4"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二氧</w:t>
            </w:r>
          </w:p>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化硫</w:t>
            </w:r>
          </w:p>
        </w:tc>
        <w:tc>
          <w:tcPr>
            <w:tcW w:w="1034" w:type="dxa"/>
            <w:tcBorders>
              <w:top w:val="single" w:color="auto" w:sz="12" w:space="0"/>
              <w:left w:val="single" w:color="auto" w:sz="4" w:space="0"/>
              <w:bottom w:val="single" w:color="auto" w:sz="4"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氨</w:t>
            </w:r>
          </w:p>
        </w:tc>
        <w:tc>
          <w:tcPr>
            <w:tcW w:w="1033" w:type="dxa"/>
            <w:tcBorders>
              <w:top w:val="single" w:color="auto" w:sz="12" w:space="0"/>
              <w:left w:val="single" w:color="auto" w:sz="4" w:space="0"/>
              <w:bottom w:val="single" w:color="auto" w:sz="4"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环氧</w:t>
            </w:r>
          </w:p>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乙烷</w:t>
            </w:r>
          </w:p>
        </w:tc>
        <w:tc>
          <w:tcPr>
            <w:tcW w:w="1034" w:type="dxa"/>
            <w:tcBorders>
              <w:top w:val="single" w:color="auto" w:sz="12" w:space="0"/>
              <w:left w:val="single" w:color="auto" w:sz="4" w:space="0"/>
              <w:bottom w:val="single" w:color="auto" w:sz="4"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氯化氢</w:t>
            </w:r>
          </w:p>
        </w:tc>
        <w:tc>
          <w:tcPr>
            <w:tcW w:w="1034" w:type="dxa"/>
            <w:tcBorders>
              <w:top w:val="single" w:color="auto" w:sz="12" w:space="0"/>
              <w:left w:val="single" w:color="auto" w:sz="4" w:space="0"/>
              <w:bottom w:val="single" w:color="auto" w:sz="4"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溴甲烷</w:t>
            </w:r>
          </w:p>
        </w:tc>
        <w:tc>
          <w:tcPr>
            <w:tcW w:w="1034" w:type="dxa"/>
            <w:tcBorders>
              <w:top w:val="single" w:color="auto" w:sz="12" w:space="0"/>
              <w:left w:val="single" w:color="auto" w:sz="4" w:space="0"/>
              <w:bottom w:val="single" w:color="auto" w:sz="4" w:space="0"/>
              <w:right w:val="nil"/>
            </w:tcBorders>
            <w:vAlign w:val="center"/>
          </w:tcPr>
          <w:p>
            <w:pPr>
              <w:snapToGrid w:val="0"/>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86" w:type="dxa"/>
            <w:tcBorders>
              <w:top w:val="single" w:color="auto" w:sz="4" w:space="0"/>
              <w:left w:val="nil"/>
              <w:bottom w:val="double" w:color="auto" w:sz="4" w:space="0"/>
              <w:right w:val="single" w:color="auto" w:sz="4" w:space="0"/>
            </w:tcBorders>
            <w:vAlign w:val="center"/>
          </w:tcPr>
          <w:p>
            <w:pPr>
              <w:jc w:val="center"/>
              <w:rPr>
                <w:rFonts w:ascii="Times New Roman" w:hAnsi="Times New Roman" w:eastAsia="仿宋_GB2312" w:cs="Times New Roman"/>
                <w:i/>
                <w:sz w:val="30"/>
                <w:szCs w:val="30"/>
              </w:rPr>
            </w:pPr>
            <w:r>
              <w:rPr>
                <w:rFonts w:ascii="Times New Roman" w:hAnsi="Times New Roman" w:eastAsia="仿宋_GB2312" w:cs="Times New Roman"/>
                <w:i/>
                <w:sz w:val="30"/>
                <w:szCs w:val="30"/>
              </w:rPr>
              <w:t>β</w:t>
            </w:r>
          </w:p>
        </w:tc>
        <w:tc>
          <w:tcPr>
            <w:tcW w:w="1033" w:type="dxa"/>
            <w:tcBorders>
              <w:top w:val="single" w:color="auto" w:sz="4" w:space="0"/>
              <w:left w:val="single" w:color="auto" w:sz="4" w:space="0"/>
              <w:bottom w:val="double" w:color="auto" w:sz="4" w:space="0"/>
              <w:right w:val="single" w:color="auto" w:sz="4" w:space="0"/>
            </w:tcBorders>
            <w:vAlign w:val="center"/>
          </w:tcPr>
          <w:p>
            <w:pPr>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1034" w:type="dxa"/>
            <w:tcBorders>
              <w:top w:val="single" w:color="auto" w:sz="4" w:space="0"/>
              <w:left w:val="single" w:color="auto" w:sz="4" w:space="0"/>
              <w:bottom w:val="double" w:color="auto" w:sz="4" w:space="0"/>
              <w:right w:val="single" w:color="auto" w:sz="4" w:space="0"/>
            </w:tcBorders>
            <w:vAlign w:val="center"/>
          </w:tcPr>
          <w:p>
            <w:pPr>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1034" w:type="dxa"/>
            <w:tcBorders>
              <w:top w:val="single" w:color="auto" w:sz="4" w:space="0"/>
              <w:left w:val="single" w:color="auto" w:sz="4" w:space="0"/>
              <w:bottom w:val="double" w:color="auto" w:sz="4" w:space="0"/>
              <w:right w:val="single" w:color="auto" w:sz="4" w:space="0"/>
            </w:tcBorders>
            <w:vAlign w:val="center"/>
          </w:tcPr>
          <w:p>
            <w:pPr>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1033" w:type="dxa"/>
            <w:tcBorders>
              <w:top w:val="single" w:color="auto" w:sz="4" w:space="0"/>
              <w:left w:val="single" w:color="auto" w:sz="4" w:space="0"/>
              <w:bottom w:val="double" w:color="auto" w:sz="4" w:space="0"/>
              <w:right w:val="single" w:color="auto" w:sz="4" w:space="0"/>
            </w:tcBorders>
            <w:vAlign w:val="center"/>
          </w:tcPr>
          <w:p>
            <w:pPr>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1034" w:type="dxa"/>
            <w:tcBorders>
              <w:top w:val="single" w:color="auto" w:sz="4" w:space="0"/>
              <w:left w:val="single" w:color="auto" w:sz="4" w:space="0"/>
              <w:bottom w:val="double" w:color="auto" w:sz="4" w:space="0"/>
              <w:right w:val="single" w:color="auto" w:sz="4" w:space="0"/>
            </w:tcBorders>
            <w:vAlign w:val="center"/>
          </w:tcPr>
          <w:p>
            <w:pPr>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1034" w:type="dxa"/>
            <w:tcBorders>
              <w:top w:val="single" w:color="auto" w:sz="4" w:space="0"/>
              <w:left w:val="single" w:color="auto" w:sz="4" w:space="0"/>
              <w:bottom w:val="double" w:color="auto" w:sz="4" w:space="0"/>
              <w:right w:val="single" w:color="auto" w:sz="4" w:space="0"/>
            </w:tcBorders>
            <w:vAlign w:val="center"/>
          </w:tcPr>
          <w:p>
            <w:pPr>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1034" w:type="dxa"/>
            <w:tcBorders>
              <w:top w:val="single" w:color="auto" w:sz="4" w:space="0"/>
              <w:left w:val="single" w:color="auto" w:sz="4" w:space="0"/>
              <w:bottom w:val="double" w:color="auto" w:sz="4" w:space="0"/>
              <w:right w:val="nil"/>
            </w:tcBorders>
            <w:vAlign w:val="center"/>
          </w:tcPr>
          <w:p>
            <w:pPr>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86" w:type="dxa"/>
            <w:tcBorders>
              <w:top w:val="double" w:color="auto" w:sz="4" w:space="0"/>
              <w:left w:val="nil"/>
              <w:bottom w:val="single" w:color="auto" w:sz="4" w:space="0"/>
              <w:right w:val="single" w:color="auto" w:sz="4" w:space="0"/>
            </w:tcBorders>
            <w:vAlign w:val="center"/>
          </w:tcPr>
          <w:p>
            <w:pPr>
              <w:snapToGrid w:val="0"/>
              <w:spacing w:line="360" w:lineRule="exact"/>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毒性气体名称</w:t>
            </w:r>
          </w:p>
        </w:tc>
        <w:tc>
          <w:tcPr>
            <w:tcW w:w="1033" w:type="dxa"/>
            <w:tcBorders>
              <w:top w:val="doub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硫化氢</w:t>
            </w:r>
          </w:p>
        </w:tc>
        <w:tc>
          <w:tcPr>
            <w:tcW w:w="1034" w:type="dxa"/>
            <w:tcBorders>
              <w:top w:val="doub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氟化氢</w:t>
            </w:r>
          </w:p>
        </w:tc>
        <w:tc>
          <w:tcPr>
            <w:tcW w:w="1034" w:type="dxa"/>
            <w:tcBorders>
              <w:top w:val="doub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二氧</w:t>
            </w:r>
          </w:p>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化氮</w:t>
            </w:r>
          </w:p>
        </w:tc>
        <w:tc>
          <w:tcPr>
            <w:tcW w:w="1033" w:type="dxa"/>
            <w:tcBorders>
              <w:top w:val="doub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氰化氢</w:t>
            </w:r>
          </w:p>
        </w:tc>
        <w:tc>
          <w:tcPr>
            <w:tcW w:w="1034" w:type="dxa"/>
            <w:tcBorders>
              <w:top w:val="doub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碳酰氯</w:t>
            </w:r>
          </w:p>
        </w:tc>
        <w:tc>
          <w:tcPr>
            <w:tcW w:w="1034" w:type="dxa"/>
            <w:tcBorders>
              <w:top w:val="double" w:color="auto" w:sz="4" w:space="0"/>
              <w:left w:val="single" w:color="auto" w:sz="4" w:space="0"/>
              <w:bottom w:val="single" w:color="auto" w:sz="4" w:space="0"/>
              <w:right w:val="single" w:color="auto" w:sz="4" w:space="0"/>
            </w:tcBorders>
            <w:vAlign w:val="center"/>
          </w:tcPr>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磷化氢</w:t>
            </w:r>
          </w:p>
        </w:tc>
        <w:tc>
          <w:tcPr>
            <w:tcW w:w="1034" w:type="dxa"/>
            <w:tcBorders>
              <w:top w:val="double" w:color="auto" w:sz="4" w:space="0"/>
              <w:left w:val="single" w:color="auto" w:sz="4" w:space="0"/>
              <w:bottom w:val="single" w:color="auto" w:sz="4" w:space="0"/>
              <w:right w:val="nil"/>
            </w:tcBorders>
            <w:vAlign w:val="center"/>
          </w:tcPr>
          <w:p>
            <w:pPr>
              <w:spacing w:line="360" w:lineRule="exact"/>
              <w:ind w:left="-105" w:leftChars="-50" w:right="-105" w:rightChars="-50"/>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异氰酸甲酯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86" w:type="dxa"/>
            <w:tcBorders>
              <w:top w:val="single" w:color="auto" w:sz="4" w:space="0"/>
              <w:left w:val="nil"/>
              <w:bottom w:val="single" w:color="auto" w:sz="12" w:space="0"/>
              <w:right w:val="single" w:color="auto" w:sz="4" w:space="0"/>
            </w:tcBorders>
            <w:vAlign w:val="center"/>
          </w:tcPr>
          <w:p>
            <w:pPr>
              <w:snapToGrid w:val="0"/>
              <w:jc w:val="center"/>
              <w:rPr>
                <w:rFonts w:ascii="Times New Roman" w:hAnsi="Times New Roman" w:eastAsia="仿宋_GB2312" w:cs="Times New Roman"/>
                <w:i/>
                <w:sz w:val="30"/>
                <w:szCs w:val="30"/>
              </w:rPr>
            </w:pPr>
            <w:r>
              <w:rPr>
                <w:rFonts w:ascii="Times New Roman" w:hAnsi="Times New Roman" w:eastAsia="仿宋_GB2312" w:cs="Times New Roman"/>
                <w:i/>
                <w:sz w:val="30"/>
                <w:szCs w:val="30"/>
              </w:rPr>
              <w:t>β</w:t>
            </w:r>
          </w:p>
        </w:tc>
        <w:tc>
          <w:tcPr>
            <w:tcW w:w="1033" w:type="dxa"/>
            <w:tcBorders>
              <w:top w:val="single" w:color="auto" w:sz="4" w:space="0"/>
              <w:left w:val="single" w:color="auto" w:sz="4" w:space="0"/>
              <w:bottom w:val="single" w:color="auto" w:sz="12"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w:t>
            </w:r>
          </w:p>
        </w:tc>
        <w:tc>
          <w:tcPr>
            <w:tcW w:w="1034" w:type="dxa"/>
            <w:tcBorders>
              <w:top w:val="single" w:color="auto" w:sz="4" w:space="0"/>
              <w:left w:val="single" w:color="auto" w:sz="4" w:space="0"/>
              <w:bottom w:val="single" w:color="auto" w:sz="12"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w:t>
            </w:r>
          </w:p>
        </w:tc>
        <w:tc>
          <w:tcPr>
            <w:tcW w:w="1034" w:type="dxa"/>
            <w:tcBorders>
              <w:top w:val="single" w:color="auto" w:sz="4" w:space="0"/>
              <w:left w:val="single" w:color="auto" w:sz="4" w:space="0"/>
              <w:bottom w:val="single" w:color="auto" w:sz="12"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w:t>
            </w:r>
          </w:p>
        </w:tc>
        <w:tc>
          <w:tcPr>
            <w:tcW w:w="1033" w:type="dxa"/>
            <w:tcBorders>
              <w:top w:val="single" w:color="auto" w:sz="4" w:space="0"/>
              <w:left w:val="single" w:color="auto" w:sz="4" w:space="0"/>
              <w:bottom w:val="single" w:color="auto" w:sz="12"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w:t>
            </w:r>
          </w:p>
        </w:tc>
        <w:tc>
          <w:tcPr>
            <w:tcW w:w="1034" w:type="dxa"/>
            <w:tcBorders>
              <w:top w:val="single" w:color="auto" w:sz="4" w:space="0"/>
              <w:left w:val="single" w:color="auto" w:sz="4" w:space="0"/>
              <w:bottom w:val="single" w:color="auto" w:sz="12"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20</w:t>
            </w:r>
          </w:p>
        </w:tc>
        <w:tc>
          <w:tcPr>
            <w:tcW w:w="1034" w:type="dxa"/>
            <w:tcBorders>
              <w:top w:val="single" w:color="auto" w:sz="4" w:space="0"/>
              <w:left w:val="single" w:color="auto" w:sz="4" w:space="0"/>
              <w:bottom w:val="single" w:color="auto" w:sz="12" w:space="0"/>
              <w:right w:val="single" w:color="auto" w:sz="4" w:space="0"/>
            </w:tcBorders>
            <w:vAlign w:val="center"/>
          </w:tcPr>
          <w:p>
            <w:pPr>
              <w:snapToGrid w:val="0"/>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20</w:t>
            </w:r>
          </w:p>
        </w:tc>
        <w:tc>
          <w:tcPr>
            <w:tcW w:w="1034" w:type="dxa"/>
            <w:tcBorders>
              <w:top w:val="single" w:color="auto" w:sz="4" w:space="0"/>
              <w:left w:val="single" w:color="auto" w:sz="4" w:space="0"/>
              <w:bottom w:val="single" w:color="auto" w:sz="12" w:space="0"/>
              <w:right w:val="nil"/>
            </w:tcBorders>
            <w:vAlign w:val="center"/>
          </w:tcPr>
          <w:p>
            <w:pPr>
              <w:snapToGrid w:val="0"/>
              <w:ind w:left="-105" w:leftChars="-50" w:right="-105" w:rightChars="-50"/>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20</w:t>
            </w:r>
          </w:p>
        </w:tc>
      </w:tr>
    </w:tbl>
    <w:p>
      <w:pPr>
        <w:ind w:firstLine="280" w:firstLineChars="100"/>
        <w:rPr>
          <w:rFonts w:ascii="楷体_GB2312" w:hAnsi="Times New Roman" w:eastAsia="楷体_GB2312" w:cs="Times New Roman"/>
          <w:sz w:val="28"/>
          <w:szCs w:val="28"/>
        </w:rPr>
      </w:pPr>
      <w:r>
        <w:rPr>
          <w:rFonts w:hint="eastAsia" w:ascii="楷体_GB2312" w:hAnsi="Times New Roman" w:eastAsia="楷体_GB2312" w:cs="Times New Roman"/>
          <w:sz w:val="28"/>
          <w:szCs w:val="28"/>
        </w:rPr>
        <w:t>注：未在表2中列出的有毒气体可按</w:t>
      </w:r>
      <w:r>
        <w:rPr>
          <w:rFonts w:ascii="楷体_GB2312" w:hAnsi="Times New Roman" w:eastAsia="楷体_GB2312" w:cs="Times New Roman"/>
          <w:i/>
          <w:sz w:val="28"/>
          <w:szCs w:val="28"/>
        </w:rPr>
        <w:t>β</w:t>
      </w:r>
      <w:r>
        <w:rPr>
          <w:rFonts w:hint="eastAsia" w:ascii="楷体_GB2312" w:hAnsi="Times New Roman" w:eastAsia="楷体_GB2312" w:cs="Times New Roman"/>
          <w:sz w:val="28"/>
          <w:szCs w:val="28"/>
        </w:rPr>
        <w:t>=2取值，剧毒气体可按</w:t>
      </w:r>
      <w:r>
        <w:rPr>
          <w:rFonts w:ascii="楷体_GB2312" w:hAnsi="Times New Roman" w:eastAsia="楷体_GB2312" w:cs="Times New Roman"/>
          <w:i/>
          <w:sz w:val="28"/>
          <w:szCs w:val="28"/>
        </w:rPr>
        <w:t>β</w:t>
      </w:r>
      <w:r>
        <w:rPr>
          <w:rFonts w:hint="eastAsia" w:ascii="楷体_GB2312" w:hAnsi="Times New Roman" w:eastAsia="楷体_GB2312" w:cs="Times New Roman"/>
          <w:sz w:val="28"/>
          <w:szCs w:val="28"/>
        </w:rPr>
        <w:t>=4取值。</w:t>
      </w:r>
    </w:p>
    <w:p>
      <w:pPr>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四、校正系数</w:t>
      </w:r>
      <w:r>
        <w:rPr>
          <w:rFonts w:ascii="黑体" w:hAnsi="Times New Roman" w:eastAsia="黑体" w:cs="Times New Roman"/>
          <w:sz w:val="32"/>
          <w:szCs w:val="32"/>
        </w:rPr>
        <w:t>α</w:t>
      </w:r>
      <w:r>
        <w:rPr>
          <w:rFonts w:hint="eastAsia" w:ascii="黑体" w:hAnsi="Times New Roman" w:eastAsia="黑体" w:cs="Times New Roman"/>
          <w:sz w:val="32"/>
          <w:szCs w:val="32"/>
        </w:rPr>
        <w:t>的取值</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根据重大危险源的厂区边界向外扩展500米范围内常住人口数量，设定厂外暴露人员校正系数</w:t>
      </w:r>
      <w:r>
        <w:rPr>
          <w:rFonts w:hint="eastAsia" w:ascii="仿宋_GB2312" w:hAnsi="Times New Roman" w:eastAsia="仿宋_GB2312" w:cs="Times New Roman"/>
          <w:i/>
          <w:sz w:val="32"/>
          <w:szCs w:val="32"/>
        </w:rPr>
        <w:t>α</w:t>
      </w:r>
      <w:r>
        <w:rPr>
          <w:rFonts w:hint="eastAsia" w:ascii="仿宋_GB2312" w:hAnsi="Times New Roman" w:eastAsia="仿宋_GB2312" w:cs="Times New Roman"/>
          <w:sz w:val="32"/>
          <w:szCs w:val="32"/>
        </w:rPr>
        <w:t>值，见表3：</w:t>
      </w:r>
    </w:p>
    <w:p>
      <w:pPr>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br w:type="page"/>
      </w:r>
      <w:r>
        <w:rPr>
          <w:rFonts w:hint="eastAsia" w:ascii="仿宋_GB2312" w:hAnsi="Times New Roman" w:eastAsia="仿宋_GB2312" w:cs="Times New Roman"/>
          <w:sz w:val="30"/>
          <w:szCs w:val="30"/>
        </w:rPr>
        <w:t>表3 校正系数</w:t>
      </w:r>
      <w:r>
        <w:rPr>
          <w:rFonts w:ascii="Times New Roman" w:hAnsi="Times New Roman" w:eastAsia="仿宋_GB2312" w:cs="Times New Roman"/>
          <w:i/>
          <w:sz w:val="30"/>
          <w:szCs w:val="30"/>
        </w:rPr>
        <w:t>α</w:t>
      </w:r>
      <w:r>
        <w:rPr>
          <w:rFonts w:hint="eastAsia" w:ascii="仿宋_GB2312" w:hAnsi="Times New Roman" w:eastAsia="仿宋_GB2312" w:cs="Times New Roman"/>
          <w:sz w:val="30"/>
          <w:szCs w:val="30"/>
        </w:rPr>
        <w:t>取值表</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78"/>
        <w:gridCol w:w="43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78" w:type="dxa"/>
            <w:tcBorders>
              <w:top w:val="single" w:color="auto" w:sz="12"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厂外可能暴露人员数量</w:t>
            </w:r>
          </w:p>
        </w:tc>
        <w:tc>
          <w:tcPr>
            <w:tcW w:w="4379" w:type="dxa"/>
            <w:tcBorders>
              <w:top w:val="single" w:color="auto" w:sz="12"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i/>
                <w:sz w:val="30"/>
                <w:szCs w:val="30"/>
              </w:rPr>
              <w:t>α</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78"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100</w:t>
            </w:r>
            <w:r>
              <w:rPr>
                <w:rFonts w:hint="eastAsia" w:ascii="Times New Roman" w:hAnsi="Times New Roman" w:eastAsia="仿宋_GB2312" w:cs="Times New Roman"/>
                <w:sz w:val="30"/>
                <w:szCs w:val="30"/>
              </w:rPr>
              <w:t>人以上</w:t>
            </w:r>
          </w:p>
        </w:tc>
        <w:tc>
          <w:tcPr>
            <w:tcW w:w="4379" w:type="dxa"/>
            <w:tcBorders>
              <w:top w:val="single" w:color="auto" w:sz="4"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78"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50</w:t>
            </w:r>
            <w:r>
              <w:rPr>
                <w:rFonts w:hint="eastAsia" w:ascii="Times New Roman" w:hAnsi="Times New Roman" w:eastAsia="仿宋_GB2312" w:cs="Times New Roman"/>
                <w:sz w:val="30"/>
                <w:szCs w:val="30"/>
              </w:rPr>
              <w:t>人～</w:t>
            </w:r>
            <w:r>
              <w:rPr>
                <w:rFonts w:ascii="Times New Roman" w:hAnsi="Times New Roman" w:eastAsia="仿宋_GB2312" w:cs="Times New Roman"/>
                <w:sz w:val="30"/>
                <w:szCs w:val="30"/>
              </w:rPr>
              <w:t>99</w:t>
            </w:r>
            <w:r>
              <w:rPr>
                <w:rFonts w:hint="eastAsia" w:ascii="Times New Roman" w:hAnsi="Times New Roman" w:eastAsia="仿宋_GB2312" w:cs="Times New Roman"/>
                <w:sz w:val="30"/>
                <w:szCs w:val="30"/>
              </w:rPr>
              <w:t>人</w:t>
            </w:r>
          </w:p>
        </w:tc>
        <w:tc>
          <w:tcPr>
            <w:tcW w:w="4379" w:type="dxa"/>
            <w:tcBorders>
              <w:top w:val="single" w:color="auto" w:sz="4"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78"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30</w:t>
            </w:r>
            <w:r>
              <w:rPr>
                <w:rFonts w:hint="eastAsia" w:ascii="Times New Roman" w:hAnsi="Times New Roman" w:eastAsia="仿宋_GB2312" w:cs="Times New Roman"/>
                <w:sz w:val="30"/>
                <w:szCs w:val="30"/>
              </w:rPr>
              <w:t>人～</w:t>
            </w:r>
            <w:r>
              <w:rPr>
                <w:rFonts w:ascii="Times New Roman" w:hAnsi="Times New Roman" w:eastAsia="仿宋_GB2312" w:cs="Times New Roman"/>
                <w:sz w:val="30"/>
                <w:szCs w:val="30"/>
              </w:rPr>
              <w:t>49</w:t>
            </w:r>
            <w:r>
              <w:rPr>
                <w:rFonts w:hint="eastAsia" w:ascii="Times New Roman" w:hAnsi="Times New Roman" w:eastAsia="仿宋_GB2312" w:cs="Times New Roman"/>
                <w:sz w:val="30"/>
                <w:szCs w:val="30"/>
              </w:rPr>
              <w:t>人</w:t>
            </w:r>
          </w:p>
        </w:tc>
        <w:tc>
          <w:tcPr>
            <w:tcW w:w="4379" w:type="dxa"/>
            <w:tcBorders>
              <w:top w:val="single" w:color="auto" w:sz="4"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78"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r>
              <w:rPr>
                <w:rFonts w:hint="eastAsia" w:ascii="Times New Roman" w:hAnsi="Times New Roman" w:eastAsia="仿宋_GB2312" w:cs="Times New Roman"/>
                <w:sz w:val="30"/>
                <w:szCs w:val="30"/>
              </w:rPr>
              <w:t>～</w:t>
            </w:r>
            <w:r>
              <w:rPr>
                <w:rFonts w:ascii="Times New Roman" w:hAnsi="Times New Roman" w:eastAsia="仿宋_GB2312" w:cs="Times New Roman"/>
                <w:sz w:val="30"/>
                <w:szCs w:val="30"/>
              </w:rPr>
              <w:t>29</w:t>
            </w:r>
            <w:r>
              <w:rPr>
                <w:rFonts w:hint="eastAsia" w:ascii="Times New Roman" w:hAnsi="Times New Roman" w:eastAsia="仿宋_GB2312" w:cs="Times New Roman"/>
                <w:sz w:val="30"/>
                <w:szCs w:val="30"/>
              </w:rPr>
              <w:t>人</w:t>
            </w:r>
          </w:p>
        </w:tc>
        <w:tc>
          <w:tcPr>
            <w:tcW w:w="4379" w:type="dxa"/>
            <w:tcBorders>
              <w:top w:val="single" w:color="auto" w:sz="4"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78" w:type="dxa"/>
            <w:tcBorders>
              <w:top w:val="single" w:color="auto" w:sz="4" w:space="0"/>
              <w:left w:val="nil"/>
              <w:bottom w:val="single" w:color="auto" w:sz="12" w:space="0"/>
              <w:right w:val="single" w:color="auto" w:sz="4" w:space="0"/>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w:t>
            </w:r>
            <w:r>
              <w:rPr>
                <w:rFonts w:hint="eastAsia" w:ascii="Times New Roman" w:hAnsi="Times New Roman" w:eastAsia="仿宋_GB2312" w:cs="Times New Roman"/>
                <w:sz w:val="30"/>
                <w:szCs w:val="30"/>
              </w:rPr>
              <w:t>人</w:t>
            </w:r>
          </w:p>
        </w:tc>
        <w:tc>
          <w:tcPr>
            <w:tcW w:w="4379" w:type="dxa"/>
            <w:tcBorders>
              <w:top w:val="single" w:color="auto" w:sz="4" w:space="0"/>
              <w:left w:val="single" w:color="auto" w:sz="4" w:space="0"/>
              <w:bottom w:val="single" w:color="auto" w:sz="12"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0.5</w:t>
            </w:r>
          </w:p>
        </w:tc>
      </w:tr>
    </w:tbl>
    <w:p>
      <w:pPr>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五、分级标准</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根据计算出来的</w:t>
      </w:r>
      <w:r>
        <w:rPr>
          <w:rFonts w:ascii="Times New Roman" w:hAnsi="Times New Roman" w:eastAsia="仿宋_GB2312" w:cs="Times New Roman"/>
          <w:i/>
          <w:sz w:val="32"/>
          <w:szCs w:val="32"/>
        </w:rPr>
        <w:t>R</w:t>
      </w:r>
      <w:r>
        <w:rPr>
          <w:rFonts w:hint="eastAsia" w:ascii="仿宋_GB2312" w:hAnsi="Times New Roman" w:eastAsia="仿宋_GB2312" w:cs="Times New Roman"/>
          <w:sz w:val="32"/>
          <w:szCs w:val="32"/>
        </w:rPr>
        <w:t>值，按表4确定危险化学品重大危险源的级别。</w:t>
      </w:r>
    </w:p>
    <w:p>
      <w:pPr>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表4 危险化学品重大危险源级别和</w:t>
      </w:r>
      <w:r>
        <w:rPr>
          <w:rFonts w:ascii="Times New Roman" w:hAnsi="Times New Roman" w:eastAsia="仿宋_GB2312" w:cs="Times New Roman"/>
          <w:i/>
          <w:sz w:val="30"/>
          <w:szCs w:val="30"/>
        </w:rPr>
        <w:t>R</w:t>
      </w:r>
      <w:r>
        <w:rPr>
          <w:rFonts w:hint="eastAsia" w:ascii="仿宋_GB2312" w:hAnsi="Times New Roman" w:eastAsia="仿宋_GB2312" w:cs="Times New Roman"/>
          <w:sz w:val="30"/>
          <w:szCs w:val="30"/>
        </w:rPr>
        <w:t>值的对应关系</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66"/>
        <w:gridCol w:w="427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66" w:type="dxa"/>
            <w:tcBorders>
              <w:top w:val="single" w:color="auto" w:sz="12"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危险化学品重大危险源级别</w:t>
            </w:r>
          </w:p>
        </w:tc>
        <w:tc>
          <w:tcPr>
            <w:tcW w:w="4270" w:type="dxa"/>
            <w:tcBorders>
              <w:top w:val="single" w:color="auto" w:sz="12"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i/>
                <w:sz w:val="30"/>
                <w:szCs w:val="30"/>
              </w:rPr>
              <w:t>R</w:t>
            </w:r>
            <w:r>
              <w:rPr>
                <w:rFonts w:hint="eastAsia" w:ascii="Times New Roman" w:hAnsi="Times New Roman" w:eastAsia="仿宋_GB2312" w:cs="Times New Roman"/>
                <w:sz w:val="30"/>
                <w:szCs w:val="30"/>
              </w:rPr>
              <w:t>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66"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一级</w:t>
            </w:r>
          </w:p>
        </w:tc>
        <w:tc>
          <w:tcPr>
            <w:tcW w:w="4270" w:type="dxa"/>
            <w:tcBorders>
              <w:top w:val="single" w:color="auto" w:sz="4" w:space="0"/>
              <w:left w:val="single" w:color="auto" w:sz="4" w:space="0"/>
              <w:bottom w:val="single" w:color="auto" w:sz="4" w:space="0"/>
              <w:right w:val="nil"/>
            </w:tcBorders>
            <w:vAlign w:val="center"/>
          </w:tcPr>
          <w:p>
            <w:pPr>
              <w:jc w:val="center"/>
              <w:rPr>
                <w:rFonts w:ascii="Times New Roman" w:hAnsi="Times New Roman" w:eastAsia="仿宋_GB2312" w:cs="Times New Roman"/>
                <w:i/>
                <w:sz w:val="30"/>
                <w:szCs w:val="30"/>
              </w:rPr>
            </w:pPr>
            <w:r>
              <w:rPr>
                <w:rFonts w:ascii="Times New Roman" w:hAnsi="Times New Roman" w:eastAsia="仿宋_GB2312" w:cs="Times New Roman"/>
                <w:i/>
                <w:sz w:val="30"/>
                <w:szCs w:val="30"/>
              </w:rPr>
              <w:t>R≥</w:t>
            </w:r>
            <w:r>
              <w:rPr>
                <w:rFonts w:ascii="Times New Roman" w:hAnsi="Times New Roman" w:eastAsia="仿宋_GB2312" w:cs="Times New Roman"/>
                <w:sz w:val="30"/>
                <w:szCs w:val="30"/>
              </w:rPr>
              <w:t>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66"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二级</w:t>
            </w:r>
          </w:p>
        </w:tc>
        <w:tc>
          <w:tcPr>
            <w:tcW w:w="4270" w:type="dxa"/>
            <w:tcBorders>
              <w:top w:val="single" w:color="auto" w:sz="4"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100</w:t>
            </w:r>
            <w:r>
              <w:rPr>
                <w:rFonts w:ascii="Times New Roman" w:hAnsi="Times New Roman" w:eastAsia="仿宋_GB2312" w:cs="Times New Roman"/>
                <w:i/>
                <w:sz w:val="30"/>
                <w:szCs w:val="30"/>
              </w:rPr>
              <w:t>&gt;R≥</w:t>
            </w:r>
            <w:r>
              <w:rPr>
                <w:rFonts w:ascii="Times New Roman" w:hAnsi="Times New Roman" w:eastAsia="仿宋_GB2312" w:cs="Times New Roman"/>
                <w:sz w:val="30"/>
                <w:szCs w:val="30"/>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66"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三级</w:t>
            </w:r>
          </w:p>
        </w:tc>
        <w:tc>
          <w:tcPr>
            <w:tcW w:w="4270" w:type="dxa"/>
            <w:tcBorders>
              <w:top w:val="single" w:color="auto" w:sz="4" w:space="0"/>
              <w:left w:val="single" w:color="auto" w:sz="4" w:space="0"/>
              <w:bottom w:val="single" w:color="auto" w:sz="4"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50</w:t>
            </w:r>
            <w:r>
              <w:rPr>
                <w:rFonts w:ascii="Times New Roman" w:hAnsi="Times New Roman" w:eastAsia="仿宋_GB2312" w:cs="Times New Roman"/>
                <w:i/>
                <w:sz w:val="30"/>
                <w:szCs w:val="30"/>
              </w:rPr>
              <w:t>&gt;R≥</w:t>
            </w:r>
            <w:r>
              <w:rPr>
                <w:rFonts w:ascii="Times New Roman" w:hAnsi="Times New Roman" w:eastAsia="仿宋_GB2312" w:cs="Times New Roman"/>
                <w:sz w:val="30"/>
                <w:szCs w:val="30"/>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66" w:type="dxa"/>
            <w:tcBorders>
              <w:top w:val="single" w:color="auto" w:sz="4" w:space="0"/>
              <w:left w:val="nil"/>
              <w:bottom w:val="single" w:color="auto" w:sz="12" w:space="0"/>
              <w:right w:val="single" w:color="auto" w:sz="4" w:space="0"/>
            </w:tcBorders>
            <w:vAlign w:val="center"/>
          </w:tcPr>
          <w:p>
            <w:pPr>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四级</w:t>
            </w:r>
          </w:p>
        </w:tc>
        <w:tc>
          <w:tcPr>
            <w:tcW w:w="4270" w:type="dxa"/>
            <w:tcBorders>
              <w:top w:val="single" w:color="auto" w:sz="4" w:space="0"/>
              <w:left w:val="single" w:color="auto" w:sz="4" w:space="0"/>
              <w:bottom w:val="single" w:color="auto" w:sz="12" w:space="0"/>
              <w:right w:val="nil"/>
            </w:tcBorders>
            <w:vAlign w:val="center"/>
          </w:tcPr>
          <w:p>
            <w:pPr>
              <w:jc w:val="center"/>
              <w:rPr>
                <w:rFonts w:ascii="Times New Roman" w:hAnsi="Times New Roman" w:eastAsia="仿宋_GB2312" w:cs="Times New Roman"/>
                <w:sz w:val="30"/>
                <w:szCs w:val="30"/>
              </w:rPr>
            </w:pPr>
            <w:r>
              <w:rPr>
                <w:rFonts w:ascii="Times New Roman" w:hAnsi="Times New Roman" w:eastAsia="仿宋_GB2312" w:cs="Times New Roman"/>
                <w:i/>
                <w:sz w:val="30"/>
                <w:szCs w:val="30"/>
              </w:rPr>
              <w:t>R&lt;</w:t>
            </w:r>
            <w:r>
              <w:rPr>
                <w:rFonts w:ascii="Times New Roman" w:hAnsi="Times New Roman" w:eastAsia="仿宋_GB2312" w:cs="Times New Roman"/>
                <w:sz w:val="30"/>
                <w:szCs w:val="30"/>
              </w:rPr>
              <w:t>10</w:t>
            </w:r>
          </w:p>
        </w:tc>
      </w:tr>
    </w:tbl>
    <w:p>
      <w:pPr>
        <w:ind w:firstLine="420" w:firstLineChars="200"/>
        <w:rPr>
          <w:rFonts w:ascii="Times New Roman" w:hAnsi="Times New Roman" w:eastAsia="宋体" w:cs="Times New Roman"/>
          <w:szCs w:val="20"/>
        </w:rPr>
      </w:pPr>
    </w:p>
    <w:p>
      <w:pPr>
        <w:rPr>
          <w:rFonts w:ascii="仿宋_GB2312" w:hAnsi="仿宋_GB2312" w:eastAsia="仿宋_GB2312" w:cs="仿宋_GB2312"/>
          <w:color w:val="333333"/>
          <w:sz w:val="32"/>
          <w:szCs w:val="32"/>
          <w:shd w:val="clear" w:color="auto" w:fill="FFFFFF"/>
        </w:rPr>
      </w:pPr>
    </w:p>
    <w:p>
      <w:pPr>
        <w:rPr>
          <w:rFonts w:ascii="仿宋_GB2312" w:hAnsi="仿宋_GB2312" w:eastAsia="仿宋_GB2312" w:cs="仿宋_GB2312"/>
          <w:color w:val="333333"/>
          <w:sz w:val="32"/>
          <w:szCs w:val="32"/>
          <w:shd w:val="clear" w:color="auto" w:fill="FFFFFF"/>
        </w:rPr>
      </w:pPr>
    </w:p>
    <w:p>
      <w:pPr>
        <w:rPr>
          <w:rFonts w:ascii="黑体" w:hAnsi="黑体" w:eastAsia="黑体" w:cs="Times New Roman"/>
          <w:sz w:val="32"/>
          <w:szCs w:val="32"/>
        </w:rPr>
      </w:pPr>
      <w:r>
        <w:rPr>
          <w:rFonts w:hint="eastAsia" w:ascii="黑体" w:hAnsi="黑体" w:eastAsia="黑体" w:cs="Times New Roman"/>
          <w:sz w:val="32"/>
          <w:szCs w:val="32"/>
        </w:rPr>
        <w:t>附件2</w:t>
      </w:r>
    </w:p>
    <w:p>
      <w:pPr>
        <w:jc w:val="center"/>
        <w:rPr>
          <w:rFonts w:ascii="黑体" w:hAnsi="黑体" w:eastAsia="黑体" w:cs="Times New Roman"/>
          <w:b/>
          <w:sz w:val="32"/>
          <w:szCs w:val="32"/>
        </w:rPr>
      </w:pPr>
      <w:r>
        <w:rPr>
          <w:rFonts w:hint="eastAsia" w:ascii="黑体" w:hAnsi="黑体" w:eastAsia="黑体" w:cs="Times New Roman"/>
          <w:b/>
          <w:sz w:val="32"/>
          <w:szCs w:val="32"/>
        </w:rPr>
        <w:t>可容许风险标准</w:t>
      </w:r>
    </w:p>
    <w:p>
      <w:pPr>
        <w:jc w:val="center"/>
        <w:rPr>
          <w:rFonts w:ascii="华文中宋" w:hAnsi="华文中宋" w:eastAsia="华文中宋" w:cs="Times New Roman"/>
          <w:b/>
          <w:sz w:val="44"/>
          <w:szCs w:val="44"/>
        </w:rPr>
      </w:pPr>
    </w:p>
    <w:p>
      <w:pPr>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一、可容许个人风险标准</w:t>
      </w:r>
    </w:p>
    <w:p>
      <w:pPr>
        <w:ind w:firstLine="640" w:firstLineChars="200"/>
        <w:rPr>
          <w:rFonts w:ascii="仿宋_GB2312" w:hAnsi="TimesNewRomanPSMT" w:eastAsia="仿宋_GB2312" w:cs="宋体"/>
          <w:kern w:val="0"/>
          <w:sz w:val="32"/>
          <w:szCs w:val="32"/>
        </w:rPr>
      </w:pPr>
      <w:r>
        <w:rPr>
          <w:rFonts w:hint="eastAsia" w:ascii="仿宋_GB2312" w:hAnsi="TimesNewRomanPSMT" w:eastAsia="仿宋_GB2312" w:cs="宋体"/>
          <w:kern w:val="0"/>
          <w:sz w:val="32"/>
          <w:szCs w:val="32"/>
        </w:rPr>
        <w:t>个人风险是指因危险化学品重大危险源各种潜在的火灾、爆炸、有毒气体泄漏事故造成区域内某一固定位置人员的个体死亡概率，即单位时间内（通常为年）的个体死亡率。通常用个人风险等值线表示。</w:t>
      </w:r>
    </w:p>
    <w:p>
      <w:pPr>
        <w:ind w:firstLine="640" w:firstLineChars="200"/>
        <w:rPr>
          <w:rFonts w:ascii="仿宋_GB2312" w:hAnsi="TimesNewRomanPSMT" w:eastAsia="仿宋_GB2312" w:cs="宋体"/>
          <w:kern w:val="0"/>
          <w:sz w:val="32"/>
          <w:szCs w:val="32"/>
        </w:rPr>
      </w:pPr>
      <w:r>
        <w:rPr>
          <w:rFonts w:hint="eastAsia" w:ascii="仿宋_GB2312" w:hAnsi="TimesNewRomanPSMT" w:eastAsia="仿宋_GB2312" w:cs="宋体"/>
          <w:kern w:val="0"/>
          <w:sz w:val="32"/>
          <w:szCs w:val="32"/>
        </w:rPr>
        <w:t>通过定量风险评价，危险化学品单位周边重要目标和敏感场所承受的个人风险应满足表1中可容许风险标准要求。</w:t>
      </w:r>
    </w:p>
    <w:p>
      <w:pPr>
        <w:jc w:val="center"/>
        <w:rPr>
          <w:rFonts w:ascii="仿宋_GB2312" w:hAnsi="宋体" w:eastAsia="仿宋_GB2312" w:cs="Times New Roman"/>
          <w:sz w:val="30"/>
          <w:szCs w:val="30"/>
        </w:rPr>
      </w:pPr>
      <w:r>
        <w:rPr>
          <w:rFonts w:hint="eastAsia" w:ascii="仿宋_GB2312" w:hAnsi="宋体" w:eastAsia="仿宋_GB2312" w:cs="Times New Roman"/>
          <w:sz w:val="30"/>
          <w:szCs w:val="30"/>
        </w:rPr>
        <w:t>表1 可容许个人风险标准</w:t>
      </w:r>
    </w:p>
    <w:tbl>
      <w:tblPr>
        <w:tblStyle w:val="5"/>
        <w:tblW w:w="487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78"/>
        <w:gridCol w:w="166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061" w:type="pct"/>
            <w:tcBorders>
              <w:top w:val="single" w:color="auto" w:sz="12" w:space="0"/>
              <w:left w:val="nil"/>
              <w:bottom w:val="single" w:color="auto" w:sz="4" w:space="0"/>
              <w:right w:val="single" w:color="auto" w:sz="4" w:space="0"/>
            </w:tcBorders>
            <w:vAlign w:val="center"/>
          </w:tcPr>
          <w:p>
            <w:pPr>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 xml:space="preserve"> 危险化学品单位周边重要目标和敏感场所类别</w:t>
            </w:r>
          </w:p>
        </w:tc>
        <w:tc>
          <w:tcPr>
            <w:tcW w:w="939" w:type="pct"/>
            <w:tcBorders>
              <w:top w:val="single" w:color="auto" w:sz="12" w:space="0"/>
              <w:left w:val="single" w:color="auto" w:sz="4" w:space="0"/>
              <w:bottom w:val="single" w:color="auto" w:sz="4" w:space="0"/>
              <w:right w:val="nil"/>
            </w:tcBorders>
            <w:vAlign w:val="center"/>
          </w:tcPr>
          <w:p>
            <w:pPr>
              <w:snapToGrid w:val="0"/>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可容许</w:t>
            </w:r>
          </w:p>
          <w:p>
            <w:pPr>
              <w:snapToGrid w:val="0"/>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风险</w:t>
            </w:r>
          </w:p>
          <w:p>
            <w:pPr>
              <w:snapToGrid w:val="0"/>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61" w:hRule="atLeast"/>
          <w:jc w:val="center"/>
        </w:trPr>
        <w:tc>
          <w:tcPr>
            <w:tcW w:w="4061" w:type="pct"/>
            <w:tcBorders>
              <w:top w:val="single" w:color="auto" w:sz="4" w:space="0"/>
              <w:left w:val="nil"/>
              <w:bottom w:val="single" w:color="auto" w:sz="4" w:space="0"/>
              <w:right w:val="single" w:color="auto" w:sz="4" w:space="0"/>
            </w:tcBorders>
            <w:vAlign w:val="center"/>
          </w:tcPr>
          <w:p>
            <w:pPr>
              <w:snapToGrid w:val="0"/>
              <w:rPr>
                <w:rFonts w:ascii="仿宋_GB2312" w:hAnsi="宋体" w:eastAsia="仿宋_GB2312" w:cs="TimesNewRoman,Bold"/>
                <w:bCs/>
                <w:kern w:val="0"/>
                <w:sz w:val="30"/>
                <w:szCs w:val="30"/>
              </w:rPr>
            </w:pPr>
            <w:r>
              <w:rPr>
                <w:rFonts w:hint="eastAsia" w:ascii="仿宋_GB2312" w:hAnsi="宋体" w:eastAsia="仿宋_GB2312" w:cs="TimesNewRoman,Bold"/>
                <w:bCs/>
                <w:kern w:val="0"/>
                <w:sz w:val="30"/>
                <w:szCs w:val="30"/>
              </w:rPr>
              <w:t>1.高敏感场所（如学校、医院、幼儿园、养老院等）；</w:t>
            </w:r>
          </w:p>
          <w:p>
            <w:pPr>
              <w:snapToGrid w:val="0"/>
              <w:ind w:left="435" w:hanging="435" w:hangingChars="145"/>
              <w:rPr>
                <w:rFonts w:ascii="仿宋_GB2312" w:hAnsi="宋体" w:eastAsia="仿宋_GB2312" w:cs="TimesNewRoman,Bold"/>
                <w:bCs/>
                <w:kern w:val="0"/>
                <w:sz w:val="30"/>
                <w:szCs w:val="30"/>
              </w:rPr>
            </w:pPr>
            <w:r>
              <w:rPr>
                <w:rFonts w:hint="eastAsia" w:ascii="仿宋_GB2312" w:hAnsi="宋体" w:eastAsia="仿宋_GB2312" w:cs="TimesNewRoman,Bold"/>
                <w:bCs/>
                <w:kern w:val="0"/>
                <w:sz w:val="30"/>
                <w:szCs w:val="30"/>
              </w:rPr>
              <w:t>2.重要目标（如</w:t>
            </w:r>
            <w:r>
              <w:rPr>
                <w:rFonts w:hint="eastAsia" w:ascii="仿宋_GB2312" w:hAnsi="Times New Roman" w:eastAsia="仿宋_GB2312" w:cs="Times New Roman"/>
                <w:sz w:val="30"/>
                <w:szCs w:val="30"/>
              </w:rPr>
              <w:t>党政机关、军事管理区、文物保护单位等</w:t>
            </w:r>
            <w:r>
              <w:rPr>
                <w:rFonts w:hint="eastAsia" w:ascii="仿宋_GB2312" w:hAnsi="宋体" w:eastAsia="仿宋_GB2312" w:cs="TimesNewRoman,Bold"/>
                <w:bCs/>
                <w:kern w:val="0"/>
                <w:sz w:val="30"/>
                <w:szCs w:val="30"/>
              </w:rPr>
              <w:t>）；</w:t>
            </w:r>
          </w:p>
          <w:p>
            <w:pPr>
              <w:snapToGrid w:val="0"/>
              <w:ind w:left="435" w:hanging="435" w:hangingChars="145"/>
              <w:rPr>
                <w:rFonts w:ascii="仿宋_GB2312" w:hAnsi="Times New Roman" w:eastAsia="仿宋_GB2312" w:cs="Times New Roman"/>
                <w:sz w:val="30"/>
                <w:szCs w:val="30"/>
              </w:rPr>
            </w:pPr>
            <w:r>
              <w:rPr>
                <w:rFonts w:hint="eastAsia" w:ascii="仿宋_GB2312" w:hAnsi="宋体" w:eastAsia="仿宋_GB2312" w:cs="TimesNewRoman,Bold"/>
                <w:bCs/>
                <w:kern w:val="0"/>
                <w:sz w:val="30"/>
                <w:szCs w:val="30"/>
              </w:rPr>
              <w:t>3.特殊高密度场所（如大型体育场、大型交通枢纽等）。</w:t>
            </w:r>
          </w:p>
        </w:tc>
        <w:tc>
          <w:tcPr>
            <w:tcW w:w="939" w:type="pct"/>
            <w:tcBorders>
              <w:top w:val="single" w:color="auto" w:sz="4" w:space="0"/>
              <w:left w:val="single" w:color="auto" w:sz="4" w:space="0"/>
              <w:bottom w:val="single" w:color="auto" w:sz="4" w:space="0"/>
              <w:right w:val="nil"/>
            </w:tcBorders>
            <w:vAlign w:val="center"/>
          </w:tcPr>
          <w:p>
            <w:pPr>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&lt;3</w:t>
            </w:r>
            <w:r>
              <w:rPr>
                <w:rFonts w:ascii="仿宋_GB2312" w:hAnsi="Times New Roman" w:eastAsia="仿宋_GB2312" w:cs="Times New Roman"/>
                <w:sz w:val="30"/>
                <w:szCs w:val="30"/>
              </w:rPr>
              <w:sym w:font="Symbol" w:char="F0B4"/>
            </w:r>
            <w:r>
              <w:rPr>
                <w:rFonts w:hint="eastAsia" w:ascii="仿宋_GB2312" w:hAnsi="Times New Roman" w:eastAsia="仿宋_GB2312" w:cs="Times New Roman"/>
                <w:sz w:val="30"/>
                <w:szCs w:val="30"/>
              </w:rPr>
              <w:t>10</w:t>
            </w:r>
            <w:r>
              <w:rPr>
                <w:rFonts w:hint="eastAsia" w:ascii="仿宋_GB2312" w:hAnsi="Times New Roman" w:eastAsia="仿宋_GB2312" w:cs="Times New Roman"/>
                <w:sz w:val="30"/>
                <w:szCs w:val="30"/>
                <w:vertAlign w:val="superscript"/>
              </w:rPr>
              <w:t>-7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4061" w:type="pct"/>
            <w:tcBorders>
              <w:top w:val="single" w:color="auto" w:sz="4" w:space="0"/>
              <w:left w:val="nil"/>
              <w:bottom w:val="single" w:color="auto" w:sz="12" w:space="0"/>
              <w:right w:val="single" w:color="auto" w:sz="4" w:space="0"/>
            </w:tcBorders>
            <w:vAlign w:val="center"/>
          </w:tcPr>
          <w:p>
            <w:pPr>
              <w:snapToGrid w:val="0"/>
              <w:rPr>
                <w:rFonts w:ascii="仿宋_GB2312" w:hAnsi="宋体" w:eastAsia="仿宋_GB2312" w:cs="TimesNewRoman,Bold"/>
                <w:bCs/>
                <w:kern w:val="0"/>
                <w:sz w:val="30"/>
                <w:szCs w:val="30"/>
              </w:rPr>
            </w:pPr>
            <w:r>
              <w:rPr>
                <w:rFonts w:hint="eastAsia" w:ascii="仿宋_GB2312" w:hAnsi="宋体" w:eastAsia="仿宋_GB2312" w:cs="TimesNewRoman,Bold"/>
                <w:bCs/>
                <w:kern w:val="0"/>
                <w:sz w:val="30"/>
                <w:szCs w:val="30"/>
              </w:rPr>
              <w:t>1.居住类高密度场所（如居民区、宾馆、度假村等）；</w:t>
            </w:r>
          </w:p>
          <w:p>
            <w:pPr>
              <w:snapToGrid w:val="0"/>
              <w:ind w:left="435" w:hanging="435" w:hangingChars="145"/>
              <w:rPr>
                <w:rFonts w:ascii="仿宋_GB2312" w:hAnsi="Times New Roman" w:eastAsia="仿宋_GB2312" w:cs="Times New Roman"/>
                <w:sz w:val="30"/>
                <w:szCs w:val="30"/>
              </w:rPr>
            </w:pPr>
            <w:r>
              <w:rPr>
                <w:rFonts w:hint="eastAsia" w:ascii="仿宋_GB2312" w:hAnsi="宋体" w:eastAsia="仿宋_GB2312" w:cs="TimesNewRoman,Bold"/>
                <w:bCs/>
                <w:kern w:val="0"/>
                <w:sz w:val="30"/>
                <w:szCs w:val="30"/>
              </w:rPr>
              <w:t>2.公众聚集类高密度场所（如办公场所、商场、饭店、娱乐场所等）。</w:t>
            </w:r>
          </w:p>
        </w:tc>
        <w:tc>
          <w:tcPr>
            <w:tcW w:w="939" w:type="pct"/>
            <w:tcBorders>
              <w:top w:val="single" w:color="auto" w:sz="4" w:space="0"/>
              <w:left w:val="single" w:color="auto" w:sz="4" w:space="0"/>
              <w:bottom w:val="single" w:color="auto" w:sz="12" w:space="0"/>
              <w:right w:val="nil"/>
            </w:tcBorders>
            <w:vAlign w:val="center"/>
          </w:tcPr>
          <w:p>
            <w:pPr>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&lt;1</w:t>
            </w:r>
            <w:r>
              <w:rPr>
                <w:rFonts w:ascii="仿宋_GB2312" w:hAnsi="Times New Roman" w:eastAsia="仿宋_GB2312" w:cs="Times New Roman"/>
                <w:sz w:val="30"/>
                <w:szCs w:val="30"/>
              </w:rPr>
              <w:sym w:font="Symbol" w:char="F0B4"/>
            </w:r>
            <w:r>
              <w:rPr>
                <w:rFonts w:hint="eastAsia" w:ascii="仿宋_GB2312" w:hAnsi="Times New Roman" w:eastAsia="仿宋_GB2312" w:cs="Times New Roman"/>
                <w:sz w:val="30"/>
                <w:szCs w:val="30"/>
              </w:rPr>
              <w:t>10</w:t>
            </w:r>
            <w:r>
              <w:rPr>
                <w:rFonts w:hint="eastAsia" w:ascii="仿宋_GB2312" w:hAnsi="Times New Roman" w:eastAsia="仿宋_GB2312" w:cs="Times New Roman"/>
                <w:sz w:val="30"/>
                <w:szCs w:val="30"/>
                <w:vertAlign w:val="superscript"/>
              </w:rPr>
              <w:t>-6</w:t>
            </w:r>
          </w:p>
        </w:tc>
      </w:tr>
    </w:tbl>
    <w:p>
      <w:pPr>
        <w:ind w:firstLine="422" w:firstLineChars="200"/>
        <w:rPr>
          <w:rFonts w:ascii="仿宋_GB2312" w:hAnsi="宋体" w:eastAsia="仿宋_GB2312" w:cs="Times New Roman"/>
          <w:b/>
          <w:kern w:val="0"/>
          <w:szCs w:val="28"/>
        </w:rPr>
      </w:pPr>
    </w:p>
    <w:p>
      <w:pPr>
        <w:rPr>
          <w:rFonts w:ascii="黑体" w:hAnsi="Times New Roman" w:eastAsia="黑体" w:cs="Times New Roman"/>
          <w:sz w:val="32"/>
          <w:szCs w:val="32"/>
        </w:rPr>
      </w:pPr>
      <w:r>
        <w:rPr>
          <w:rFonts w:hint="eastAsia" w:ascii="黑体" w:hAnsi="Times New Roman" w:eastAsia="黑体" w:cs="Times New Roman"/>
          <w:sz w:val="32"/>
          <w:szCs w:val="32"/>
        </w:rPr>
        <w:t>二、可容许社会风险标准</w:t>
      </w:r>
    </w:p>
    <w:p>
      <w:pPr>
        <w:ind w:firstLine="640" w:firstLineChars="200"/>
        <w:rPr>
          <w:rFonts w:ascii="仿宋_GB2312" w:hAnsi="TimesNewRomanPSMT" w:eastAsia="仿宋_GB2312" w:cs="宋体"/>
          <w:kern w:val="0"/>
          <w:sz w:val="32"/>
          <w:szCs w:val="32"/>
        </w:rPr>
      </w:pPr>
      <w:r>
        <w:rPr>
          <w:rFonts w:hint="eastAsia" w:ascii="仿宋_GB2312" w:hAnsi="TimesNewRomanPSMT" w:eastAsia="仿宋_GB2312" w:cs="宋体"/>
          <w:kern w:val="0"/>
          <w:sz w:val="32"/>
          <w:szCs w:val="32"/>
        </w:rPr>
        <w:t>社会风险是指能够引起大于等于N人死亡的事故累积频率（F），也即单位时间内（通常为年）的死亡人数。通常用社会风险曲线（F-N曲线）表示。</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可容许社会风险标准采用ALARP（As Low As Reasonable Practice）原则作为可接受原则。ALARP原则通过两个风险分界线将风险划分为3个区域，即：不可容许区、尽可能降低区（ALARP）和可容许区。</w:t>
      </w:r>
    </w:p>
    <w:p>
      <w:pPr>
        <w:ind w:firstLine="640" w:firstLineChars="200"/>
        <w:rPr>
          <w:rFonts w:ascii="仿宋_GB2312" w:hAnsi="Times New Roman" w:eastAsia="仿宋_GB2312" w:cs="Times New Roman"/>
          <w:iCs/>
          <w:color w:val="FF0000"/>
          <w:sz w:val="32"/>
          <w:szCs w:val="32"/>
        </w:rPr>
      </w:pPr>
      <w:r>
        <w:rPr>
          <w:rFonts w:hint="eastAsia" w:ascii="仿宋_GB2312" w:hAnsi="Times New Roman" w:eastAsia="仿宋_GB2312" w:cs="Times New Roman"/>
          <w:iCs/>
          <w:sz w:val="32"/>
          <w:szCs w:val="32"/>
        </w:rPr>
        <w:t>①若社会风险曲线落在不可容许区，除特殊情况外，该风险无论如何不能被接受。</w:t>
      </w:r>
    </w:p>
    <w:p>
      <w:pPr>
        <w:ind w:firstLine="640" w:firstLineChars="200"/>
        <w:rPr>
          <w:rFonts w:ascii="仿宋_GB2312" w:hAnsi="Times New Roman" w:eastAsia="仿宋_GB2312" w:cs="Times New Roman"/>
          <w:iCs/>
          <w:sz w:val="32"/>
          <w:szCs w:val="32"/>
        </w:rPr>
      </w:pPr>
      <w:r>
        <w:rPr>
          <w:rFonts w:hint="eastAsia" w:ascii="仿宋_GB2312" w:hAnsi="Times New Roman" w:eastAsia="仿宋_GB2312" w:cs="Times New Roman"/>
          <w:iCs/>
          <w:sz w:val="32"/>
          <w:szCs w:val="32"/>
        </w:rPr>
        <w:t>②若落在可容许区，风险处于很低的水平，该风险是可以被接受的，无需采取安全改进措施。</w:t>
      </w:r>
    </w:p>
    <w:p>
      <w:pPr>
        <w:ind w:firstLine="640" w:firstLineChars="200"/>
        <w:rPr>
          <w:rFonts w:ascii="仿宋_GB2312" w:hAnsi="Times New Roman" w:eastAsia="仿宋_GB2312" w:cs="Times New Roman"/>
          <w:iCs/>
          <w:sz w:val="32"/>
          <w:szCs w:val="32"/>
        </w:rPr>
      </w:pPr>
      <w:r>
        <w:rPr>
          <w:rFonts w:hint="eastAsia" w:ascii="仿宋_GB2312" w:hAnsi="Times New Roman" w:eastAsia="仿宋_GB2312" w:cs="Times New Roman"/>
          <w:iCs/>
          <w:sz w:val="32"/>
          <w:szCs w:val="32"/>
        </w:rPr>
        <w:t>③若落在尽可能降低区，则需要在可能的情况下尽量减少风险，即对各种风险处理措施方案进行成本效益分析等，以决定是否采取这些措施。</w:t>
      </w:r>
    </w:p>
    <w:p>
      <w:pPr>
        <w:ind w:firstLine="640" w:firstLineChars="200"/>
        <w:rPr>
          <w:rFonts w:ascii="仿宋_GB2312" w:hAnsi="TimesNewRomanPSMT" w:eastAsia="仿宋_GB2312" w:cs="宋体"/>
          <w:kern w:val="0"/>
          <w:sz w:val="32"/>
          <w:szCs w:val="32"/>
        </w:rPr>
      </w:pPr>
      <w:r>
        <w:rPr>
          <w:rFonts w:hint="eastAsia" w:ascii="仿宋_GB2312" w:hAnsi="TimesNewRomanPSMT" w:eastAsia="仿宋_GB2312" w:cs="宋体"/>
          <w:kern w:val="0"/>
          <w:sz w:val="32"/>
          <w:szCs w:val="32"/>
        </w:rPr>
        <w:t>通过定量风险评价，危险化学品重大危险源产生的社会风险应满足图1中可容许社会风险标准要求。</w:t>
      </w:r>
    </w:p>
    <w:p>
      <w:pPr>
        <w:ind w:firstLine="539" w:firstLineChars="257"/>
        <w:rPr>
          <w:rFonts w:ascii="Times New Roman" w:hAnsi="Times New Roman" w:eastAsia="宋体" w:cs="Times New Roman"/>
          <w:szCs w:val="20"/>
        </w:rPr>
      </w:pPr>
    </w:p>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g">
            <w:drawing>
              <wp:anchor distT="0" distB="0" distL="114300" distR="114300" simplePos="0" relativeHeight="251659264" behindDoc="0" locked="0" layoutInCell="1" allowOverlap="1">
                <wp:simplePos x="0" y="0"/>
                <wp:positionH relativeFrom="column">
                  <wp:posOffset>104775</wp:posOffset>
                </wp:positionH>
                <wp:positionV relativeFrom="paragraph">
                  <wp:posOffset>360045</wp:posOffset>
                </wp:positionV>
                <wp:extent cx="4038600" cy="3063240"/>
                <wp:effectExtent l="0" t="0" r="0" b="0"/>
                <wp:wrapNone/>
                <wp:docPr id="36" name="Group 37"/>
                <wp:cNvGraphicFramePr/>
                <a:graphic xmlns:a="http://schemas.openxmlformats.org/drawingml/2006/main">
                  <a:graphicData uri="http://schemas.microsoft.com/office/word/2010/wordprocessingGroup">
                    <wpg:wgp>
                      <wpg:cNvGrpSpPr/>
                      <wpg:grpSpPr>
                        <a:xfrm>
                          <a:off x="0" y="0"/>
                          <a:ext cx="4038600" cy="3063240"/>
                          <a:chOff x="1753" y="2580"/>
                          <a:chExt cx="6360" cy="4824"/>
                        </a:xfrm>
                      </wpg:grpSpPr>
                      <wps:wsp>
                        <wps:cNvPr id="37" name="Text Box 38"/>
                        <wps:cNvSpPr txBox="1">
                          <a:spLocks noChangeArrowheads="1"/>
                        </wps:cNvSpPr>
                        <wps:spPr bwMode="auto">
                          <a:xfrm>
                            <a:off x="1753" y="2580"/>
                            <a:ext cx="840" cy="3279"/>
                          </a:xfrm>
                          <a:prstGeom prst="rect">
                            <a:avLst/>
                          </a:prstGeom>
                          <a:solidFill>
                            <a:srgbClr val="FFFFFF"/>
                          </a:solidFill>
                          <a:ln>
                            <a:noFill/>
                          </a:ln>
                        </wps:spPr>
                        <wps:txbx>
                          <w:txbxContent>
                            <w:p>
                              <w:pPr>
                                <w:rPr>
                                  <w:rFonts w:ascii="仿宋_GB2312" w:eastAsia="仿宋_GB2312"/>
                                  <w:sz w:val="30"/>
                                  <w:szCs w:val="30"/>
                                </w:rPr>
                              </w:pPr>
                              <w:r>
                                <w:rPr>
                                  <w:rFonts w:hint="eastAsia" w:ascii="仿宋_GB2312" w:eastAsia="仿宋_GB2312"/>
                                  <w:sz w:val="30"/>
                                  <w:szCs w:val="30"/>
                                </w:rPr>
                                <w:t>累积频率F/（次/年）</w:t>
                              </w:r>
                            </w:p>
                            <w:p>
                              <w:pPr>
                                <w:rPr>
                                  <w:rFonts w:ascii="仿宋_GB2312" w:eastAsia="仿宋_GB2312"/>
                                  <w:sz w:val="30"/>
                                  <w:szCs w:val="30"/>
                                </w:rPr>
                              </w:pPr>
                            </w:p>
                          </w:txbxContent>
                        </wps:txbx>
                        <wps:bodyPr rot="0" vert="vert270" wrap="square" lIns="91440" tIns="45720" rIns="91440" bIns="45720" anchor="t" anchorCtr="0" upright="1">
                          <a:noAutofit/>
                        </wps:bodyPr>
                      </wps:wsp>
                      <wps:wsp>
                        <wps:cNvPr id="38" name="Text Box 39"/>
                        <wps:cNvSpPr txBox="1">
                          <a:spLocks noChangeArrowheads="1"/>
                        </wps:cNvSpPr>
                        <wps:spPr bwMode="auto">
                          <a:xfrm>
                            <a:off x="4858" y="6624"/>
                            <a:ext cx="3255" cy="780"/>
                          </a:xfrm>
                          <a:prstGeom prst="rect">
                            <a:avLst/>
                          </a:prstGeom>
                          <a:solidFill>
                            <a:srgbClr val="FFFFFF"/>
                          </a:solidFill>
                          <a:ln>
                            <a:noFill/>
                          </a:ln>
                        </wps:spPr>
                        <wps:txbx>
                          <w:txbxContent>
                            <w:p>
                              <w:pPr>
                                <w:rPr>
                                  <w:rFonts w:ascii="仿宋_GB2312" w:eastAsia="仿宋_GB2312"/>
                                  <w:sz w:val="30"/>
                                  <w:szCs w:val="30"/>
                                </w:rPr>
                              </w:pPr>
                              <w:r>
                                <w:rPr>
                                  <w:rFonts w:hint="eastAsia" w:ascii="仿宋_GB2312" w:eastAsia="仿宋_GB2312"/>
                                  <w:sz w:val="30"/>
                                  <w:szCs w:val="30"/>
                                </w:rPr>
                                <w:t>死亡人数  N/（个）</w:t>
                              </w:r>
                            </w:p>
                            <w:p>
                              <w:pPr>
                                <w:rPr>
                                  <w:rFonts w:ascii="仿宋_GB2312" w:eastAsia="仿宋_GB2312"/>
                                  <w:sz w:val="30"/>
                                  <w:szCs w:val="30"/>
                                </w:rPr>
                              </w:pPr>
                            </w:p>
                          </w:txbxContent>
                        </wps:txbx>
                        <wps:bodyPr rot="0" vert="horz" wrap="square" lIns="91440" tIns="45720" rIns="91440" bIns="45720" anchor="t" anchorCtr="0" upright="1">
                          <a:noAutofit/>
                        </wps:bodyPr>
                      </wps:wsp>
                      <wpg:grpSp>
                        <wpg:cNvPr id="39" name="Group 40"/>
                        <wpg:cNvGrpSpPr/>
                        <wpg:grpSpPr>
                          <a:xfrm>
                            <a:off x="3878" y="2637"/>
                            <a:ext cx="1385" cy="2964"/>
                            <a:chOff x="3927" y="9374"/>
                            <a:chExt cx="1093" cy="2964"/>
                          </a:xfrm>
                        </wpg:grpSpPr>
                        <wps:wsp>
                          <wps:cNvPr id="40" name="Text Box 41"/>
                          <wps:cNvSpPr txBox="1">
                            <a:spLocks noChangeArrowheads="1"/>
                          </wps:cNvSpPr>
                          <wps:spPr bwMode="auto">
                            <a:xfrm>
                              <a:off x="3940" y="12026"/>
                              <a:ext cx="1080" cy="312"/>
                            </a:xfrm>
                            <a:prstGeom prst="rect">
                              <a:avLst/>
                            </a:prstGeom>
                            <a:solidFill>
                              <a:srgbClr val="FFFFFF"/>
                            </a:solidFill>
                            <a:ln>
                              <a:noFill/>
                            </a:ln>
                          </wps:spPr>
                          <wps:txbx>
                            <w:txbxContent>
                              <w:p>
                                <w:pPr>
                                  <w:jc w:val="center"/>
                                  <w:rPr>
                                    <w:szCs w:val="21"/>
                                  </w:rPr>
                                </w:pPr>
                                <w:r>
                                  <w:rPr>
                                    <w:rFonts w:hint="eastAsia"/>
                                    <w:szCs w:val="21"/>
                                  </w:rPr>
                                  <w:t>可容许区</w:t>
                                </w:r>
                              </w:p>
                              <w:p>
                                <w:pPr>
                                  <w:rPr>
                                    <w:szCs w:val="21"/>
                                  </w:rPr>
                                </w:pPr>
                              </w:p>
                            </w:txbxContent>
                          </wps:txbx>
                          <wps:bodyPr rot="0" vert="horz" wrap="square" lIns="0" tIns="0" rIns="0" bIns="0" anchor="t" anchorCtr="0" upright="1">
                            <a:noAutofit/>
                          </wps:bodyPr>
                        </wps:wsp>
                        <wps:wsp>
                          <wps:cNvPr id="41" name="Text Box 42"/>
                          <wps:cNvSpPr txBox="1">
                            <a:spLocks noChangeArrowheads="1"/>
                          </wps:cNvSpPr>
                          <wps:spPr bwMode="auto">
                            <a:xfrm>
                              <a:off x="3938" y="10622"/>
                              <a:ext cx="1080" cy="312"/>
                            </a:xfrm>
                            <a:prstGeom prst="rect">
                              <a:avLst/>
                            </a:prstGeom>
                            <a:solidFill>
                              <a:srgbClr val="FFFFFF"/>
                            </a:solidFill>
                            <a:ln>
                              <a:noFill/>
                            </a:ln>
                          </wps:spPr>
                          <wps:txbx>
                            <w:txbxContent>
                              <w:p>
                                <w:pPr>
                                  <w:jc w:val="center"/>
                                  <w:rPr>
                                    <w:szCs w:val="21"/>
                                  </w:rPr>
                                </w:pPr>
                                <w:r>
                                  <w:rPr>
                                    <w:rFonts w:hint="eastAsia"/>
                                    <w:szCs w:val="21"/>
                                  </w:rPr>
                                  <w:t>尽可能降低区</w:t>
                                </w:r>
                              </w:p>
                              <w:p>
                                <w:pPr>
                                  <w:rPr>
                                    <w:szCs w:val="21"/>
                                  </w:rPr>
                                </w:pPr>
                              </w:p>
                            </w:txbxContent>
                          </wps:txbx>
                          <wps:bodyPr rot="0" vert="horz" wrap="square" lIns="0" tIns="0" rIns="0" bIns="0" anchor="t" anchorCtr="0" upright="1">
                            <a:noAutofit/>
                          </wps:bodyPr>
                        </wps:wsp>
                        <wps:wsp>
                          <wps:cNvPr id="42" name="Text Box 43"/>
                          <wps:cNvSpPr txBox="1">
                            <a:spLocks noChangeArrowheads="1"/>
                          </wps:cNvSpPr>
                          <wps:spPr bwMode="auto">
                            <a:xfrm>
                              <a:off x="3927" y="9374"/>
                              <a:ext cx="1080" cy="312"/>
                            </a:xfrm>
                            <a:prstGeom prst="rect">
                              <a:avLst/>
                            </a:prstGeom>
                            <a:solidFill>
                              <a:srgbClr val="FFFFFF"/>
                            </a:solidFill>
                            <a:ln>
                              <a:noFill/>
                            </a:ln>
                          </wps:spPr>
                          <wps:txbx>
                            <w:txbxContent>
                              <w:p>
                                <w:pPr>
                                  <w:jc w:val="center"/>
                                  <w:rPr>
                                    <w:szCs w:val="21"/>
                                  </w:rPr>
                                </w:pPr>
                                <w:r>
                                  <w:rPr>
                                    <w:rFonts w:hint="eastAsia"/>
                                    <w:szCs w:val="21"/>
                                  </w:rPr>
                                  <w:t>不可容许区</w:t>
                                </w:r>
                              </w:p>
                              <w:p>
                                <w:pPr>
                                  <w:rPr>
                                    <w:szCs w:val="21"/>
                                  </w:rPr>
                                </w:pPr>
                              </w:p>
                            </w:txbxContent>
                          </wps:txbx>
                          <wps:bodyPr rot="0" vert="horz" wrap="square" lIns="0" tIns="0" rIns="0" bIns="0" anchor="t" anchorCtr="0" upright="1">
                            <a:noAutofit/>
                          </wps:bodyPr>
                        </wps:wsp>
                      </wpg:grpSp>
                    </wpg:wgp>
                  </a:graphicData>
                </a:graphic>
              </wp:anchor>
            </w:drawing>
          </mc:Choice>
          <mc:Fallback>
            <w:pict>
              <v:group id="Group 37" o:spid="_x0000_s1026" o:spt="203" style="position:absolute;left:0pt;margin-left:8.25pt;margin-top:28.35pt;height:241.2pt;width:318pt;z-index:251659264;mso-width-relative:page;mso-height-relative:page;" coordorigin="1753,2580" coordsize="6360,4824" o:gfxdata="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">
                <o:lock v:ext="edit" aspectratio="f"/>
                <v:shape id="Text Box 38" o:spid="_x0000_s1026" o:spt="202" type="#_x0000_t202" style="position:absolute;left:1753;top:2580;height:3279;width:840;" fillcolor="#FFFFFF" filled="t" stroked="f" coordsize="21600,21600" o:gfxdata="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JpNS8AAAA&#10;2wAAAA8AAAAAAAAAAQAgAAAAIgAAAGRycy9kb3ducmV2LnhtbFBLAQIUABQAAAAIAIdO4kAzLwWe&#10;OwAAADkAAAAQAAAAAAAAAAEAIAAAAAsBAABkcnMvc2hhcGV4bWwueG1sUEsFBgAAAAAGAAYAWwEA&#10;ALUDAAAAAA==&#10;">
                  <v:fill on="t" focussize="0,0"/>
                  <v:stroke on="f"/>
                  <v:imagedata o:title=""/>
                  <o:lock v:ext="edit" aspectratio="f"/>
                  <v:textbox style="layout-flow:vertical;mso-layout-flow-alt:bottom-to-top;">
                    <w:txbxContent>
                      <w:p>
                        <w:pPr>
                          <w:rPr>
                            <w:rFonts w:ascii="仿宋_GB2312" w:eastAsia="仿宋_GB2312"/>
                            <w:sz w:val="30"/>
                            <w:szCs w:val="30"/>
                          </w:rPr>
                        </w:pPr>
                        <w:r>
                          <w:rPr>
                            <w:rFonts w:hint="eastAsia" w:ascii="仿宋_GB2312" w:eastAsia="仿宋_GB2312"/>
                            <w:sz w:val="30"/>
                            <w:szCs w:val="30"/>
                          </w:rPr>
                          <w:t>累积频率F/（次/年）</w:t>
                        </w:r>
                      </w:p>
                      <w:p>
                        <w:pPr>
                          <w:rPr>
                            <w:rFonts w:ascii="仿宋_GB2312" w:eastAsia="仿宋_GB2312"/>
                            <w:sz w:val="30"/>
                            <w:szCs w:val="30"/>
                          </w:rPr>
                        </w:pPr>
                      </w:p>
                    </w:txbxContent>
                  </v:textbox>
                </v:shape>
                <v:shape id="Text Box 39" o:spid="_x0000_s1026" o:spt="202" type="#_x0000_t202" style="position:absolute;left:4858;top:6624;height:780;width:3255;" fillcolor="#FFFFFF" filled="t" stroked="f" coordsize="21600,21600" o:gfxdata="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J5H4FLUAAADbAAAADwAA&#10;AAAAAAABACAAAAAiAAAAZHJzL2Rvd25yZXYueG1sUEsBAhQAFAAAAAgAh07iQDMvBZ47AAAAOQAA&#10;ABAAAAAAAAAAAQAgAAAABAEAAGRycy9zaGFwZXhtbC54bWxQSwUGAAAAAAYABgBbAQAArgMAAAAA&#10;">
                  <v:fill on="t" focussize="0,0"/>
                  <v:stroke on="f"/>
                  <v:imagedata o:title=""/>
                  <o:lock v:ext="edit" aspectratio="f"/>
                  <v:textbox>
                    <w:txbxContent>
                      <w:p>
                        <w:pPr>
                          <w:rPr>
                            <w:rFonts w:ascii="仿宋_GB2312" w:eastAsia="仿宋_GB2312"/>
                            <w:sz w:val="30"/>
                            <w:szCs w:val="30"/>
                          </w:rPr>
                        </w:pPr>
                        <w:r>
                          <w:rPr>
                            <w:rFonts w:hint="eastAsia" w:ascii="仿宋_GB2312" w:eastAsia="仿宋_GB2312"/>
                            <w:sz w:val="30"/>
                            <w:szCs w:val="30"/>
                          </w:rPr>
                          <w:t>死亡人数  N/（个）</w:t>
                        </w:r>
                      </w:p>
                      <w:p>
                        <w:pPr>
                          <w:rPr>
                            <w:rFonts w:ascii="仿宋_GB2312" w:eastAsia="仿宋_GB2312"/>
                            <w:sz w:val="30"/>
                            <w:szCs w:val="30"/>
                          </w:rPr>
                        </w:pPr>
                      </w:p>
                    </w:txbxContent>
                  </v:textbox>
                </v:shape>
                <v:group id="Group 40" o:spid="_x0000_s1026" o:spt="203" style="position:absolute;left:3878;top:2637;height:2964;width:1385;" coordorigin="3927,9374" coordsize="1093,2964"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shape id="Text Box 41" o:spid="_x0000_s1026" o:spt="202" type="#_x0000_t202" style="position:absolute;left:3940;top:12026;height:312;width:1080;" fillcolor="#FFFFFF" filled="t" stroked="f" coordsize="21600,21600" o:gfxdata="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VoqhM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pPr>
                            <w:jc w:val="center"/>
                            <w:rPr>
                              <w:szCs w:val="21"/>
                            </w:rPr>
                          </w:pPr>
                          <w:r>
                            <w:rPr>
                              <w:rFonts w:hint="eastAsia"/>
                              <w:szCs w:val="21"/>
                            </w:rPr>
                            <w:t>可容许区</w:t>
                          </w:r>
                        </w:p>
                        <w:p>
                          <w:pPr>
                            <w:rPr>
                              <w:szCs w:val="21"/>
                            </w:rPr>
                          </w:pPr>
                        </w:p>
                      </w:txbxContent>
                    </v:textbox>
                  </v:shape>
                  <v:shape id="Text Box 42" o:spid="_x0000_s1026" o:spt="202" type="#_x0000_t202" style="position:absolute;left:3938;top:10622;height:312;width:1080;" fillcolor="#FFFFFF" filled="t" stroked="f" coordsize="21600,21600" o:gfxdata="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7g3XvQAA&#10;ANs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pPr>
                            <w:jc w:val="center"/>
                            <w:rPr>
                              <w:szCs w:val="21"/>
                            </w:rPr>
                          </w:pPr>
                          <w:r>
                            <w:rPr>
                              <w:rFonts w:hint="eastAsia"/>
                              <w:szCs w:val="21"/>
                            </w:rPr>
                            <w:t>尽可能降低区</w:t>
                          </w:r>
                        </w:p>
                        <w:p>
                          <w:pPr>
                            <w:rPr>
                              <w:szCs w:val="21"/>
                            </w:rPr>
                          </w:pPr>
                        </w:p>
                      </w:txbxContent>
                    </v:textbox>
                  </v:shape>
                  <v:shape id="Text Box 43" o:spid="_x0000_s1026" o:spt="202" type="#_x0000_t202" style="position:absolute;left:3927;top:9374;height:312;width:1080;" fillcolor="#FFFFFF" filled="t" stroked="f" coordsize="21600,21600" o:gfxdata="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PJOgvQAA&#10;ANs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pPr>
                            <w:jc w:val="center"/>
                            <w:rPr>
                              <w:szCs w:val="21"/>
                            </w:rPr>
                          </w:pPr>
                          <w:r>
                            <w:rPr>
                              <w:rFonts w:hint="eastAsia"/>
                              <w:szCs w:val="21"/>
                            </w:rPr>
                            <w:t>不可容许区</w:t>
                          </w:r>
                        </w:p>
                        <w:p>
                          <w:pPr>
                            <w:rPr>
                              <w:szCs w:val="21"/>
                            </w:rPr>
                          </w:pPr>
                        </w:p>
                      </w:txbxContent>
                    </v:textbox>
                  </v:shape>
                </v:group>
              </v:group>
            </w:pict>
          </mc:Fallback>
        </mc:AlternateContent>
      </w:r>
      <w:r>
        <w:rPr>
          <w:rFonts w:ascii="Times New Roman" w:hAnsi="Times New Roman" w:eastAsia="宋体" w:cs="Times New Roman"/>
          <w:szCs w:val="20"/>
        </w:rPr>
        <w:object>
          <v:shape id="_x0000_i1026" o:spt="75" type="#_x0000_t75" style="height:225.5pt;width:342pt;" o:ole="t" filled="f" o:preferrelative="t" stroked="f" coordsize="21600,21600">
            <v:path/>
            <v:fill on="f" focussize="0,0"/>
            <v:stroke on="f" joinstyle="miter"/>
            <v:imagedata r:id="rId9" cropleft="3115f" croptop="7082f" cropright="3244f" cropbottom="5423f" o:title=""/>
            <o:lock v:ext="edit" aspectratio="t"/>
            <w10:wrap type="none"/>
            <w10:anchorlock/>
          </v:shape>
          <o:OLEObject Type="Embed" ProgID="Origin50.Graph" ShapeID="_x0000_i1026" DrawAspect="Content" ObjectID="_1468075726" r:id="rId8">
            <o:LockedField>false</o:LockedField>
          </o:OLEObject>
        </w:object>
      </w:r>
    </w:p>
    <w:p>
      <w:pPr>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w:t>
      </w:r>
    </w:p>
    <w:p>
      <w:pPr>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 xml:space="preserve"> 图1 可容许社会风险标准（</w:t>
      </w:r>
      <w:r>
        <w:rPr>
          <w:rFonts w:hint="eastAsia" w:ascii="仿宋_GB2312" w:hAnsi="Times New Roman" w:eastAsia="仿宋_GB2312" w:cs="Times New Roman"/>
          <w:i/>
          <w:sz w:val="30"/>
          <w:szCs w:val="30"/>
        </w:rPr>
        <w:t>F</w:t>
      </w:r>
      <w:r>
        <w:rPr>
          <w:rFonts w:hint="eastAsia" w:ascii="仿宋_GB2312" w:hAnsi="Times New Roman" w:eastAsia="仿宋_GB2312" w:cs="Times New Roman"/>
          <w:sz w:val="30"/>
          <w:szCs w:val="30"/>
        </w:rPr>
        <w:t>-</w:t>
      </w:r>
      <w:r>
        <w:rPr>
          <w:rFonts w:hint="eastAsia" w:ascii="仿宋_GB2312" w:hAnsi="Times New Roman" w:eastAsia="仿宋_GB2312" w:cs="Times New Roman"/>
          <w:i/>
          <w:sz w:val="30"/>
          <w:szCs w:val="30"/>
        </w:rPr>
        <w:t>N</w:t>
      </w:r>
      <w:r>
        <w:rPr>
          <w:rFonts w:hint="eastAsia" w:ascii="仿宋_GB2312" w:hAnsi="Times New Roman" w:eastAsia="仿宋_GB2312" w:cs="Times New Roman"/>
          <w:sz w:val="30"/>
          <w:szCs w:val="30"/>
        </w:rPr>
        <w:t>）曲线</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imesNewRomanPSMT">
    <w:altName w:val="Times New Roman"/>
    <w:panose1 w:val="00000000000000000000"/>
    <w:charset w:val="00"/>
    <w:family w:val="auto"/>
    <w:pitch w:val="default"/>
    <w:sig w:usb0="00000000" w:usb1="00000000" w:usb2="00000000" w:usb3="00000000" w:csb0="00000001" w:csb1="00000000"/>
  </w:font>
  <w:font w:name="TimesNewRoman,Bold">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国家安全生产监督管理总局发布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国家安全生产监督管理总局规章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5C03"/>
    <w:rsid w:val="0013319D"/>
    <w:rsid w:val="00172A27"/>
    <w:rsid w:val="00181CC7"/>
    <w:rsid w:val="002447BD"/>
    <w:rsid w:val="00367F94"/>
    <w:rsid w:val="00375E5C"/>
    <w:rsid w:val="00385ED7"/>
    <w:rsid w:val="003B0C57"/>
    <w:rsid w:val="004A59D7"/>
    <w:rsid w:val="0053253A"/>
    <w:rsid w:val="005F0A96"/>
    <w:rsid w:val="008B5498"/>
    <w:rsid w:val="009B279D"/>
    <w:rsid w:val="009E5D30"/>
    <w:rsid w:val="00C12C68"/>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1F874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B9FFB9"/>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1222</Words>
  <Characters>6970</Characters>
  <Lines>58</Lines>
  <Paragraphs>16</Paragraphs>
  <TotalTime>107</TotalTime>
  <ScaleCrop>false</ScaleCrop>
  <LinksUpToDate>false</LinksUpToDate>
  <CharactersWithSpaces>8176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李延璟(拟稿)</cp:lastModifiedBy>
  <cp:lastPrinted>2021-10-26T03:30:00Z</cp:lastPrinted>
  <dcterms:modified xsi:type="dcterms:W3CDTF">2021-12-23T08:32:10Z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48C61CB29D3F4D9384F5922CF0F7FFB4</vt:lpwstr>
  </property>
</Properties>
</file>