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320" w:type="dxa"/>
        <w:tblInd w:w="93" w:type="dxa"/>
        <w:shd w:val="clear"/>
        <w:tblLayout w:type="autofit"/>
        <w:tblCellMar>
          <w:top w:w="0" w:type="dxa"/>
          <w:left w:w="0" w:type="dxa"/>
          <w:bottom w:w="0" w:type="dxa"/>
          <w:right w:w="0" w:type="dxa"/>
        </w:tblCellMar>
      </w:tblPr>
      <w:tblGrid>
        <w:gridCol w:w="937"/>
        <w:gridCol w:w="2091"/>
        <w:gridCol w:w="3721"/>
        <w:gridCol w:w="1535"/>
        <w:gridCol w:w="5194"/>
        <w:gridCol w:w="1235"/>
        <w:gridCol w:w="1533"/>
        <w:gridCol w:w="74"/>
      </w:tblGrid>
      <w:tr>
        <w:tblPrEx>
          <w:shd w:val="clear"/>
          <w:tblCellMar>
            <w:top w:w="0" w:type="dxa"/>
            <w:left w:w="0" w:type="dxa"/>
            <w:bottom w:w="0" w:type="dxa"/>
            <w:right w:w="0" w:type="dxa"/>
          </w:tblCellMar>
        </w:tblPrEx>
        <w:trPr>
          <w:trHeight w:val="855" w:hRule="atLeast"/>
        </w:trPr>
        <w:tc>
          <w:tcPr>
            <w:tcW w:w="16320" w:type="dxa"/>
            <w:gridSpan w:val="7"/>
            <w:tcBorders>
              <w:top w:val="nil"/>
              <w:left w:val="nil"/>
              <w:bottom w:val="single" w:color="auto" w:sz="8" w:space="0"/>
              <w:right w:val="nil"/>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ascii="Calibri" w:hAnsi="Calibri" w:cs="Calibri"/>
                <w:sz w:val="21"/>
                <w:szCs w:val="21"/>
              </w:rPr>
            </w:pPr>
            <w:bookmarkStart w:id="0" w:name="_GoBack"/>
            <w:r>
              <w:rPr>
                <w:rFonts w:hint="eastAsia" w:ascii="宋体" w:hAnsi="宋体" w:eastAsia="宋体" w:cs="宋体"/>
                <w:b/>
                <w:color w:val="000000"/>
                <w:sz w:val="36"/>
                <w:szCs w:val="36"/>
                <w:bdr w:val="none" w:color="auto" w:sz="0" w:space="0"/>
              </w:rPr>
              <w:t>北京市朝阳区温榆河生态走廊建设管理委员会政府信息主动公开全清单</w:t>
            </w:r>
            <w:bookmarkEnd w:id="0"/>
          </w:p>
        </w:tc>
        <w:tc>
          <w:tcPr>
            <w:tcW w:w="0" w:type="auto"/>
            <w:shd w:val="clear"/>
            <w:vAlign w:val="center"/>
          </w:tcPr>
          <w:p>
            <w:pPr>
              <w:keepNext w:val="0"/>
              <w:keepLines w:val="0"/>
              <w:widowControl/>
              <w:suppressLineNumbers w:val="0"/>
              <w:spacing w:before="0" w:beforeAutospacing="0" w:after="0" w:afterAutospacing="0"/>
              <w:ind w:left="0" w:right="0"/>
              <w:jc w:val="left"/>
              <w:rPr>
                <w:rFonts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12" w:hRule="atLeast"/>
        </w:trPr>
        <w:tc>
          <w:tcPr>
            <w:tcW w:w="940" w:type="dxa"/>
            <w:vMerge w:val="restart"/>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ascii="黑体" w:hAnsi="宋体" w:eastAsia="黑体" w:cs="黑体"/>
                <w:b/>
                <w:color w:val="000000"/>
                <w:sz w:val="24"/>
                <w:szCs w:val="24"/>
                <w:bdr w:val="none" w:color="auto" w:sz="0" w:space="0"/>
              </w:rPr>
              <w:t>序号</w:t>
            </w:r>
          </w:p>
        </w:tc>
        <w:tc>
          <w:tcPr>
            <w:tcW w:w="2100" w:type="dxa"/>
            <w:vMerge w:val="restart"/>
            <w:tcBorders>
              <w:top w:val="nil"/>
              <w:left w:val="nil"/>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color w:val="000000"/>
                <w:sz w:val="24"/>
                <w:szCs w:val="24"/>
                <w:bdr w:val="none" w:color="auto" w:sz="0" w:space="0"/>
              </w:rPr>
              <w:t>具体职责</w:t>
            </w:r>
          </w:p>
        </w:tc>
        <w:tc>
          <w:tcPr>
            <w:tcW w:w="3740" w:type="dxa"/>
            <w:vMerge w:val="restart"/>
            <w:tcBorders>
              <w:top w:val="nil"/>
              <w:left w:val="nil"/>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color w:val="000000"/>
                <w:sz w:val="24"/>
                <w:szCs w:val="24"/>
                <w:bdr w:val="none" w:color="auto" w:sz="0" w:space="0"/>
              </w:rPr>
              <w:t>业务事项</w:t>
            </w:r>
          </w:p>
        </w:tc>
        <w:tc>
          <w:tcPr>
            <w:tcW w:w="1540" w:type="dxa"/>
            <w:vMerge w:val="restart"/>
            <w:tcBorders>
              <w:top w:val="nil"/>
              <w:left w:val="nil"/>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color w:val="000000"/>
                <w:sz w:val="24"/>
                <w:szCs w:val="24"/>
                <w:bdr w:val="none" w:color="auto" w:sz="0" w:space="0"/>
              </w:rPr>
              <w:t>信息类别</w:t>
            </w:r>
          </w:p>
        </w:tc>
        <w:tc>
          <w:tcPr>
            <w:tcW w:w="5220" w:type="dxa"/>
            <w:vMerge w:val="restart"/>
            <w:tcBorders>
              <w:top w:val="nil"/>
              <w:left w:val="nil"/>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color w:val="000000"/>
                <w:sz w:val="24"/>
                <w:szCs w:val="24"/>
                <w:bdr w:val="none" w:color="auto" w:sz="0" w:space="0"/>
              </w:rPr>
              <w:t>内容标准</w:t>
            </w:r>
          </w:p>
        </w:tc>
        <w:tc>
          <w:tcPr>
            <w:tcW w:w="1240" w:type="dxa"/>
            <w:vMerge w:val="restart"/>
            <w:tcBorders>
              <w:top w:val="nil"/>
              <w:left w:val="nil"/>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color w:val="000000"/>
                <w:sz w:val="24"/>
                <w:szCs w:val="24"/>
                <w:bdr w:val="none" w:color="auto" w:sz="0" w:space="0"/>
              </w:rPr>
              <w:t>公开时限</w:t>
            </w:r>
          </w:p>
        </w:tc>
        <w:tc>
          <w:tcPr>
            <w:tcW w:w="1540" w:type="dxa"/>
            <w:vMerge w:val="restart"/>
            <w:tcBorders>
              <w:top w:val="nil"/>
              <w:left w:val="nil"/>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color w:val="000000"/>
                <w:sz w:val="24"/>
                <w:szCs w:val="24"/>
                <w:bdr w:val="none" w:color="auto" w:sz="0" w:space="0"/>
              </w:rPr>
              <w:t>公开形式</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12" w:hRule="atLeast"/>
        </w:trPr>
        <w:tc>
          <w:tcPr>
            <w:tcW w:w="940" w:type="dxa"/>
            <w:vMerge w:val="continue"/>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jc w:val="left"/>
              <w:rPr>
                <w:rFonts w:hint="eastAsia" w:ascii="微软雅黑" w:hAnsi="微软雅黑" w:eastAsia="微软雅黑" w:cs="微软雅黑"/>
                <w:sz w:val="21"/>
                <w:szCs w:val="21"/>
              </w:rPr>
            </w:pPr>
          </w:p>
        </w:tc>
        <w:tc>
          <w:tcPr>
            <w:tcW w:w="2100" w:type="dxa"/>
            <w:vMerge w:val="continue"/>
            <w:tcBorders>
              <w:top w:val="nil"/>
              <w:left w:val="nil"/>
              <w:bottom w:val="single" w:color="auto" w:sz="8" w:space="0"/>
              <w:right w:val="single" w:color="auto" w:sz="8" w:space="0"/>
            </w:tcBorders>
            <w:shd w:val="clear" w:color="auto" w:fill="D9D9D9"/>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color="auto" w:fill="D9D9D9"/>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vMerge w:val="continue"/>
            <w:tcBorders>
              <w:top w:val="nil"/>
              <w:left w:val="nil"/>
              <w:bottom w:val="single" w:color="auto" w:sz="8" w:space="0"/>
              <w:right w:val="single" w:color="auto" w:sz="8" w:space="0"/>
            </w:tcBorders>
            <w:shd w:val="clear" w:color="auto" w:fill="D9D9D9"/>
            <w:tcMar>
              <w:left w:w="108" w:type="dxa"/>
              <w:right w:w="108" w:type="dxa"/>
            </w:tcMar>
            <w:vAlign w:val="center"/>
          </w:tcPr>
          <w:p>
            <w:pPr>
              <w:jc w:val="left"/>
              <w:rPr>
                <w:rFonts w:hint="eastAsia" w:ascii="微软雅黑" w:hAnsi="微软雅黑" w:eastAsia="微软雅黑" w:cs="微软雅黑"/>
                <w:sz w:val="21"/>
                <w:szCs w:val="21"/>
              </w:rPr>
            </w:pPr>
          </w:p>
        </w:tc>
        <w:tc>
          <w:tcPr>
            <w:tcW w:w="5220" w:type="dxa"/>
            <w:vMerge w:val="continue"/>
            <w:tcBorders>
              <w:top w:val="nil"/>
              <w:left w:val="nil"/>
              <w:bottom w:val="single" w:color="auto" w:sz="8" w:space="0"/>
              <w:right w:val="single" w:color="auto" w:sz="8" w:space="0"/>
            </w:tcBorders>
            <w:shd w:val="clear" w:color="auto" w:fill="D9D9D9"/>
            <w:tcMar>
              <w:left w:w="108" w:type="dxa"/>
              <w:right w:w="108" w:type="dxa"/>
            </w:tcMar>
            <w:vAlign w:val="center"/>
          </w:tcPr>
          <w:p>
            <w:pPr>
              <w:jc w:val="left"/>
              <w:rPr>
                <w:rFonts w:hint="eastAsia" w:ascii="微软雅黑" w:hAnsi="微软雅黑" w:eastAsia="微软雅黑" w:cs="微软雅黑"/>
                <w:sz w:val="21"/>
                <w:szCs w:val="21"/>
              </w:rPr>
            </w:pPr>
          </w:p>
        </w:tc>
        <w:tc>
          <w:tcPr>
            <w:tcW w:w="1240" w:type="dxa"/>
            <w:vMerge w:val="continue"/>
            <w:tcBorders>
              <w:top w:val="nil"/>
              <w:left w:val="nil"/>
              <w:bottom w:val="single" w:color="auto" w:sz="8" w:space="0"/>
              <w:right w:val="single" w:color="auto" w:sz="8" w:space="0"/>
            </w:tcBorders>
            <w:shd w:val="clear" w:color="auto" w:fill="D9D9D9"/>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vMerge w:val="continue"/>
            <w:tcBorders>
              <w:top w:val="nil"/>
              <w:left w:val="nil"/>
              <w:bottom w:val="single" w:color="auto" w:sz="8" w:space="0"/>
              <w:right w:val="single" w:color="auto" w:sz="8" w:space="0"/>
            </w:tcBorders>
            <w:shd w:val="clear" w:color="auto" w:fill="D9D9D9"/>
            <w:tcMar>
              <w:left w:w="108" w:type="dxa"/>
              <w:right w:w="108" w:type="dxa"/>
            </w:tcMar>
            <w:vAlign w:val="center"/>
          </w:tcPr>
          <w:p>
            <w:pPr>
              <w:jc w:val="left"/>
              <w:rPr>
                <w:rFonts w:hint="eastAsia" w:ascii="微软雅黑" w:hAnsi="微软雅黑" w:eastAsia="微软雅黑" w:cs="微软雅黑"/>
                <w:sz w:val="21"/>
                <w:szCs w:val="21"/>
              </w:rPr>
            </w:pP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189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ascii="仿宋" w:hAnsi="仿宋" w:eastAsia="仿宋" w:cs="仿宋"/>
                <w:color w:val="000000"/>
                <w:sz w:val="22"/>
                <w:szCs w:val="22"/>
                <w:bdr w:val="none" w:color="auto" w:sz="0" w:space="0"/>
              </w:rPr>
              <w:t>1</w:t>
            </w:r>
          </w:p>
        </w:tc>
        <w:tc>
          <w:tcPr>
            <w:tcW w:w="21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负责机关公务工作</w:t>
            </w:r>
          </w:p>
        </w:tc>
        <w:tc>
          <w:tcPr>
            <w:tcW w:w="374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负责机关文电、会务、机要、档案等工作；承担机关信息、信访、议案、建议、提案、安全保密和信息公开工作；承担重要事项的组织和督查工作；负责机关及所属事业单位党群、人事和财务管理工作；负责落实温榆河地区建设发展工作决策机制、审议规则、市场准入条件和会商机制；负责组织对外宣传和招商引资工作</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机构信息（基本信息）</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2"/>
                <w:szCs w:val="22"/>
                <w:bdr w:val="none" w:color="auto" w:sz="0" w:space="0"/>
              </w:rPr>
              <w:t>【机构名称】【联系方式】办公地址、网址、办公电话、传真、电子邮箱、通信地址、邮政编码</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【咨询服务】咨询方式、受理时间、受理部门、联系电话</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【监督投诉】投诉方式、受理部门、受理时间、联系电话、通讯地址、邮政编码、电子邮箱、程序标准</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15个工作日内公开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政府网站专题集中公开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2</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机构信息（法定职责）</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2"/>
                <w:szCs w:val="22"/>
                <w:bdr w:val="none" w:color="auto" w:sz="0" w:space="0"/>
              </w:rPr>
              <w:t>依据“三定”方案及职责调整情况确定的本部门最新法定职责</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15个工作日内公开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政府网站专题集中公开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135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3</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机构信息（领导简历）</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2"/>
                <w:szCs w:val="22"/>
                <w:bdr w:val="none" w:color="auto" w:sz="0" w:space="0"/>
              </w:rPr>
              <w:t>【基本信息】领导姓名、职务</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【个人基本信息】出生年份、性别、民族、籍贯、学历背景、职称</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【工作分工】</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【标准工作照】近期1寸彩色浅底免冠照片</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15个工作日内公开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政府网站专题集中公开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135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4</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机构信息（所属机构）</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2"/>
                <w:szCs w:val="22"/>
                <w:bdr w:val="none" w:color="auto" w:sz="0" w:space="0"/>
              </w:rPr>
              <w:t>【单位名称】</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【单位类别】</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【单位职责】</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【联系方式】办公地址、网址、办公电话、传真、电子邮箱、通信地址、邮政编码</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15个工作日内公开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政府网站专题集中公开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21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5</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预决算（部门预算）</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2"/>
                <w:szCs w:val="22"/>
                <w:bdr w:val="none" w:color="auto" w:sz="0" w:space="0"/>
              </w:rPr>
              <w:t>【部门预算公开】</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基本情况（机构设置和工作职责）</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收入及支出总体情况</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主要支出情况</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《收支预算总表》</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《财政拨款支出预算表》</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《财政拨款基本支出经济分类预算表》</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公开要求：除涉密信息外，所有使用财政拨款的部门和单位都应当公开部门预算。各部门将经本级财政部门批复的部门预算及报表全部公开。除涉密信息外，财政拨款支出按功能分类细化公开至项级科目、基本支出按经济分类细化公开至款级科目。</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【部门“三公”经费预算公开】</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单位范围</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预算安排情况</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增减变化原因说明</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《“三公”经费财政拨款预算表》（包括总额和分项数额）</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【其他事项公开】</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机关运行经费</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行政事业性收费重点项目信息</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绩效信息</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部门预算经本级财政部门批复后20日内公开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政府网站专题集中公开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819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6</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预决算（部门决算）</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0"/>
                <w:szCs w:val="20"/>
                <w:bdr w:val="none" w:color="auto" w:sz="0" w:space="0"/>
              </w:rPr>
              <w:t>【部门决算公开】</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基本情况（部门职责和决算单位构成）</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收入支出决算总体情况</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一般公共预算财政拨款支出决算情况</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政府性基金预算财政拨款支出决算情况</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财政拨款基本支出经济分类决算情况</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《收入支出决算总表》</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《收入决算表》</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《支出决算表》</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《财政拨款收入支出决算总表》</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《一般公共预算财政拨款支出决算表》</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《政府性基金预算财政拨款支出决算表》</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《财政拨款基本支出经济分类决算表》</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公开要求：除涉密信息外，所有使用财政拨款的部门和单位都应当公开部门决算。各部门将经本级财政部门批复的部门决算及报表全部公开。除涉密信息外，财政拨款支出按功能分类细化公开至项级科目、基本支出按经济分类细化公开至款级科目。</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【部门“三公”经费决算公开】</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单位范围</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支出口径</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决算情况</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增减变化原因说明</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出国（境）团组数及人数</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公务用车购置数及保有量</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国内公务接待的批次及人数</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《“三公”经费财政拨款支出决算表》（包括总额和分项数额）</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【其他事项公开】</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政府采购信息</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机关运行经费</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行政事业性收费重点项目信息</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绩效信息</w:t>
            </w:r>
            <w:r>
              <w:rPr>
                <w:rFonts w:hint="eastAsia" w:ascii="仿宋" w:hAnsi="仿宋" w:eastAsia="仿宋" w:cs="仿宋"/>
                <w:color w:val="000000"/>
                <w:sz w:val="20"/>
                <w:szCs w:val="20"/>
                <w:bdr w:val="none" w:color="auto" w:sz="0" w:space="0"/>
              </w:rPr>
              <w:br w:type="textWrapping"/>
            </w:r>
            <w:r>
              <w:rPr>
                <w:rFonts w:hint="eastAsia" w:ascii="仿宋" w:hAnsi="仿宋" w:eastAsia="仿宋" w:cs="仿宋"/>
                <w:color w:val="000000"/>
                <w:sz w:val="20"/>
                <w:szCs w:val="20"/>
                <w:bdr w:val="none" w:color="auto" w:sz="0" w:space="0"/>
              </w:rPr>
              <w:t>　　　国有资产占有使用情况</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部门预算经本级财政部门批复后20日内公开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政府网站专题集中公开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525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7</w:t>
            </w:r>
          </w:p>
        </w:tc>
        <w:tc>
          <w:tcPr>
            <w:tcW w:w="21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负责定制温榆河地区中长期发展规划和相关政策，并组织实施</w:t>
            </w:r>
          </w:p>
        </w:tc>
        <w:tc>
          <w:tcPr>
            <w:tcW w:w="374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负责制定温榆河地区生态环境建设规划和土地利用计划；负责制定温榆河地区产业促进等问题的调研，并提出对策建议；负责研究温榆河地区的财政、金融运行态势、分析税源状况及变化</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政府采购招标公告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【采购编号】</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【项目名称】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【招标范围及形式】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【预算资金】</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【采购人名称】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【采购人地址】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【联系电话】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【采购项目的名称、数量、简要规格描述或项目基本概况介绍】</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【采购用途】</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【对投标人的资格要求】</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【评标方法和标准】</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【获取招标文件的时间、地点、方式及招标文件售价】</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【询标、踏勘时间】</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【询标、踏勘地点】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【询标内容】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【投标截止时间、开标时间】</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【投标、开标地点】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【注意事项】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【采购代理机构全称】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【采购代理机构地址】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【项目负责人】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【联系电话、传真电话】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【网　　址】</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北京市公共资源交易公共服务平台等发布依法必须招标项目招标公告的政府指定媒介</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273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8</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政府采购资格预审公告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【项目名称】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【招标人名称】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【采购代理机构联系人】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【资格预审公告日期】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【资格预审结果确认日期】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【资格预审结果】</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【评标委员会成员名单】</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【公告发布日期】</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北京市公共资源交易公共服务平台等发布依法必须招标项目招标公告的政府指定媒介</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546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9</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招标公告（资格预审 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【项目单位】</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【招标内容】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【投标申请人资格要求】</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【投标申请人需提交资料】</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【投标报名时间】</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【招标文件（资格预审文件）购买时间】</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【招标文件（资格预审文件）售价】</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【招标文件（资格预审文件）购买地点】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【投标文件（资格预审申请文件）提交截止时间】</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【招标人联系方式】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地　　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电　　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传　　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件</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地　　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电　　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传　　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件</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【批复文号】</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北京市公共资源交易公共服务平台等发布依法必须招标项目招标公告的政府指定媒介</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99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10</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招标公告（资格预审 公告）变更、撤销等公告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【项目单位】</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【项目名称】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【公告内容】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【招标人联系方式】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地　　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电　　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传　　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件</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地　　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电　　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传　　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件</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【批复文号】</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北京市公共资源交易公共服务平台等发布依法必须招标项目招标公告的政府指定媒介</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210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11</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中标候选人公示</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【项目单位】</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【项目名称】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【建设地点】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【中标候选人名单】</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【公示日期】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电　　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【批复文号】</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北京市公共资源交易公共服务平台等发布依法必须招标项目招标公告的政府指定媒介</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189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12</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中标结果公告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【项目单位】</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【项目名称】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【中标单位】</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电　　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【批复文号】</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北京市公共资源交易公共服务平台等发布依法必须招标项目招标公告的政府指定媒介</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546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13</w:t>
            </w:r>
          </w:p>
        </w:tc>
        <w:tc>
          <w:tcPr>
            <w:tcW w:w="21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负责编制温榆河地区总体规划、控制性详细规划，以及交通、市政、产业、生态等各专项规划，制定地区市政基础设施建设计划，并组织实施</w:t>
            </w:r>
          </w:p>
        </w:tc>
        <w:tc>
          <w:tcPr>
            <w:tcW w:w="374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负责温榆河地区开发建设项目的初审、报批、统计等工作；负责研究提出温榆河地区拟启动项目的可行性分析报告，协调开发建设项目配套设施的规划工作；负责建设项目规划落实情况的监督管理工作；负责协调温榆河地区土地规划、土地储备和土地一级开发等工作；负责协调温榆河地区建设项目的征地、拆迁、转工、转居工作</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招标公告（资格预审 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【项目单位】</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【招标内容】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【投标申请人资格要求】</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【投标申请人需提交资料】</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【投标报名时间】</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【招标文件（资格预审文件）购买时间】</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【招标文件（资格预审文件）售价】</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【招标文件（资格预审文件）购买地点】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【投标文件（资格预审申请文件）提交截止时间】</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【招标人联系方式】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地　　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电　　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传　　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件</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地　　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电　　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传　　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件</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【批复文号】</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北京市公共资源交易公共服务平台等发布依法必须招标项目招标公告的政府指定媒介</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798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14</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招标公告（资格预审 公告）变更、撤销等公告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【项目单位】</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【项目名称】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【公告内容】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【招标人联系方式】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地　　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电　　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传　　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件</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地　　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电　　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传　　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件</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【批复文号】</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【项目单位】</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【项目名称】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【公告内容】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【招标人联系方式】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地　　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电　　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传　　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件</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地　　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电　　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传　　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　　　邮　　件</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【批复文号】</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北京市公共资源交易公共服务平台等发布依法必须招标项目招标公告的政府指定媒介</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270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15</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中标候选人公示</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2"/>
                <w:szCs w:val="22"/>
                <w:bdr w:val="none" w:color="auto" w:sz="0" w:space="0"/>
              </w:rPr>
              <w:t>【项目单位】</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【招标代理机构】</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【项目名称】</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【建设地点】</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【中标候选人名单】</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【公示日期】</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【招标代理机构】</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联 系 人</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电　　话</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【批复文号】</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北京市公共资源交易公共服务平台等发布依法必须招标项目招标公告的政府指定媒介</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216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16</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中标结果公告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2"/>
                <w:szCs w:val="22"/>
                <w:bdr w:val="none" w:color="auto" w:sz="0" w:space="0"/>
              </w:rPr>
              <w:t>【项目单位】</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【招标代理机构】</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【项目名称】</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【中标单位】</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【联系方式】</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联 系 人</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　　　电　　话</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【批复文号】</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北京市公共资源交易公共服务平台等发布依法必须招标项目招标公告的政府指定媒介</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525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17</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政府采购招标公告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【采购编号】</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【项目名称】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【招标范围及形式】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【预算资金】</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【采购人名称】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【采购人地址】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【联系电话】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【采购项目的名称、数量、简要规格描述或项目基本概况介绍】</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【采购用途】</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【对投标人的资格要求】</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【评标方法和标准】</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【获取招标文件的时间、地点、方式及招标文件售价】</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【询标、踏勘时间】</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【询标、踏勘地点】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【询标内容】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【投标截止时间、开标时间】</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【投标、开标地点】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【注意事项】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【采购代理机构全称】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【采购代理机构地址】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【项目负责人】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【联系电话、传真电话】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【网　　址】</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434343"/>
                <w:sz w:val="22"/>
                <w:szCs w:val="22"/>
                <w:bdr w:val="none" w:color="auto" w:sz="0" w:space="0"/>
              </w:rPr>
              <w:t>政府网站专题集中公开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231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18</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政府采购资格预审公告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【项目名称】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【招标人名称】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【采购代理机构联系人】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【资格预审公告日期】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【资格预审结果确认日期】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【资格预审结果】</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【评标委员会成员名单】</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【招标代理机构】</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【公告发布日期】</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政府网站专题集中公开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86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19</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政府采购更正公告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2"/>
                <w:szCs w:val="22"/>
                <w:bdr w:val="none" w:color="auto" w:sz="0" w:space="0"/>
              </w:rPr>
              <w:t>【采购编号】</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【项目名称】</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【采购人名称】</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【采购人地址】</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【联 系 人】</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【联系电话】</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【采购代理机构全称】</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【采购代理机构地址】</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【邮　　编】</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【首次公告日期】</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【更正说明理由】</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【更正事项】</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【投标、开标地点】</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【项目负责人】</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【联系电话】</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【传真电话】</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【注意事项】</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【回执信息】</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政府网站专题集中公开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20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20</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政府采购单一来源公示</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【采购人名称】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【采购项目名称】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【采购项目内容】</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【拟采购货物或服务的说明及预算金额】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【采用单一来源采购方式的原因及相关说明】</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【拟定的唯一供应商名称】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【撰写的唯一供应商地址】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【专业人员具体论证意见】</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【专业人员姓名、单位及职称】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【公示期限】</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【采购人名称】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【采购人地址】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【采购人联系人】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【采购人联系电话】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【采购代理机构地址】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【采购代理机构联系人】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【采购代理机构联系方式】</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【财政部门联系地址】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【财政部门联系人及电话】</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政府网站专题集中公开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78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21</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政府采购中标公告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【采购编号】</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【项目名称】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【采购人名称】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【采购人地址】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【联 系 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【联系电话】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【采购代理机构全称】</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【采购代理机构地址】</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【邮　　编】</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【中标或成交供应商名称、规格型号、数量、单价、服务要求或标的基本概况】</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【合同履行日期】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【招标公告日期】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【定标日期】</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【评标委员会成员名单】</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【项目负责人】</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【联系电话】</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【传真电话】</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政府网站专题集中公开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05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22</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政府采购合同公告</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2"/>
                <w:szCs w:val="22"/>
                <w:bdr w:val="none" w:color="auto" w:sz="0" w:space="0"/>
              </w:rPr>
              <w:t>【采购人名称】</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【采购人地址】</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【采购人联系方式】</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【采购代理机构全称】</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【采购代理机构地址】</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【采购代理机构联系方式】</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【采购项目名称】</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【招标编号】</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【采购方式】</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【成交供应商名称】</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【成交金额】</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【项目联系人】</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【联系电话】</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【传真】</w:t>
            </w:r>
            <w:r>
              <w:rPr>
                <w:rFonts w:hint="eastAsia" w:ascii="仿宋" w:hAnsi="仿宋" w:eastAsia="仿宋" w:cs="仿宋"/>
                <w:color w:val="000000"/>
                <w:sz w:val="22"/>
                <w:szCs w:val="22"/>
                <w:bdr w:val="none" w:color="auto" w:sz="0" w:space="0"/>
              </w:rPr>
              <w:br w:type="textWrapping"/>
            </w:r>
            <w:r>
              <w:rPr>
                <w:rFonts w:hint="eastAsia" w:ascii="仿宋" w:hAnsi="仿宋" w:eastAsia="仿宋" w:cs="仿宋"/>
                <w:color w:val="000000"/>
                <w:sz w:val="22"/>
                <w:szCs w:val="22"/>
                <w:bdr w:val="none" w:color="auto" w:sz="0" w:space="0"/>
              </w:rPr>
              <w:t>【合同内容全文】</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政府网站专题集中公开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780" w:hRule="atLeast"/>
        </w:trPr>
        <w:tc>
          <w:tcPr>
            <w:tcW w:w="94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23</w:t>
            </w: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374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eastAsia" w:ascii="微软雅黑" w:hAnsi="微软雅黑" w:eastAsia="微软雅黑" w:cs="微软雅黑"/>
                <w:sz w:val="21"/>
                <w:szCs w:val="21"/>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政府采购目录</w:t>
            </w:r>
          </w:p>
        </w:tc>
        <w:tc>
          <w:tcPr>
            <w:tcW w:w="52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16"/>
                <w:szCs w:val="16"/>
                <w:bdr w:val="none" w:color="auto" w:sz="0" w:space="0"/>
              </w:rPr>
              <w:t>【会议定点综合查询】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【办公设备综合查询】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【办公家具定点综合查询】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【车辆定点购置综合查询】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【车辆租赁定点综合查询】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【车辆定点维修综合查询】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【车辆加油综合查询】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【车辆保险综合查询】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【通用软件综合查询】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【物业服务定点综合查询】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【互联网接入综合查询】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【印刷定点综合查询】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【人寿保险服务综合查询】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【法律服务（律师事务所）综合查询】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【会计审计服务综合查询】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【法律服务(公证机构）综合查询】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【资产评估服务综合查询】</w:t>
            </w:r>
            <w:r>
              <w:rPr>
                <w:rFonts w:hint="eastAsia" w:ascii="仿宋" w:hAnsi="仿宋" w:eastAsia="仿宋" w:cs="仿宋"/>
                <w:color w:val="000000"/>
                <w:sz w:val="16"/>
                <w:szCs w:val="16"/>
                <w:bdr w:val="none" w:color="auto" w:sz="0" w:space="0"/>
              </w:rPr>
              <w:br w:type="textWrapping"/>
            </w:r>
            <w:r>
              <w:rPr>
                <w:rFonts w:hint="eastAsia" w:ascii="仿宋" w:hAnsi="仿宋" w:eastAsia="仿宋" w:cs="仿宋"/>
                <w:color w:val="000000"/>
                <w:sz w:val="16"/>
                <w:szCs w:val="16"/>
                <w:bdr w:val="none" w:color="auto" w:sz="0" w:space="0"/>
              </w:rPr>
              <w:t>【中小企业融资贷款信用担保服务平台】</w:t>
            </w:r>
          </w:p>
        </w:tc>
        <w:tc>
          <w:tcPr>
            <w:tcW w:w="12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实时公开</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22"/>
                <w:szCs w:val="22"/>
                <w:bdr w:val="none" w:color="auto" w:sz="0" w:space="0"/>
              </w:rPr>
              <w:t>政府网站数据查询公开</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582" w:hRule="atLeast"/>
        </w:trPr>
        <w:tc>
          <w:tcPr>
            <w:tcW w:w="16320" w:type="dxa"/>
            <w:gridSpan w:val="7"/>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 </w:t>
            </w:r>
          </w:p>
        </w:tc>
      </w:tr>
    </w:tbl>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A21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dr w:val="none" w:color="auto" w:sz="0" w:space="0"/>
    </w:rPr>
  </w:style>
  <w:style w:type="character" w:styleId="6">
    <w:name w:val="FollowedHyperlink"/>
    <w:basedOn w:val="4"/>
    <w:uiPriority w:val="0"/>
    <w:rPr>
      <w:color w:val="404040"/>
      <w:u w:val="none"/>
      <w:bdr w:val="none" w:color="auto" w:sz="0" w:space="0"/>
    </w:rPr>
  </w:style>
  <w:style w:type="character" w:styleId="7">
    <w:name w:val="Emphasis"/>
    <w:basedOn w:val="4"/>
    <w:qFormat/>
    <w:uiPriority w:val="0"/>
    <w:rPr>
      <w:bdr w:val="none" w:color="auto" w:sz="0" w:space="0"/>
    </w:rPr>
  </w:style>
  <w:style w:type="character" w:styleId="8">
    <w:name w:val="HTML Variable"/>
    <w:basedOn w:val="4"/>
    <w:uiPriority w:val="0"/>
    <w:rPr>
      <w:bdr w:val="none" w:color="auto" w:sz="0" w:space="0"/>
    </w:rPr>
  </w:style>
  <w:style w:type="character" w:styleId="9">
    <w:name w:val="Hyperlink"/>
    <w:basedOn w:val="4"/>
    <w:uiPriority w:val="0"/>
    <w:rPr>
      <w:color w:val="404040"/>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2021-11-08T06:20:37Z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