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C5068">
      <w:pPr>
        <w:adjustRightInd w:val="0"/>
        <w:snapToGrid w:val="0"/>
        <w:jc w:val="center"/>
        <w:rPr>
          <w:rFonts w:ascii="宋体" w:hAnsi="宋体"/>
          <w:b/>
          <w:sz w:val="44"/>
          <w:szCs w:val="44"/>
        </w:rPr>
      </w:pPr>
      <w:r>
        <w:rPr>
          <w:rFonts w:hint="eastAsia" w:ascii="宋体" w:hAnsi="宋体"/>
          <w:b/>
          <w:sz w:val="44"/>
          <w:szCs w:val="44"/>
        </w:rPr>
        <w:t>劳动工资202</w:t>
      </w:r>
      <w:r>
        <w:rPr>
          <w:rFonts w:hint="eastAsia" w:ascii="宋体" w:hAnsi="宋体"/>
          <w:b/>
          <w:sz w:val="44"/>
          <w:szCs w:val="44"/>
          <w:lang w:val="en-US" w:eastAsia="zh-CN"/>
        </w:rPr>
        <w:t>4</w:t>
      </w:r>
      <w:r>
        <w:rPr>
          <w:rFonts w:hint="eastAsia" w:ascii="宋体" w:hAnsi="宋体"/>
          <w:b/>
          <w:sz w:val="44"/>
          <w:szCs w:val="44"/>
        </w:rPr>
        <w:t>年年报和202</w:t>
      </w:r>
      <w:r>
        <w:rPr>
          <w:rFonts w:hint="eastAsia" w:ascii="宋体" w:hAnsi="宋体"/>
          <w:b/>
          <w:sz w:val="44"/>
          <w:szCs w:val="44"/>
          <w:lang w:val="en-US" w:eastAsia="zh-CN"/>
        </w:rPr>
        <w:t>5</w:t>
      </w:r>
      <w:r>
        <w:rPr>
          <w:rFonts w:hint="eastAsia" w:ascii="宋体" w:hAnsi="宋体"/>
          <w:b/>
          <w:sz w:val="44"/>
          <w:szCs w:val="44"/>
        </w:rPr>
        <w:t>年定报</w:t>
      </w:r>
    </w:p>
    <w:p w14:paraId="21A3B013">
      <w:pPr>
        <w:adjustRightInd w:val="0"/>
        <w:snapToGrid w:val="0"/>
        <w:jc w:val="center"/>
        <w:rPr>
          <w:rFonts w:hint="eastAsia" w:ascii="宋体" w:hAnsi="宋体"/>
          <w:b/>
          <w:sz w:val="44"/>
          <w:szCs w:val="44"/>
        </w:rPr>
      </w:pPr>
      <w:r>
        <w:rPr>
          <w:rFonts w:hint="eastAsia"/>
          <w:b/>
          <w:color w:val="000000"/>
          <w:sz w:val="44"/>
          <w:szCs w:val="44"/>
        </w:rPr>
        <w:t>统计报表</w:t>
      </w:r>
      <w:r>
        <w:rPr>
          <w:rFonts w:hint="eastAsia" w:ascii="宋体" w:hAnsi="宋体"/>
          <w:b/>
          <w:sz w:val="44"/>
          <w:szCs w:val="44"/>
        </w:rPr>
        <w:t>填报要点</w:t>
      </w:r>
    </w:p>
    <w:p w14:paraId="196129FF">
      <w:pPr>
        <w:pStyle w:val="2"/>
        <w:rPr>
          <w:rFonts w:hint="eastAsia" w:ascii="宋体" w:hAnsi="宋体"/>
          <w:b/>
          <w:sz w:val="44"/>
          <w:szCs w:val="44"/>
          <w:lang w:eastAsia="zh-CN"/>
        </w:rPr>
      </w:pPr>
    </w:p>
    <w:p w14:paraId="103B3084">
      <w:pPr>
        <w:rPr>
          <w:rFonts w:ascii="宋体" w:hAnsi="宋体"/>
        </w:rPr>
      </w:pPr>
    </w:p>
    <w:p w14:paraId="0082965A">
      <w:pPr>
        <w:adjustRightInd w:val="0"/>
        <w:snapToGrid w:val="0"/>
        <w:spacing w:line="360" w:lineRule="auto"/>
        <w:outlineLvl w:val="0"/>
        <w:rPr>
          <w:rFonts w:ascii="宋体" w:hAnsi="宋体"/>
          <w:b/>
          <w:bCs/>
          <w:color w:val="000000"/>
          <w:sz w:val="28"/>
          <w:szCs w:val="28"/>
        </w:rPr>
      </w:pPr>
      <w:r>
        <w:rPr>
          <w:rFonts w:hint="eastAsia" w:ascii="宋体" w:hAnsi="宋体"/>
          <w:b/>
          <w:bCs/>
          <w:color w:val="000000"/>
          <w:sz w:val="28"/>
          <w:szCs w:val="28"/>
          <w:lang w:eastAsia="zh-CN"/>
        </w:rPr>
        <w:t>一、</w:t>
      </w:r>
      <w:r>
        <w:rPr>
          <w:rFonts w:hint="eastAsia" w:ascii="宋体" w:hAnsi="宋体"/>
          <w:b/>
          <w:bCs/>
          <w:color w:val="000000"/>
          <w:sz w:val="28"/>
          <w:szCs w:val="28"/>
        </w:rPr>
        <w:t>主要变化</w:t>
      </w:r>
    </w:p>
    <w:p w14:paraId="3DB128E2">
      <w:pPr>
        <w:spacing w:line="400" w:lineRule="exact"/>
        <w:ind w:firstLine="482" w:firstLineChars="200"/>
        <w:rPr>
          <w:rFonts w:hint="eastAsia" w:ascii="宋体" w:hAnsi="宋体"/>
          <w:b/>
          <w:bCs/>
          <w:sz w:val="24"/>
          <w:szCs w:val="24"/>
        </w:rPr>
      </w:pPr>
      <w:r>
        <w:rPr>
          <w:rFonts w:hint="eastAsia" w:ascii="宋体" w:hAnsi="宋体"/>
          <w:b/>
          <w:bCs/>
          <w:sz w:val="24"/>
          <w:szCs w:val="24"/>
        </w:rPr>
        <w:t>（一）年报</w:t>
      </w:r>
    </w:p>
    <w:p w14:paraId="729182D7">
      <w:pPr>
        <w:adjustRightInd w:val="0"/>
        <w:snapToGrid w:val="0"/>
        <w:spacing w:line="360" w:lineRule="auto"/>
        <w:ind w:firstLine="470" w:firstLineChars="196"/>
        <w:rPr>
          <w:rFonts w:hint="eastAsia" w:ascii="宋体" w:hAnsi="宋体"/>
          <w:color w:val="000000"/>
          <w:sz w:val="24"/>
        </w:rPr>
      </w:pPr>
      <w:r>
        <w:rPr>
          <w:rFonts w:hint="eastAsia" w:ascii="宋体" w:hAnsi="宋体"/>
          <w:color w:val="000000"/>
          <w:sz w:val="24"/>
        </w:rPr>
        <w:t>1.增加《从业人员及工资总额》（I102-3表）。</w:t>
      </w:r>
    </w:p>
    <w:p w14:paraId="0079DACE">
      <w:pPr>
        <w:adjustRightInd w:val="0"/>
        <w:snapToGrid w:val="0"/>
        <w:spacing w:line="360" w:lineRule="auto"/>
        <w:ind w:firstLine="470" w:firstLineChars="196"/>
        <w:rPr>
          <w:rFonts w:hint="eastAsia" w:ascii="宋体" w:hAnsi="宋体"/>
          <w:color w:val="000000"/>
          <w:sz w:val="24"/>
          <w:lang w:val="en-US" w:eastAsia="zh-CN"/>
        </w:rPr>
      </w:pPr>
      <w:r>
        <w:rPr>
          <w:rFonts w:hint="eastAsia" w:ascii="宋体" w:hAnsi="宋体"/>
          <w:color w:val="000000"/>
          <w:sz w:val="24"/>
          <w:lang w:val="en-US" w:eastAsia="zh-CN"/>
        </w:rPr>
        <w:t>2.</w:t>
      </w:r>
      <w:r>
        <w:rPr>
          <w:rFonts w:hint="eastAsia" w:ascii="宋体" w:hAnsi="宋体"/>
          <w:color w:val="000000"/>
          <w:sz w:val="24"/>
        </w:rPr>
        <w:t>《从业人员及工资总额》（</w:t>
      </w:r>
      <w:r>
        <w:rPr>
          <w:rFonts w:hint="eastAsia" w:ascii="宋体" w:hAnsi="宋体"/>
          <w:color w:val="000000"/>
          <w:sz w:val="24"/>
          <w:lang w:val="en-US" w:eastAsia="zh-CN"/>
        </w:rPr>
        <w:t>I1</w:t>
      </w:r>
      <w:r>
        <w:rPr>
          <w:rFonts w:hint="eastAsia" w:ascii="宋体" w:hAnsi="宋体"/>
          <w:color w:val="000000"/>
          <w:sz w:val="24"/>
        </w:rPr>
        <w:t>02-</w:t>
      </w:r>
      <w:r>
        <w:rPr>
          <w:rFonts w:hint="eastAsia" w:ascii="宋体" w:hAnsi="宋体"/>
          <w:color w:val="000000"/>
          <w:sz w:val="24"/>
          <w:lang w:val="en-US" w:eastAsia="zh-CN"/>
        </w:rPr>
        <w:t>2</w:t>
      </w:r>
      <w:r>
        <w:rPr>
          <w:rFonts w:hint="eastAsia" w:ascii="宋体" w:hAnsi="宋体"/>
          <w:color w:val="000000"/>
          <w:sz w:val="24"/>
        </w:rPr>
        <w:t>表）</w:t>
      </w:r>
      <w:r>
        <w:rPr>
          <w:rFonts w:hint="eastAsia" w:ascii="宋体" w:hAnsi="宋体"/>
          <w:color w:val="000000"/>
          <w:sz w:val="24"/>
          <w:lang w:eastAsia="zh-CN"/>
        </w:rPr>
        <w:t>填报范围不再包括机关、事业法人单位。</w:t>
      </w:r>
    </w:p>
    <w:p w14:paraId="3AD06438">
      <w:pPr>
        <w:spacing w:line="400" w:lineRule="exact"/>
        <w:ind w:firstLine="482" w:firstLineChars="200"/>
        <w:rPr>
          <w:rFonts w:hint="eastAsia" w:ascii="宋体" w:hAnsi="宋体"/>
          <w:b/>
          <w:bCs/>
          <w:sz w:val="24"/>
          <w:szCs w:val="24"/>
        </w:rPr>
      </w:pPr>
      <w:r>
        <w:rPr>
          <w:rFonts w:hint="eastAsia" w:ascii="宋体" w:hAnsi="宋体"/>
          <w:b/>
          <w:bCs/>
          <w:sz w:val="24"/>
          <w:szCs w:val="24"/>
        </w:rPr>
        <w:t>（二）定报</w:t>
      </w:r>
    </w:p>
    <w:p w14:paraId="7087E96B">
      <w:pPr>
        <w:adjustRightInd w:val="0"/>
        <w:snapToGrid w:val="0"/>
        <w:spacing w:line="360" w:lineRule="auto"/>
        <w:ind w:firstLine="470" w:firstLineChars="196"/>
        <w:rPr>
          <w:rFonts w:hint="eastAsia" w:ascii="宋体" w:hAnsi="宋体"/>
          <w:color w:val="000000"/>
          <w:sz w:val="24"/>
        </w:rPr>
      </w:pPr>
      <w:r>
        <w:rPr>
          <w:rFonts w:hint="eastAsia" w:ascii="宋体" w:hAnsi="宋体"/>
          <w:color w:val="000000"/>
          <w:sz w:val="24"/>
        </w:rPr>
        <w:t>1.增加《从业人员及工资总额》（I202-3表）</w:t>
      </w:r>
      <w:r>
        <w:rPr>
          <w:rFonts w:hint="eastAsia" w:ascii="宋体" w:hAnsi="宋体"/>
          <w:color w:val="000000"/>
          <w:sz w:val="24"/>
          <w:lang w:eastAsia="zh-CN"/>
        </w:rPr>
        <w:t>。</w:t>
      </w:r>
    </w:p>
    <w:p w14:paraId="6CFE5418">
      <w:pPr>
        <w:adjustRightInd w:val="0"/>
        <w:snapToGrid w:val="0"/>
        <w:spacing w:line="360" w:lineRule="auto"/>
        <w:ind w:firstLine="470" w:firstLineChars="196"/>
        <w:rPr>
          <w:rFonts w:hint="eastAsia" w:ascii="宋体" w:hAnsi="宋体"/>
          <w:color w:val="000000"/>
          <w:sz w:val="24"/>
        </w:rPr>
      </w:pPr>
      <w:r>
        <w:rPr>
          <w:rFonts w:hint="eastAsia" w:ascii="宋体" w:hAnsi="宋体"/>
          <w:color w:val="000000"/>
          <w:sz w:val="24"/>
        </w:rPr>
        <w:t>2.《从业人员及工资总额》（202-1表）取消“从业人员期末人数”取消分组指标“工作地在外省市人员”、“其中：户口在外省市人员”和该指标的其中项“其中：工作地在外省市人员”。</w:t>
      </w:r>
    </w:p>
    <w:p w14:paraId="7211846E">
      <w:pPr>
        <w:adjustRightInd w:val="0"/>
        <w:snapToGrid w:val="0"/>
        <w:spacing w:line="360" w:lineRule="auto"/>
        <w:ind w:firstLine="470" w:firstLineChars="196"/>
        <w:rPr>
          <w:rFonts w:hint="eastAsia" w:ascii="宋体" w:hAnsi="宋体" w:eastAsiaTheme="minorEastAsia" w:cstheme="minorBidi"/>
          <w:color w:val="000000"/>
          <w:kern w:val="2"/>
          <w:sz w:val="24"/>
          <w:szCs w:val="22"/>
          <w:lang w:val="en-US" w:eastAsia="zh-CN" w:bidi="ar-SA"/>
        </w:rPr>
      </w:pPr>
      <w:r>
        <w:rPr>
          <w:rFonts w:hint="eastAsia" w:ascii="宋体" w:hAnsi="宋体"/>
          <w:color w:val="000000"/>
          <w:sz w:val="24"/>
          <w:lang w:val="en-US" w:eastAsia="zh-CN"/>
        </w:rPr>
        <w:t>3.</w:t>
      </w:r>
      <w:r>
        <w:rPr>
          <w:rFonts w:hint="eastAsia" w:ascii="宋体" w:hAnsi="宋体"/>
          <w:color w:val="000000"/>
          <w:sz w:val="24"/>
        </w:rPr>
        <w:t>《从业人员及工资总额》（</w:t>
      </w:r>
      <w:r>
        <w:rPr>
          <w:rFonts w:hint="eastAsia" w:ascii="宋体" w:hAnsi="宋体"/>
          <w:color w:val="000000"/>
          <w:sz w:val="24"/>
          <w:lang w:val="en-US" w:eastAsia="zh-CN"/>
        </w:rPr>
        <w:t>I</w:t>
      </w:r>
      <w:r>
        <w:rPr>
          <w:rFonts w:hint="eastAsia" w:ascii="宋体" w:hAnsi="宋体"/>
          <w:color w:val="000000"/>
          <w:sz w:val="24"/>
        </w:rPr>
        <w:t>202-</w:t>
      </w:r>
      <w:r>
        <w:rPr>
          <w:rFonts w:hint="eastAsia" w:ascii="宋体" w:hAnsi="宋体"/>
          <w:color w:val="000000"/>
          <w:sz w:val="24"/>
          <w:lang w:val="en-US" w:eastAsia="zh-CN"/>
        </w:rPr>
        <w:t>2</w:t>
      </w:r>
      <w:r>
        <w:rPr>
          <w:rFonts w:hint="eastAsia" w:ascii="宋体" w:hAnsi="宋体"/>
          <w:color w:val="000000"/>
          <w:sz w:val="24"/>
        </w:rPr>
        <w:t>表）</w:t>
      </w:r>
      <w:r>
        <w:rPr>
          <w:rFonts w:hint="eastAsia" w:ascii="宋体" w:hAnsi="宋体"/>
          <w:color w:val="000000"/>
          <w:sz w:val="24"/>
          <w:lang w:eastAsia="zh-CN"/>
        </w:rPr>
        <w:t>填报范围不再包括机关、事业法人单位。</w:t>
      </w:r>
    </w:p>
    <w:p w14:paraId="241EB20A">
      <w:pPr>
        <w:pStyle w:val="2"/>
        <w:ind w:left="0" w:leftChars="0" w:firstLine="0" w:firstLineChars="0"/>
        <w:rPr>
          <w:rFonts w:hint="default"/>
          <w:lang w:val="en-US" w:eastAsia="zh-CN"/>
        </w:rPr>
      </w:pPr>
    </w:p>
    <w:p w14:paraId="62211199">
      <w:pPr>
        <w:adjustRightInd w:val="0"/>
        <w:snapToGrid w:val="0"/>
        <w:spacing w:line="360" w:lineRule="auto"/>
        <w:outlineLvl w:val="0"/>
        <w:rPr>
          <w:rFonts w:ascii="宋体" w:hAnsi="宋体"/>
          <w:b/>
          <w:bCs/>
          <w:color w:val="000000"/>
          <w:sz w:val="28"/>
          <w:szCs w:val="28"/>
        </w:rPr>
      </w:pPr>
      <w:r>
        <w:rPr>
          <w:rFonts w:hint="eastAsia" w:ascii="宋体" w:hAnsi="宋体"/>
          <w:b/>
          <w:bCs/>
          <w:color w:val="000000"/>
          <w:sz w:val="28"/>
          <w:szCs w:val="28"/>
          <w:lang w:eastAsia="zh-CN"/>
        </w:rPr>
        <w:t>二、</w:t>
      </w:r>
      <w:r>
        <w:rPr>
          <w:rFonts w:hint="eastAsia" w:ascii="宋体" w:hAnsi="宋体"/>
          <w:b/>
          <w:bCs/>
          <w:color w:val="000000"/>
          <w:sz w:val="28"/>
          <w:szCs w:val="28"/>
        </w:rPr>
        <w:t>统计对象：法人单位</w:t>
      </w:r>
    </w:p>
    <w:p w14:paraId="51C26229">
      <w:pPr>
        <w:adjustRightInd w:val="0"/>
        <w:snapToGrid w:val="0"/>
        <w:spacing w:line="360" w:lineRule="auto"/>
        <w:ind w:firstLine="472" w:firstLineChars="196"/>
        <w:rPr>
          <w:rFonts w:hint="eastAsia" w:ascii="宋体" w:hAnsi="宋体"/>
          <w:color w:val="000000"/>
          <w:sz w:val="24"/>
        </w:rPr>
      </w:pPr>
      <w:r>
        <w:rPr>
          <w:rFonts w:ascii="宋体" w:hAnsi="宋体"/>
          <w:b/>
          <w:color w:val="000000"/>
          <w:sz w:val="24"/>
        </w:rPr>
        <w:t>•</w:t>
      </w:r>
      <w:r>
        <w:rPr>
          <w:rFonts w:hint="eastAsia" w:ascii="宋体" w:hAnsi="宋体"/>
          <w:color w:val="000000"/>
          <w:sz w:val="24"/>
        </w:rPr>
        <w:t>产业活动单位数据由其归属法人统计（包括京内外的产业活动单位）</w:t>
      </w:r>
    </w:p>
    <w:p w14:paraId="59F3D33B"/>
    <w:p w14:paraId="4D2AF746">
      <w:pPr>
        <w:adjustRightInd w:val="0"/>
        <w:snapToGrid w:val="0"/>
        <w:spacing w:line="360" w:lineRule="auto"/>
        <w:outlineLvl w:val="0"/>
        <w:rPr>
          <w:rFonts w:ascii="宋体" w:hAnsi="宋体"/>
          <w:b/>
          <w:bCs/>
          <w:color w:val="000000"/>
          <w:sz w:val="28"/>
          <w:szCs w:val="28"/>
        </w:rPr>
      </w:pPr>
      <w:r>
        <w:rPr>
          <w:rFonts w:hint="eastAsia" w:ascii="宋体" w:hAnsi="宋体"/>
          <w:b/>
          <w:bCs/>
          <w:color w:val="000000"/>
          <w:sz w:val="28"/>
          <w:szCs w:val="28"/>
          <w:lang w:eastAsia="zh-CN"/>
        </w:rPr>
        <w:t>三、</w:t>
      </w:r>
      <w:r>
        <w:rPr>
          <w:rFonts w:hint="eastAsia" w:ascii="宋体" w:hAnsi="宋体"/>
          <w:b/>
          <w:bCs/>
          <w:color w:val="000000"/>
          <w:sz w:val="28"/>
          <w:szCs w:val="28"/>
        </w:rPr>
        <w:t>统计原则</w:t>
      </w:r>
    </w:p>
    <w:p w14:paraId="22F35334">
      <w:pPr>
        <w:adjustRightInd w:val="0"/>
        <w:snapToGrid w:val="0"/>
        <w:spacing w:line="360" w:lineRule="auto"/>
        <w:ind w:left="-109" w:leftChars="-52" w:firstLine="600" w:firstLineChars="250"/>
        <w:rPr>
          <w:rFonts w:hint="eastAsia" w:ascii="宋体" w:hAnsi="宋体"/>
          <w:color w:val="000000"/>
          <w:sz w:val="24"/>
        </w:rPr>
      </w:pPr>
      <w:r>
        <w:rPr>
          <w:rFonts w:hint="eastAsia" w:ascii="宋体" w:hAnsi="宋体"/>
          <w:color w:val="000000"/>
          <w:sz w:val="24"/>
        </w:rPr>
        <w:t>•执行法人单位</w:t>
      </w:r>
      <w:r>
        <w:rPr>
          <w:rFonts w:hint="eastAsia" w:ascii="宋体" w:hAnsi="宋体"/>
          <w:b/>
          <w:bCs/>
          <w:color w:val="000000"/>
          <w:sz w:val="24"/>
        </w:rPr>
        <w:t>“谁发工资谁统计（劳务派遣人员除外）”</w:t>
      </w:r>
      <w:r>
        <w:rPr>
          <w:rFonts w:hint="eastAsia" w:ascii="宋体" w:hAnsi="宋体"/>
          <w:color w:val="000000"/>
          <w:sz w:val="24"/>
        </w:rPr>
        <w:t>的原则，即在法人单位直接领取工资、生活费的人员都应由发放单位统计。劳务派遣人员按照</w:t>
      </w:r>
      <w:r>
        <w:rPr>
          <w:rFonts w:hint="eastAsia" w:ascii="宋体" w:hAnsi="宋体"/>
          <w:b/>
          <w:bCs/>
          <w:color w:val="000000"/>
          <w:sz w:val="24"/>
        </w:rPr>
        <w:t>“谁用工谁统计”</w:t>
      </w:r>
      <w:r>
        <w:rPr>
          <w:rFonts w:hint="eastAsia" w:ascii="宋体" w:hAnsi="宋体"/>
          <w:color w:val="000000"/>
          <w:sz w:val="24"/>
        </w:rPr>
        <w:t>。无论是否直接发工资都由使用方统计，输出方不统计。</w:t>
      </w:r>
    </w:p>
    <w:p w14:paraId="6F1E5842">
      <w:pPr>
        <w:adjustRightInd w:val="0"/>
        <w:snapToGrid w:val="0"/>
        <w:spacing w:line="360" w:lineRule="auto"/>
        <w:ind w:left="-109" w:leftChars="-52" w:firstLine="600" w:firstLineChars="250"/>
        <w:rPr>
          <w:rFonts w:ascii="宋体" w:hAnsi="宋体"/>
          <w:color w:val="000000"/>
          <w:sz w:val="24"/>
        </w:rPr>
      </w:pPr>
      <w:r>
        <w:rPr>
          <w:rFonts w:hint="eastAsia" w:ascii="宋体" w:hAnsi="宋体"/>
          <w:color w:val="000000"/>
          <w:sz w:val="24"/>
        </w:rPr>
        <w:t>•工资统计遵循</w:t>
      </w:r>
      <w:r>
        <w:rPr>
          <w:rFonts w:hint="eastAsia" w:ascii="宋体" w:hAnsi="宋体"/>
          <w:b/>
          <w:bCs/>
          <w:color w:val="000000"/>
          <w:sz w:val="24"/>
        </w:rPr>
        <w:t>“何时发何时统（预发工资除外）”</w:t>
      </w:r>
      <w:r>
        <w:rPr>
          <w:rFonts w:hint="eastAsia" w:ascii="宋体" w:hAnsi="宋体"/>
          <w:color w:val="000000"/>
          <w:sz w:val="24"/>
        </w:rPr>
        <w:t>原则</w:t>
      </w:r>
      <w:r>
        <w:rPr>
          <w:rFonts w:hint="eastAsia" w:ascii="宋体" w:hAnsi="宋体"/>
          <w:color w:val="000000"/>
          <w:sz w:val="24"/>
          <w:lang w:eastAsia="zh-CN"/>
        </w:rPr>
        <w:t>。</w:t>
      </w:r>
      <w:r>
        <w:rPr>
          <w:rFonts w:hint="eastAsia" w:ascii="宋体" w:hAnsi="宋体" w:eastAsiaTheme="minorEastAsia" w:cstheme="minorBidi"/>
          <w:b/>
          <w:bCs/>
          <w:color w:val="000000"/>
          <w:kern w:val="2"/>
          <w:sz w:val="24"/>
          <w:szCs w:val="22"/>
          <w:lang w:val="en-US" w:eastAsia="zh-CN" w:bidi="ar-SA"/>
        </w:rPr>
        <w:t>预发工资：</w:t>
      </w:r>
      <w:r>
        <w:rPr>
          <w:rFonts w:hint="eastAsia" w:ascii="宋体" w:hAnsi="宋体" w:eastAsiaTheme="minorEastAsia" w:cstheme="minorBidi"/>
          <w:color w:val="000000"/>
          <w:kern w:val="2"/>
          <w:sz w:val="24"/>
          <w:szCs w:val="22"/>
          <w:lang w:val="en-US" w:eastAsia="zh-CN" w:bidi="ar-SA"/>
        </w:rPr>
        <w:t>提前预发的工资，仍统计在应发报告期的工资总额中，保证每个季度包含3个月的工资，每年包含12个月工资</w:t>
      </w:r>
      <w:r>
        <w:rPr>
          <w:rFonts w:hint="eastAsia" w:ascii="宋体" w:hAnsi="宋体" w:cstheme="minorBidi"/>
          <w:color w:val="000000"/>
          <w:kern w:val="2"/>
          <w:sz w:val="24"/>
          <w:szCs w:val="22"/>
          <w:lang w:val="en-US" w:eastAsia="zh-CN" w:bidi="ar-SA"/>
        </w:rPr>
        <w:t>。</w:t>
      </w:r>
      <w:r>
        <w:rPr>
          <w:rFonts w:hint="eastAsia" w:ascii="宋体" w:hAnsi="宋体" w:eastAsiaTheme="minorEastAsia" w:cstheme="minorBidi"/>
          <w:b/>
          <w:bCs/>
          <w:color w:val="000000"/>
          <w:kern w:val="2"/>
          <w:sz w:val="24"/>
          <w:szCs w:val="22"/>
          <w:lang w:val="en-US" w:eastAsia="zh-CN" w:bidi="ar-SA"/>
        </w:rPr>
        <w:t>补发工资：</w:t>
      </w:r>
      <w:r>
        <w:rPr>
          <w:rFonts w:hint="eastAsia" w:ascii="宋体" w:hAnsi="宋体" w:eastAsiaTheme="minorEastAsia" w:cstheme="minorBidi"/>
          <w:color w:val="000000"/>
          <w:kern w:val="2"/>
          <w:sz w:val="24"/>
          <w:szCs w:val="22"/>
          <w:lang w:val="en-US" w:eastAsia="zh-CN" w:bidi="ar-SA"/>
        </w:rPr>
        <w:t>计入实际发放月的工资总额中。</w:t>
      </w:r>
      <w:r>
        <w:rPr>
          <w:rFonts w:hint="eastAsia" w:ascii="宋体" w:hAnsi="宋体" w:cstheme="minorBidi"/>
          <w:color w:val="000000"/>
          <w:kern w:val="2"/>
          <w:sz w:val="24"/>
          <w:szCs w:val="22"/>
          <w:lang w:val="en-US" w:eastAsia="zh-CN" w:bidi="ar-SA"/>
        </w:rPr>
        <w:t>（</w:t>
      </w:r>
      <w:r>
        <w:rPr>
          <w:rFonts w:hint="eastAsia" w:ascii="宋体" w:hAnsi="宋体" w:eastAsiaTheme="minorEastAsia" w:cstheme="minorBidi"/>
          <w:b/>
          <w:bCs/>
          <w:color w:val="000000"/>
          <w:kern w:val="2"/>
          <w:sz w:val="24"/>
          <w:szCs w:val="22"/>
          <w:lang w:val="en-US" w:eastAsia="zh-CN" w:bidi="ar-SA"/>
        </w:rPr>
        <w:t>特殊：</w:t>
      </w:r>
      <w:r>
        <w:rPr>
          <w:rFonts w:hint="eastAsia" w:ascii="宋体" w:hAnsi="宋体" w:eastAsiaTheme="minorEastAsia" w:cstheme="minorBidi"/>
          <w:color w:val="000000"/>
          <w:kern w:val="2"/>
          <w:sz w:val="24"/>
          <w:szCs w:val="22"/>
          <w:lang w:val="en-US" w:eastAsia="zh-CN" w:bidi="ar-SA"/>
        </w:rPr>
        <w:t>员工去年12月离职，企业今年1月份发放上年12月的工资，1月份的工资总额和平均人数都要算上这名离职员工。</w:t>
      </w:r>
      <w:r>
        <w:rPr>
          <w:rFonts w:hint="eastAsia" w:ascii="宋体" w:hAnsi="宋体" w:cstheme="minorBidi"/>
          <w:color w:val="000000"/>
          <w:kern w:val="2"/>
          <w:sz w:val="24"/>
          <w:szCs w:val="22"/>
          <w:lang w:val="en-US" w:eastAsia="zh-CN" w:bidi="ar-SA"/>
        </w:rPr>
        <w:t>）</w:t>
      </w:r>
    </w:p>
    <w:p w14:paraId="57B6D6DF">
      <w:pPr>
        <w:adjustRightInd w:val="0"/>
        <w:snapToGrid w:val="0"/>
        <w:spacing w:line="360" w:lineRule="auto"/>
        <w:outlineLvl w:val="0"/>
        <w:rPr>
          <w:rFonts w:hint="eastAsia" w:ascii="宋体" w:hAnsi="宋体"/>
          <w:b/>
          <w:bCs/>
          <w:color w:val="000000"/>
          <w:sz w:val="28"/>
          <w:szCs w:val="28"/>
          <w:lang w:eastAsia="zh-CN"/>
        </w:rPr>
      </w:pPr>
      <w:r>
        <w:rPr>
          <w:rFonts w:hint="eastAsia" w:ascii="宋体" w:hAnsi="宋体"/>
          <w:b/>
          <w:bCs/>
          <w:color w:val="000000"/>
          <w:sz w:val="28"/>
          <w:szCs w:val="28"/>
          <w:lang w:eastAsia="zh-CN"/>
        </w:rPr>
        <w:t>四、从业人员指标</w:t>
      </w:r>
    </w:p>
    <w:p w14:paraId="4761023E">
      <w:pPr>
        <w:widowControl/>
        <w:adjustRightInd w:val="0"/>
        <w:snapToGrid w:val="0"/>
        <w:spacing w:line="360" w:lineRule="auto"/>
        <w:ind w:firstLine="472" w:firstLineChars="196"/>
        <w:rPr>
          <w:rFonts w:ascii="宋体" w:hAnsi="宋体"/>
          <w:b w:val="0"/>
          <w:bCs w:val="0"/>
          <w:color w:val="000000"/>
          <w:sz w:val="24"/>
        </w:rPr>
      </w:pPr>
      <w:r>
        <w:rPr>
          <w:rFonts w:hint="eastAsia" w:ascii="宋体" w:hAnsi="宋体"/>
          <w:b/>
          <w:bCs/>
          <w:color w:val="000000"/>
          <w:sz w:val="24"/>
          <w:lang w:eastAsia="zh-CN"/>
        </w:rPr>
        <w:t>（一）</w:t>
      </w:r>
      <w:r>
        <w:rPr>
          <w:rFonts w:hint="eastAsia" w:ascii="宋体" w:hAnsi="宋体"/>
          <w:b/>
          <w:bCs/>
          <w:color w:val="000000"/>
          <w:sz w:val="24"/>
        </w:rPr>
        <w:t>从业人员期末人数</w:t>
      </w:r>
      <w:r>
        <w:rPr>
          <w:rFonts w:hint="eastAsia" w:ascii="宋体" w:hAnsi="宋体"/>
          <w:b w:val="0"/>
          <w:bCs w:val="0"/>
          <w:color w:val="000000"/>
          <w:sz w:val="24"/>
        </w:rPr>
        <w:t>（时点指标，不能累计）</w:t>
      </w:r>
    </w:p>
    <w:p w14:paraId="1FCB8CD8">
      <w:pPr>
        <w:adjustRightInd w:val="0"/>
        <w:snapToGrid w:val="0"/>
        <w:spacing w:line="360" w:lineRule="auto"/>
        <w:ind w:firstLine="470" w:firstLineChars="196"/>
        <w:rPr>
          <w:rFonts w:ascii="宋体" w:hAnsi="宋体"/>
          <w:bCs/>
          <w:color w:val="000000"/>
          <w:sz w:val="24"/>
        </w:rPr>
      </w:pPr>
      <w:r>
        <w:rPr>
          <w:rFonts w:hint="eastAsia" w:ascii="宋体" w:hAnsi="宋体"/>
          <w:bCs/>
          <w:color w:val="000000"/>
          <w:sz w:val="24"/>
        </w:rPr>
        <w:t>指月度或年度最后一日在本单位工作，并取得工资或其他形式劳动报酬的人员数。该指标为时点指标，不包括最后一日当天及以前已经与单位解除劳动合同关系的人员，是在岗职工、劳务派遣人员及其他从业人员之和。</w:t>
      </w:r>
      <w:r>
        <w:rPr>
          <w:rFonts w:hint="eastAsia" w:ascii="宋体" w:hAnsi="宋体"/>
          <w:color w:val="000000"/>
          <w:sz w:val="24"/>
        </w:rPr>
        <w:t>（</w:t>
      </w:r>
      <w:r>
        <w:rPr>
          <w:rFonts w:hint="eastAsia" w:ascii="宋体" w:hAnsi="宋体"/>
          <w:b/>
          <w:bCs/>
          <w:color w:val="000000"/>
          <w:sz w:val="24"/>
        </w:rPr>
        <w:t>不包括</w:t>
      </w:r>
      <w:r>
        <w:rPr>
          <w:rFonts w:hint="eastAsia" w:ascii="宋体" w:hAnsi="宋体"/>
          <w:bCs/>
          <w:color w:val="000000"/>
          <w:sz w:val="24"/>
        </w:rPr>
        <w:t>最后一日当天及以前已经与单位解除劳动合同关系的人员、</w:t>
      </w:r>
      <w:r>
        <w:rPr>
          <w:rFonts w:hint="eastAsia" w:ascii="宋体" w:hAnsi="宋体"/>
          <w:color w:val="000000"/>
          <w:sz w:val="24"/>
        </w:rPr>
        <w:t>实习生、本单位正式离退休人员）</w:t>
      </w:r>
      <w:r>
        <w:rPr>
          <w:rFonts w:hint="eastAsia" w:ascii="宋体" w:hAnsi="宋体"/>
          <w:bCs/>
          <w:color w:val="000000"/>
          <w:sz w:val="24"/>
        </w:rPr>
        <w:t>如果年（季）末是公休日或者是节假日，则按照前一天的人数计算。</w:t>
      </w:r>
    </w:p>
    <w:p w14:paraId="4BAB55AF">
      <w:pPr>
        <w:adjustRightInd w:val="0"/>
        <w:snapToGrid w:val="0"/>
        <w:spacing w:line="360" w:lineRule="auto"/>
        <w:ind w:firstLine="482" w:firstLineChars="200"/>
        <w:rPr>
          <w:rFonts w:ascii="宋体" w:hAnsi="宋体"/>
          <w:b/>
          <w:color w:val="000000"/>
          <w:sz w:val="24"/>
        </w:rPr>
      </w:pPr>
      <w:r>
        <w:rPr>
          <w:rFonts w:hint="eastAsia" w:ascii="宋体" w:hAnsi="宋体"/>
          <w:b/>
          <w:color w:val="000000"/>
          <w:sz w:val="24"/>
        </w:rPr>
        <w:t>不能包括：本单位因劳务外包而使用的人员，如：本单位使用保安公司的保安，或保洁公司的保洁。（注意劳务外包与劳务派遣有区别）</w:t>
      </w:r>
    </w:p>
    <w:p w14:paraId="4B48D5D0">
      <w:pPr>
        <w:adjustRightInd w:val="0"/>
        <w:snapToGrid w:val="0"/>
        <w:spacing w:line="360" w:lineRule="auto"/>
        <w:ind w:firstLine="472" w:firstLineChars="196"/>
        <w:rPr>
          <w:rFonts w:ascii="宋体" w:hAnsi="宋体"/>
          <w:bCs/>
          <w:color w:val="000000"/>
          <w:sz w:val="24"/>
        </w:rPr>
      </w:pPr>
      <w:r>
        <w:rPr>
          <w:rFonts w:hint="eastAsia" w:ascii="宋体" w:hAnsi="宋体"/>
          <w:b/>
          <w:bCs/>
          <w:color w:val="000000"/>
          <w:sz w:val="24"/>
        </w:rPr>
        <w:t>注意实习生和打工在校学生的区别：</w:t>
      </w:r>
      <w:r>
        <w:rPr>
          <w:rFonts w:hint="eastAsia" w:ascii="宋体" w:hAnsi="宋体"/>
          <w:bCs/>
          <w:color w:val="000000"/>
          <w:sz w:val="24"/>
        </w:rPr>
        <w:t>实习生不统计，打工在校学生统计为其他从业人员。可以用去企业工作的“目的性”来区分，属于实习还是打工学生以企业认定为准。</w:t>
      </w:r>
    </w:p>
    <w:p w14:paraId="44BC4A06">
      <w:pPr>
        <w:adjustRightInd w:val="0"/>
        <w:snapToGrid w:val="0"/>
        <w:spacing w:line="360" w:lineRule="auto"/>
        <w:ind w:firstLine="470" w:firstLineChars="196"/>
        <w:rPr>
          <w:rFonts w:ascii="宋体" w:hAnsi="宋体"/>
          <w:bCs/>
          <w:color w:val="000000"/>
          <w:sz w:val="24"/>
        </w:rPr>
      </w:pPr>
      <w:r>
        <w:rPr>
          <w:rFonts w:ascii="宋体" w:hAnsi="宋体"/>
          <w:bCs/>
          <w:color w:val="000000"/>
          <w:sz w:val="24"/>
        </w:rPr>
        <mc:AlternateContent>
          <mc:Choice Requires="wps">
            <w:drawing>
              <wp:anchor distT="0" distB="0" distL="114300" distR="114300" simplePos="0" relativeHeight="251661312" behindDoc="0" locked="0" layoutInCell="1" allowOverlap="1">
                <wp:simplePos x="0" y="0"/>
                <wp:positionH relativeFrom="column">
                  <wp:posOffset>1699260</wp:posOffset>
                </wp:positionH>
                <wp:positionV relativeFrom="paragraph">
                  <wp:posOffset>12065</wp:posOffset>
                </wp:positionV>
                <wp:extent cx="4690110" cy="487680"/>
                <wp:effectExtent l="0" t="0" r="15240" b="7620"/>
                <wp:wrapNone/>
                <wp:docPr id="2" name="文本框 12"/>
                <wp:cNvGraphicFramePr/>
                <a:graphic xmlns:a="http://schemas.openxmlformats.org/drawingml/2006/main">
                  <a:graphicData uri="http://schemas.microsoft.com/office/word/2010/wordprocessingShape">
                    <wps:wsp>
                      <wps:cNvSpPr txBox="1"/>
                      <wps:spPr>
                        <a:xfrm>
                          <a:off x="0" y="0"/>
                          <a:ext cx="4690110" cy="487680"/>
                        </a:xfrm>
                        <a:prstGeom prst="rect">
                          <a:avLst/>
                        </a:prstGeom>
                        <a:solidFill>
                          <a:srgbClr val="FFFFFF"/>
                        </a:solidFill>
                        <a:ln>
                          <a:noFill/>
                        </a:ln>
                      </wps:spPr>
                      <wps:txbx>
                        <w:txbxContent>
                          <w:p w14:paraId="5216DB8B">
                            <w:r>
                              <w:rPr>
                                <w:rFonts w:hint="eastAsia"/>
                                <w:b/>
                              </w:rPr>
                              <w:t>实习生：</w:t>
                            </w:r>
                            <w:r>
                              <w:rPr>
                                <w:rFonts w:hint="eastAsia"/>
                              </w:rPr>
                              <w:t>学校有实践活动要求，以找工作为目的，常见于高校高年级学生</w:t>
                            </w:r>
                          </w:p>
                          <w:p w14:paraId="689BC542">
                            <w:r>
                              <w:rPr>
                                <w:rFonts w:hint="eastAsia"/>
                              </w:rPr>
                              <w:t>（一般为了积累工作经验）</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文本框 12" o:spid="_x0000_s1026" o:spt="202" type="#_x0000_t202" style="position:absolute;left:0pt;margin-left:133.8pt;margin-top:0.95pt;height:38.4pt;width:369.3pt;z-index:251661312;mso-width-relative:page;mso-height-relative:margin;mso-height-percent:200;" fillcolor="#FFFFFF" filled="t" stroked="f" coordsize="21600,21600" o:gfxdata="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&#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P+3cjWAAAACQEAAA8AAAAAAAAAAQAgAAAAIgAAAGRy&#10;cy9kb3ducmV2LnhtbFBLAQIUABQAAAAIAIdO4kC1MswZzgEAAJIDAAAOAAAAAAAAAAEAIAAAACUB&#10;AABkcnMvZTJvRG9jLnhtbFBLBQYAAAAABgAGAFkBAABlBQAAAAA=&#10;">
                <v:fill on="t" focussize="0,0"/>
                <v:stroke on="f"/>
                <v:imagedata o:title=""/>
                <o:lock v:ext="edit" aspectratio="f"/>
                <v:textbox style="mso-fit-shape-to-text:t;">
                  <w:txbxContent>
                    <w:p w14:paraId="5216DB8B">
                      <w:r>
                        <w:rPr>
                          <w:rFonts w:hint="eastAsia"/>
                          <w:b/>
                        </w:rPr>
                        <w:t>实习生：</w:t>
                      </w:r>
                      <w:r>
                        <w:rPr>
                          <w:rFonts w:hint="eastAsia"/>
                        </w:rPr>
                        <w:t>学校有实践活动要求，以找工作为目的，常见于高校高年级学生</w:t>
                      </w:r>
                    </w:p>
                    <w:p w14:paraId="689BC542">
                      <w:r>
                        <w:rPr>
                          <w:rFonts w:hint="eastAsia"/>
                        </w:rPr>
                        <w:t>（一般为了积累工作经验）</w:t>
                      </w:r>
                    </w:p>
                  </w:txbxContent>
                </v:textbox>
              </v:shape>
            </w:pict>
          </mc:Fallback>
        </mc:AlternateContent>
      </w:r>
      <w:r>
        <w:rPr>
          <w:rFonts w:ascii="宋体" w:hAnsi="宋体"/>
          <w:bCs/>
          <w:color w:val="000000"/>
          <w:sz w:val="24"/>
        </w:rPr>
        <mc:AlternateContent>
          <mc:Choice Requires="wps">
            <w:drawing>
              <wp:anchor distT="0" distB="0" distL="114300" distR="114300" simplePos="0" relativeHeight="251660288" behindDoc="0" locked="0" layoutInCell="1" allowOverlap="1">
                <wp:simplePos x="0" y="0"/>
                <wp:positionH relativeFrom="column">
                  <wp:posOffset>1106805</wp:posOffset>
                </wp:positionH>
                <wp:positionV relativeFrom="paragraph">
                  <wp:posOffset>10795</wp:posOffset>
                </wp:positionV>
                <wp:extent cx="685800" cy="792480"/>
                <wp:effectExtent l="0" t="0" r="0" b="0"/>
                <wp:wrapNone/>
                <wp:docPr id="1" name="文本框 11"/>
                <wp:cNvGraphicFramePr/>
                <a:graphic xmlns:a="http://schemas.openxmlformats.org/drawingml/2006/main">
                  <a:graphicData uri="http://schemas.microsoft.com/office/word/2010/wordprocessingShape">
                    <wps:wsp>
                      <wps:cNvSpPr txBox="1"/>
                      <wps:spPr>
                        <a:xfrm>
                          <a:off x="0" y="0"/>
                          <a:ext cx="685800" cy="792480"/>
                        </a:xfrm>
                        <a:prstGeom prst="rect">
                          <a:avLst/>
                        </a:prstGeom>
                        <a:noFill/>
                        <a:ln>
                          <a:noFill/>
                        </a:ln>
                      </wps:spPr>
                      <wps:txbx>
                        <w:txbxContent>
                          <w:p w14:paraId="441027C4">
                            <w:pPr>
                              <w:rPr>
                                <w:sz w:val="96"/>
                                <w:szCs w:val="96"/>
                              </w:rPr>
                            </w:pPr>
                            <w:r>
                              <w:rPr>
                                <w:rFonts w:hint="eastAsia"/>
                                <w:sz w:val="96"/>
                                <w:szCs w:val="96"/>
                              </w:rPr>
                              <w:t>｛</w:t>
                            </w:r>
                          </w:p>
                        </w:txbxContent>
                      </wps:txbx>
                      <wps:bodyPr upright="1"/>
                    </wps:wsp>
                  </a:graphicData>
                </a:graphic>
              </wp:anchor>
            </w:drawing>
          </mc:Choice>
          <mc:Fallback>
            <w:pict>
              <v:shape id="文本框 11" o:spid="_x0000_s1026" o:spt="202" type="#_x0000_t202" style="position:absolute;left:0pt;margin-left:87.15pt;margin-top:0.85pt;height:62.4pt;width:54pt;z-index:251660288;mso-width-relative:page;mso-height-relative:page;" filled="f" stroked="f" coordsize="21600,21600" o:gfxdata="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P5NPDDUAAAACQEA&#10;AA8AAAAAAAAAAQAgAAAAIgAAAGRycy9kb3ducmV2LnhtbFBLAQIUABQAAAAIAIdO4kAmeQAXrAEA&#10;AE4DAAAOAAAAAAAAAAEAIAAAACMBAABkcnMvZTJvRG9jLnhtbFBLBQYAAAAABgAGAFkBAABBBQAA&#10;AAA=&#10;">
                <v:fill on="f" focussize="0,0"/>
                <v:stroke on="f"/>
                <v:imagedata o:title=""/>
                <o:lock v:ext="edit" aspectratio="f"/>
                <v:textbox>
                  <w:txbxContent>
                    <w:p w14:paraId="441027C4">
                      <w:pPr>
                        <w:rPr>
                          <w:sz w:val="96"/>
                          <w:szCs w:val="96"/>
                        </w:rPr>
                      </w:pPr>
                      <w:r>
                        <w:rPr>
                          <w:rFonts w:hint="eastAsia"/>
                          <w:sz w:val="96"/>
                          <w:szCs w:val="96"/>
                        </w:rPr>
                        <w:t>｛</w:t>
                      </w:r>
                    </w:p>
                  </w:txbxContent>
                </v:textbox>
              </v:shape>
            </w:pict>
          </mc:Fallback>
        </mc:AlternateContent>
      </w:r>
      <w:r>
        <w:rPr>
          <w:rFonts w:ascii="宋体" w:hAnsi="宋体"/>
          <w:bCs/>
          <w:color w:val="000000"/>
          <w:sz w:val="24"/>
        </w:rPr>
        <mc:AlternateContent>
          <mc:Choice Requires="wps">
            <w:drawing>
              <wp:anchor distT="0" distB="0" distL="114300" distR="114300" simplePos="0" relativeHeight="251662336" behindDoc="0" locked="0" layoutInCell="1" allowOverlap="1">
                <wp:simplePos x="0" y="0"/>
                <wp:positionH relativeFrom="column">
                  <wp:posOffset>306705</wp:posOffset>
                </wp:positionH>
                <wp:positionV relativeFrom="paragraph">
                  <wp:posOffset>10795</wp:posOffset>
                </wp:positionV>
                <wp:extent cx="1027430" cy="685800"/>
                <wp:effectExtent l="0" t="0" r="1270" b="0"/>
                <wp:wrapNone/>
                <wp:docPr id="3" name="文本框 13"/>
                <wp:cNvGraphicFramePr/>
                <a:graphic xmlns:a="http://schemas.openxmlformats.org/drawingml/2006/main">
                  <a:graphicData uri="http://schemas.microsoft.com/office/word/2010/wordprocessingShape">
                    <wps:wsp>
                      <wps:cNvSpPr txBox="1"/>
                      <wps:spPr>
                        <a:xfrm>
                          <a:off x="0" y="0"/>
                          <a:ext cx="1027430" cy="685800"/>
                        </a:xfrm>
                        <a:prstGeom prst="rect">
                          <a:avLst/>
                        </a:prstGeom>
                        <a:solidFill>
                          <a:srgbClr val="FFFFFF"/>
                        </a:solidFill>
                        <a:ln>
                          <a:noFill/>
                        </a:ln>
                      </wps:spPr>
                      <wps:txbx>
                        <w:txbxContent>
                          <w:p w14:paraId="1515A05F">
                            <w:pPr>
                              <w:rPr>
                                <w:b/>
                              </w:rPr>
                            </w:pPr>
                            <w:r>
                              <w:rPr>
                                <w:rFonts w:hint="eastAsia"/>
                                <w:b/>
                              </w:rPr>
                              <w:t xml:space="preserve">  目的性</w:t>
                            </w:r>
                          </w:p>
                          <w:p w14:paraId="56356BDF">
                            <w:pPr>
                              <w:rPr>
                                <w:b/>
                                <w:u w:val="single"/>
                              </w:rPr>
                            </w:pPr>
                            <w:r>
                              <w:rPr>
                                <w:rFonts w:hint="eastAsia"/>
                                <w:b/>
                                <w:u w:val="single"/>
                              </w:rPr>
                              <w:t>实习/打工以</w:t>
                            </w:r>
                          </w:p>
                          <w:p w14:paraId="4E6894B8">
                            <w:pPr>
                              <w:rPr>
                                <w:b/>
                                <w:u w:val="single"/>
                              </w:rPr>
                            </w:pPr>
                            <w:r>
                              <w:rPr>
                                <w:rFonts w:hint="eastAsia"/>
                                <w:b/>
                                <w:u w:val="single"/>
                              </w:rPr>
                              <w:t>企业认定为准</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文本框 13" o:spid="_x0000_s1026" o:spt="202" type="#_x0000_t202" style="position:absolute;left:0pt;margin-left:24.15pt;margin-top:0.85pt;height:54pt;width:80.9pt;z-index:251662336;mso-width-relative:page;mso-height-relative:margin;mso-height-percent:200;" fillcolor="#FFFFFF" filled="t" stroked="f" coordsize="21600,21600" o:gfxdata="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hU2ZL1gAAAAgBAAAPAAAAAAAAAAEAIAAAACIAAABk&#10;cnMvZG93bnJldi54bWxQSwECFAAUAAAACACHTuJAqvOj688BAACSAwAADgAAAAAAAAABACAAAAAl&#10;AQAAZHJzL2Uyb0RvYy54bWxQSwUGAAAAAAYABgBZAQAAZgUAAAAA&#10;">
                <v:fill on="t" focussize="0,0"/>
                <v:stroke on="f"/>
                <v:imagedata o:title=""/>
                <o:lock v:ext="edit" aspectratio="f"/>
                <v:textbox style="mso-fit-shape-to-text:t;">
                  <w:txbxContent>
                    <w:p w14:paraId="1515A05F">
                      <w:pPr>
                        <w:rPr>
                          <w:b/>
                        </w:rPr>
                      </w:pPr>
                      <w:r>
                        <w:rPr>
                          <w:rFonts w:hint="eastAsia"/>
                          <w:b/>
                        </w:rPr>
                        <w:t xml:space="preserve">  目的性</w:t>
                      </w:r>
                    </w:p>
                    <w:p w14:paraId="56356BDF">
                      <w:pPr>
                        <w:rPr>
                          <w:b/>
                          <w:u w:val="single"/>
                        </w:rPr>
                      </w:pPr>
                      <w:r>
                        <w:rPr>
                          <w:rFonts w:hint="eastAsia"/>
                          <w:b/>
                          <w:u w:val="single"/>
                        </w:rPr>
                        <w:t>实习/打工以</w:t>
                      </w:r>
                    </w:p>
                    <w:p w14:paraId="4E6894B8">
                      <w:pPr>
                        <w:rPr>
                          <w:b/>
                          <w:u w:val="single"/>
                        </w:rPr>
                      </w:pPr>
                      <w:r>
                        <w:rPr>
                          <w:rFonts w:hint="eastAsia"/>
                          <w:b/>
                          <w:u w:val="single"/>
                        </w:rPr>
                        <w:t>企业认定为准</w:t>
                      </w:r>
                    </w:p>
                  </w:txbxContent>
                </v:textbox>
              </v:shape>
            </w:pict>
          </mc:Fallback>
        </mc:AlternateContent>
      </w:r>
    </w:p>
    <w:p w14:paraId="48F309F3">
      <w:pPr>
        <w:adjustRightInd w:val="0"/>
        <w:snapToGrid w:val="0"/>
        <w:spacing w:line="360" w:lineRule="auto"/>
        <w:ind w:firstLine="470" w:firstLineChars="196"/>
        <w:rPr>
          <w:rFonts w:ascii="宋体" w:hAnsi="宋体"/>
          <w:bCs/>
          <w:color w:val="000000"/>
          <w:sz w:val="24"/>
        </w:rPr>
      </w:pPr>
      <w:r>
        <w:rPr>
          <w:rFonts w:ascii="宋体" w:hAnsi="宋体"/>
          <w:bCs/>
          <w:color w:val="000000"/>
          <w:sz w:val="24"/>
        </w:rPr>
        <mc:AlternateContent>
          <mc:Choice Requires="wps">
            <w:drawing>
              <wp:anchor distT="0" distB="0" distL="114300" distR="114300" simplePos="0" relativeHeight="251663360" behindDoc="0" locked="0" layoutInCell="1" allowOverlap="1">
                <wp:simplePos x="0" y="0"/>
                <wp:positionH relativeFrom="column">
                  <wp:posOffset>1742440</wp:posOffset>
                </wp:positionH>
                <wp:positionV relativeFrom="paragraph">
                  <wp:posOffset>156210</wp:posOffset>
                </wp:positionV>
                <wp:extent cx="4302125" cy="289560"/>
                <wp:effectExtent l="0" t="0" r="3175" b="15240"/>
                <wp:wrapNone/>
                <wp:docPr id="4" name="文本框 14"/>
                <wp:cNvGraphicFramePr/>
                <a:graphic xmlns:a="http://schemas.openxmlformats.org/drawingml/2006/main">
                  <a:graphicData uri="http://schemas.microsoft.com/office/word/2010/wordprocessingShape">
                    <wps:wsp>
                      <wps:cNvSpPr txBox="1"/>
                      <wps:spPr>
                        <a:xfrm>
                          <a:off x="0" y="0"/>
                          <a:ext cx="4302125" cy="289560"/>
                        </a:xfrm>
                        <a:prstGeom prst="rect">
                          <a:avLst/>
                        </a:prstGeom>
                        <a:solidFill>
                          <a:srgbClr val="FFFFFF"/>
                        </a:solidFill>
                        <a:ln>
                          <a:noFill/>
                        </a:ln>
                      </wps:spPr>
                      <wps:txbx>
                        <w:txbxContent>
                          <w:p w14:paraId="69327B9E">
                            <w:r>
                              <w:rPr>
                                <w:rFonts w:hint="eastAsia"/>
                                <w:b/>
                              </w:rPr>
                              <w:t>打工学生：</w:t>
                            </w:r>
                            <w:r>
                              <w:rPr>
                                <w:rFonts w:hint="eastAsia"/>
                              </w:rPr>
                              <w:t>仅以赚钱为目的，任何年级的学生都有可能</w:t>
                            </w:r>
                          </w:p>
                          <w:p w14:paraId="66825DB4">
                            <w:r>
                              <w:rPr>
                                <w:rFonts w:hint="eastAsia"/>
                              </w:rPr>
                              <w:t>（勤工俭学≠打工）</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文本框 14" o:spid="_x0000_s1026" o:spt="202" type="#_x0000_t202" style="position:absolute;left:0pt;margin-left:137.2pt;margin-top:12.3pt;height:22.8pt;width:338.75pt;z-index:251663360;mso-width-relative:page;mso-height-relative:margin;mso-height-percent:200;" fillcolor="#FFFFFF" filled="t" stroked="f" coordsize="21600,21600" o:gfxdata="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B7RHaTZAAAACQEAAA8AAAAAAAAAAQAgAAAA&#10;IgAAAGRycy9kb3ducmV2LnhtbFBLAQIUABQAAAAIAIdO4kBLVMHs0QEAAJIDAAAOAAAAAAAAAAEA&#10;IAAAACgBAABkcnMvZTJvRG9jLnhtbFBLBQYAAAAABgAGAFkBAABrBQAAAAA=&#10;">
                <v:fill on="t" focussize="0,0"/>
                <v:stroke on="f"/>
                <v:imagedata o:title=""/>
                <o:lock v:ext="edit" aspectratio="f"/>
                <v:textbox style="mso-fit-shape-to-text:t;">
                  <w:txbxContent>
                    <w:p w14:paraId="69327B9E">
                      <w:r>
                        <w:rPr>
                          <w:rFonts w:hint="eastAsia"/>
                          <w:b/>
                        </w:rPr>
                        <w:t>打工学生：</w:t>
                      </w:r>
                      <w:r>
                        <w:rPr>
                          <w:rFonts w:hint="eastAsia"/>
                        </w:rPr>
                        <w:t>仅以赚钱为目的，任何年级的学生都有可能</w:t>
                      </w:r>
                    </w:p>
                    <w:p w14:paraId="66825DB4">
                      <w:r>
                        <w:rPr>
                          <w:rFonts w:hint="eastAsia"/>
                        </w:rPr>
                        <w:t>（勤工俭学≠打工）</w:t>
                      </w:r>
                    </w:p>
                  </w:txbxContent>
                </v:textbox>
              </v:shape>
            </w:pict>
          </mc:Fallback>
        </mc:AlternateContent>
      </w:r>
    </w:p>
    <w:p w14:paraId="396A375E">
      <w:pPr>
        <w:adjustRightInd w:val="0"/>
        <w:snapToGrid w:val="0"/>
        <w:spacing w:line="360" w:lineRule="auto"/>
        <w:rPr>
          <w:rFonts w:ascii="宋体" w:hAnsi="宋体"/>
          <w:b/>
          <w:bCs/>
          <w:color w:val="000000"/>
          <w:sz w:val="24"/>
        </w:rPr>
      </w:pPr>
    </w:p>
    <w:p w14:paraId="0AF1C8A6">
      <w:pPr>
        <w:adjustRightInd w:val="0"/>
        <w:snapToGrid w:val="0"/>
        <w:spacing w:line="360" w:lineRule="auto"/>
        <w:ind w:firstLine="562" w:firstLineChars="200"/>
        <w:rPr>
          <w:rFonts w:hint="eastAsia" w:ascii="宋体" w:hAnsi="宋体" w:eastAsiaTheme="minorEastAsia"/>
          <w:b/>
          <w:bCs/>
          <w:color w:val="000000"/>
          <w:sz w:val="28"/>
          <w:szCs w:val="24"/>
          <w:lang w:eastAsia="zh-CN"/>
        </w:rPr>
      </w:pPr>
      <w:r>
        <w:rPr>
          <w:rFonts w:hint="eastAsia" w:ascii="宋体" w:hAnsi="宋体"/>
          <w:b/>
          <w:bCs/>
          <w:color w:val="000000"/>
          <w:sz w:val="28"/>
          <w:szCs w:val="24"/>
        </w:rPr>
        <w:t>• 按职业类型分</w:t>
      </w:r>
      <w:r>
        <w:rPr>
          <w:rFonts w:hint="eastAsia" w:ascii="宋体" w:hAnsi="宋体"/>
          <w:b/>
          <w:bCs/>
          <w:color w:val="000000"/>
          <w:sz w:val="28"/>
          <w:szCs w:val="24"/>
          <w:lang w:eastAsia="zh-CN"/>
        </w:rPr>
        <w:t>：</w:t>
      </w:r>
    </w:p>
    <w:p w14:paraId="667F3DF1">
      <w:pPr>
        <w:adjustRightInd w:val="0"/>
        <w:snapToGrid w:val="0"/>
        <w:spacing w:line="360" w:lineRule="auto"/>
        <w:ind w:firstLine="472" w:firstLineChars="196"/>
        <w:rPr>
          <w:rFonts w:ascii="宋体" w:hAnsi="宋体"/>
          <w:color w:val="000000"/>
          <w:sz w:val="24"/>
        </w:rPr>
      </w:pPr>
      <w:r>
        <w:rPr>
          <w:rFonts w:hint="eastAsia" w:ascii="宋体" w:hAnsi="宋体"/>
          <w:b/>
          <w:color w:val="000000"/>
          <w:sz w:val="24"/>
        </w:rPr>
        <w:t>中层及以上管理人员</w:t>
      </w:r>
      <w:r>
        <w:rPr>
          <w:rFonts w:hint="eastAsia" w:ascii="宋体" w:hAnsi="宋体"/>
          <w:color w:val="000000"/>
          <w:sz w:val="24"/>
        </w:rPr>
        <w:t>包括：</w:t>
      </w:r>
    </w:p>
    <w:p w14:paraId="4286E3B2">
      <w:pPr>
        <w:adjustRightInd w:val="0"/>
        <w:snapToGrid w:val="0"/>
        <w:spacing w:line="360" w:lineRule="auto"/>
        <w:ind w:left="-109" w:leftChars="-52" w:firstLine="600" w:firstLineChars="250"/>
        <w:rPr>
          <w:rFonts w:ascii="宋体" w:hAnsi="宋体"/>
          <w:color w:val="000000"/>
          <w:sz w:val="24"/>
        </w:rPr>
      </w:pPr>
      <w:r>
        <w:rPr>
          <w:rFonts w:hint="eastAsia" w:ascii="宋体" w:hAnsi="宋体"/>
          <w:color w:val="000000"/>
          <w:sz w:val="24"/>
        </w:rPr>
        <w:t>1．单位主要负责人或高级管理人员（包含同级别及副职）</w:t>
      </w:r>
    </w:p>
    <w:p w14:paraId="453398C8">
      <w:pPr>
        <w:adjustRightInd w:val="0"/>
        <w:snapToGrid w:val="0"/>
        <w:spacing w:line="360" w:lineRule="auto"/>
        <w:ind w:left="-109" w:leftChars="-52" w:firstLine="600" w:firstLineChars="250"/>
        <w:rPr>
          <w:rFonts w:ascii="宋体" w:hAnsi="宋体"/>
          <w:color w:val="000000"/>
          <w:sz w:val="24"/>
        </w:rPr>
      </w:pPr>
      <w:r>
        <w:rPr>
          <w:rFonts w:hint="eastAsia" w:ascii="宋体" w:hAnsi="宋体"/>
          <w:color w:val="000000"/>
          <w:sz w:val="24"/>
        </w:rPr>
        <w:t>2．单位内的一级部门或内设机构的负责人（包含同级别及副职）</w:t>
      </w:r>
    </w:p>
    <w:p w14:paraId="7432FC09">
      <w:pPr>
        <w:adjustRightInd w:val="0"/>
        <w:snapToGrid w:val="0"/>
        <w:spacing w:line="360" w:lineRule="auto"/>
        <w:ind w:left="-109" w:leftChars="-52" w:firstLine="600" w:firstLineChars="250"/>
        <w:rPr>
          <w:rFonts w:ascii="宋体" w:hAnsi="宋体"/>
          <w:color w:val="000000"/>
          <w:sz w:val="24"/>
        </w:rPr>
      </w:pPr>
      <w:r>
        <w:rPr>
          <w:rFonts w:hint="eastAsia" w:ascii="宋体" w:hAnsi="宋体"/>
          <w:color w:val="000000"/>
          <w:sz w:val="24"/>
        </w:rPr>
        <w:t>3．特大型单位可以包括一级部门内设的管理机构的负责人（包含副职）</w:t>
      </w:r>
    </w:p>
    <w:p w14:paraId="1BCD58E1">
      <w:pPr>
        <w:spacing w:line="400" w:lineRule="exact"/>
        <w:ind w:firstLine="482" w:firstLineChars="200"/>
        <w:rPr>
          <w:rFonts w:ascii="宋体" w:hAnsi="宋体"/>
          <w:b/>
          <w:color w:val="000000"/>
          <w:sz w:val="24"/>
        </w:rPr>
      </w:pPr>
      <w:r>
        <w:rPr>
          <w:rFonts w:hint="eastAsia" w:ascii="宋体" w:hAnsi="宋体"/>
          <w:b/>
          <w:color w:val="000000"/>
          <w:sz w:val="24"/>
        </w:rPr>
        <w:t>专业技术人员：</w:t>
      </w:r>
      <w:r>
        <w:rPr>
          <w:rFonts w:hint="eastAsia" w:ascii="宋体" w:hAnsi="宋体"/>
          <w:color w:val="000000"/>
          <w:sz w:val="24"/>
        </w:rPr>
        <w:t>指专门从事各种科学研究和专业技术工作的人员。从事本类职业工作的人员，一般都要求接受过系统的专业教育，具备相应的专业理论知识，并且按规定的标准条件评聘专业技术职务，以及未聘任专业技术职务，但在专业技术岗位上工作的人员。具体包括科学研究人员、工程技术人员、农业技术人员、飞机和船舶技术人员、卫生专业技术人员、经济和金融专业人员、监察、法律、社会和宗教专业人员、教学人员、文学艺术、体育专业人员、新闻出版、文化专业人员、其他专业技术人员。</w:t>
      </w:r>
      <w:r>
        <w:rPr>
          <w:rFonts w:hint="eastAsia" w:ascii="宋体" w:hAnsi="宋体"/>
          <w:b/>
          <w:color w:val="000000"/>
          <w:sz w:val="24"/>
        </w:rPr>
        <w:t>注：会计属于专业技术人员</w:t>
      </w:r>
    </w:p>
    <w:p w14:paraId="63A6A96E">
      <w:pPr>
        <w:spacing w:line="400" w:lineRule="exact"/>
        <w:ind w:firstLine="482" w:firstLineChars="200"/>
        <w:rPr>
          <w:rFonts w:ascii="宋体" w:hAnsi="宋体"/>
          <w:b/>
          <w:color w:val="000000"/>
          <w:sz w:val="24"/>
        </w:rPr>
      </w:pPr>
      <w:r>
        <w:rPr>
          <w:rFonts w:hint="eastAsia" w:ascii="宋体" w:hAnsi="宋体"/>
          <w:b/>
          <w:color w:val="000000"/>
          <w:sz w:val="24"/>
        </w:rPr>
        <w:t>办事人员和有关人员：</w:t>
      </w:r>
      <w:r>
        <w:rPr>
          <w:rFonts w:hint="eastAsia" w:ascii="宋体" w:hAnsi="宋体"/>
          <w:color w:val="000000"/>
          <w:sz w:val="24"/>
        </w:rPr>
        <w:t>指在国家机关、党群组织、企业、事业单位中从事行政业务、行政事务、行政执法和仲裁、安全保卫、消防和应急救援等工作的人员。具体包括办事人员、安全和消防人员、其他办事人员和有关人员。</w:t>
      </w:r>
      <w:r>
        <w:rPr>
          <w:rFonts w:hint="eastAsia" w:ascii="宋体" w:hAnsi="宋体"/>
          <w:b/>
          <w:color w:val="000000"/>
          <w:sz w:val="24"/>
        </w:rPr>
        <w:t>一般单位均有此类人员。</w:t>
      </w:r>
    </w:p>
    <w:p w14:paraId="34A5F878">
      <w:pPr>
        <w:spacing w:line="400" w:lineRule="exact"/>
        <w:ind w:firstLine="482" w:firstLineChars="200"/>
        <w:rPr>
          <w:rFonts w:hint="eastAsia" w:ascii="宋体" w:hAnsi="宋体"/>
          <w:b/>
          <w:bCs w:val="0"/>
          <w:color w:val="000000"/>
          <w:sz w:val="24"/>
        </w:rPr>
      </w:pPr>
      <w:r>
        <w:rPr>
          <w:rFonts w:hint="eastAsia" w:ascii="宋体" w:hAnsi="宋体"/>
          <w:b/>
          <w:bCs/>
          <w:color w:val="000000"/>
          <w:sz w:val="24"/>
        </w:rPr>
        <w:t>社会生产服务和生活服务人员</w:t>
      </w:r>
      <w:r>
        <w:rPr>
          <w:rFonts w:hint="eastAsia" w:ascii="宋体" w:hAnsi="宋体"/>
          <w:b/>
          <w:color w:val="000000"/>
          <w:sz w:val="24"/>
        </w:rPr>
        <w:t>：</w:t>
      </w:r>
      <w:r>
        <w:rPr>
          <w:rFonts w:hint="eastAsia" w:ascii="宋体" w:hAnsi="宋体"/>
          <w:b w:val="0"/>
          <w:bCs/>
          <w:color w:val="000000"/>
          <w:sz w:val="24"/>
        </w:rPr>
        <w:t>指从事商品批发零售、交通运输、仓储、邮政和快递、住宿和餐饮、信息传输、软件和信息技术以及金融、房地产、租赁和商务、技术辅助、生态保护、文化、体育和娱乐等社会生产服务与生活服务工作的人员。具体包括批发与零售服务人员、交通运输、仓储和邮政业服务人员、住宿和餐饮服务人员、信息传输、软件和信息技术服务人员、金融服务人员、房地产服务人员、租赁和商务服务人员、技术辅助服务人员、水利、环境和公共设施管理服务人员、居民服务人员、电力、燃气及水供应服务人员、修理及制作服务人员、文化和教育服务人员、健康、体育和休闲服务人员、其他社会生产服务和生活服务人员。</w:t>
      </w:r>
      <w:r>
        <w:rPr>
          <w:rFonts w:hint="eastAsia" w:ascii="宋体" w:hAnsi="宋体"/>
          <w:b/>
          <w:bCs w:val="0"/>
          <w:color w:val="000000"/>
          <w:sz w:val="24"/>
        </w:rPr>
        <w:t>一般来说，批发零售业、住宿餐饮业、服务业中此类人员较多。</w:t>
      </w:r>
    </w:p>
    <w:p w14:paraId="04903E7A">
      <w:pPr>
        <w:pStyle w:val="2"/>
      </w:pPr>
    </w:p>
    <w:p w14:paraId="23861F4B">
      <w:pPr>
        <w:adjustRightInd w:val="0"/>
        <w:snapToGrid w:val="0"/>
        <w:spacing w:line="360" w:lineRule="auto"/>
        <w:ind w:firstLine="482" w:firstLineChars="200"/>
        <w:rPr>
          <w:rFonts w:ascii="宋体" w:hAnsi="宋体"/>
          <w:b/>
          <w:bCs/>
          <w:color w:val="000000"/>
          <w:sz w:val="24"/>
        </w:rPr>
      </w:pPr>
      <w:r>
        <w:rPr>
          <w:rFonts w:hint="eastAsia" w:ascii="宋体" w:hAnsi="宋体"/>
          <w:b/>
          <w:bCs/>
          <w:color w:val="000000"/>
          <w:sz w:val="24"/>
        </w:rPr>
        <w:t>生产制造及有关人员</w:t>
      </w:r>
      <w:r>
        <w:rPr>
          <w:rFonts w:hint="eastAsia" w:ascii="宋体" w:hAnsi="宋体"/>
          <w:b/>
          <w:color w:val="000000"/>
          <w:sz w:val="24"/>
        </w:rPr>
        <w:t>：</w:t>
      </w:r>
      <w:r>
        <w:rPr>
          <w:rFonts w:hint="eastAsia" w:ascii="宋体" w:hAnsi="宋体"/>
          <w:b w:val="0"/>
          <w:bCs/>
          <w:color w:val="000000"/>
          <w:sz w:val="24"/>
        </w:rPr>
        <w:t>指从事产品生产及设备制造、矿产开采、工</w:t>
      </w:r>
      <w:r>
        <w:rPr>
          <w:rFonts w:hint="eastAsia" w:ascii="宋体" w:hAnsi="宋体"/>
          <w:b w:val="0"/>
          <w:bCs w:val="0"/>
          <w:color w:val="000000"/>
          <w:sz w:val="24"/>
        </w:rPr>
        <w:t>程施工和运输设备操作的人员及有关人员。</w:t>
      </w:r>
      <w:r>
        <w:rPr>
          <w:rFonts w:hint="eastAsia" w:ascii="宋体" w:hAnsi="宋体"/>
          <w:b/>
          <w:bCs/>
          <w:color w:val="000000"/>
          <w:sz w:val="24"/>
        </w:rPr>
        <w:t>一般来说，工业、建筑业中此类人员较多。</w:t>
      </w:r>
    </w:p>
    <w:p w14:paraId="4DC3CA2F">
      <w:pPr>
        <w:adjustRightInd w:val="0"/>
        <w:snapToGrid w:val="0"/>
        <w:spacing w:line="360" w:lineRule="auto"/>
        <w:ind w:firstLine="562" w:firstLineChars="200"/>
        <w:rPr>
          <w:rFonts w:hint="eastAsia" w:ascii="宋体" w:hAnsi="宋体" w:eastAsiaTheme="minorEastAsia"/>
          <w:b/>
          <w:bCs/>
          <w:color w:val="000000"/>
          <w:sz w:val="28"/>
          <w:szCs w:val="24"/>
          <w:lang w:eastAsia="zh-CN"/>
        </w:rPr>
      </w:pPr>
      <w:r>
        <w:rPr>
          <w:rFonts w:hint="eastAsia" w:ascii="宋体" w:hAnsi="宋体"/>
          <w:b/>
          <w:bCs/>
          <w:color w:val="000000"/>
          <w:sz w:val="28"/>
          <w:szCs w:val="24"/>
        </w:rPr>
        <w:t>•按人员类型分</w:t>
      </w:r>
      <w:r>
        <w:rPr>
          <w:rFonts w:hint="eastAsia" w:ascii="宋体" w:hAnsi="宋体"/>
          <w:b/>
          <w:bCs/>
          <w:color w:val="000000"/>
          <w:sz w:val="28"/>
          <w:szCs w:val="24"/>
          <w:lang w:eastAsia="zh-CN"/>
        </w:rPr>
        <w:t>：</w:t>
      </w:r>
    </w:p>
    <w:p w14:paraId="24FCB633">
      <w:pPr>
        <w:adjustRightInd w:val="0"/>
        <w:snapToGrid w:val="0"/>
        <w:spacing w:line="360" w:lineRule="auto"/>
        <w:ind w:firstLine="482" w:firstLineChars="200"/>
        <w:rPr>
          <w:rFonts w:ascii="宋体" w:hAnsi="宋体"/>
          <w:b/>
          <w:bCs/>
          <w:color w:val="000000"/>
          <w:sz w:val="24"/>
        </w:rPr>
      </w:pPr>
      <w:r>
        <w:rPr>
          <w:rFonts w:hint="eastAsia" w:ascii="宋体" w:hAnsi="宋体"/>
          <w:b/>
          <w:bCs/>
          <w:color w:val="000000"/>
          <w:sz w:val="24"/>
        </w:rPr>
        <w:t>在岗职工：</w:t>
      </w:r>
    </w:p>
    <w:p w14:paraId="1E74D7D1">
      <w:pPr>
        <w:widowControl/>
        <w:adjustRightInd w:val="0"/>
        <w:snapToGrid w:val="0"/>
        <w:spacing w:line="360" w:lineRule="auto"/>
        <w:ind w:firstLine="480" w:firstLineChars="200"/>
        <w:rPr>
          <w:rFonts w:ascii="宋体" w:hAnsi="宋体"/>
          <w:color w:val="000000"/>
          <w:sz w:val="24"/>
        </w:rPr>
      </w:pPr>
      <w:r>
        <w:rPr>
          <w:rFonts w:hint="eastAsia" w:ascii="宋体" w:hAnsi="宋体"/>
          <w:b w:val="0"/>
          <w:bCs/>
          <w:color w:val="000000"/>
          <w:sz w:val="24"/>
        </w:rPr>
        <w:t>计算原则是</w:t>
      </w:r>
      <w:r>
        <w:rPr>
          <w:rFonts w:hint="eastAsia" w:ascii="宋体" w:hAnsi="宋体"/>
          <w:b/>
          <w:color w:val="000000"/>
          <w:sz w:val="24"/>
        </w:rPr>
        <w:t>“谁发工资谁统计</w:t>
      </w:r>
      <w:r>
        <w:rPr>
          <w:rFonts w:ascii="宋体" w:hAnsi="宋体"/>
          <w:b/>
          <w:color w:val="000000"/>
          <w:sz w:val="24"/>
        </w:rPr>
        <w:t>”</w:t>
      </w:r>
      <w:r>
        <w:rPr>
          <w:rFonts w:hint="eastAsia" w:ascii="宋体" w:hAnsi="宋体"/>
          <w:color w:val="000000"/>
          <w:sz w:val="24"/>
        </w:rPr>
        <w:t>，具体理解为：</w:t>
      </w:r>
    </w:p>
    <w:p w14:paraId="2B949858">
      <w:pPr>
        <w:spacing w:line="360" w:lineRule="auto"/>
        <w:outlineLvl w:val="0"/>
        <w:rPr>
          <w:rFonts w:ascii="宋体" w:hAnsi="宋体"/>
          <w:bCs/>
          <w:sz w:val="24"/>
        </w:rPr>
      </w:pPr>
      <w:r>
        <w:rPr>
          <w:rFonts w:hint="eastAsia" w:ascii="宋体" w:hAnsi="宋体"/>
          <w:bCs/>
          <w:sz w:val="24"/>
        </w:rPr>
        <w:t xml:space="preserve">    （1）支付给本单位人员的工资在本单位的财务账上有反映</w:t>
      </w:r>
    </w:p>
    <w:p w14:paraId="2DAAC9F9">
      <w:pPr>
        <w:spacing w:line="360" w:lineRule="auto"/>
        <w:ind w:firstLine="480" w:firstLineChars="200"/>
        <w:rPr>
          <w:rFonts w:ascii="宋体" w:hAnsi="宋体"/>
          <w:bCs/>
          <w:sz w:val="24"/>
        </w:rPr>
      </w:pPr>
      <w:r>
        <w:rPr>
          <w:rFonts w:hint="eastAsia" w:ascii="宋体" w:hAnsi="宋体"/>
          <w:bCs/>
          <w:sz w:val="24"/>
        </w:rPr>
        <w:t>（2）工资由本单位直接支付给员工</w:t>
      </w:r>
    </w:p>
    <w:p w14:paraId="72FE22CA">
      <w:pPr>
        <w:spacing w:line="360" w:lineRule="auto"/>
        <w:ind w:firstLine="480" w:firstLineChars="200"/>
        <w:outlineLvl w:val="0"/>
        <w:rPr>
          <w:rFonts w:ascii="宋体" w:hAnsi="宋体"/>
          <w:bCs/>
          <w:sz w:val="24"/>
        </w:rPr>
      </w:pPr>
      <w:r>
        <w:rPr>
          <w:rFonts w:hint="eastAsia" w:ascii="宋体" w:hAnsi="宋体"/>
          <w:bCs/>
          <w:sz w:val="24"/>
        </w:rPr>
        <w:t>（3）一般来讲，档案关系在本单位、人才、职介或自存</w:t>
      </w:r>
    </w:p>
    <w:p w14:paraId="1100436F">
      <w:pPr>
        <w:widowControl/>
        <w:adjustRightInd w:val="0"/>
        <w:snapToGrid w:val="0"/>
        <w:spacing w:line="360" w:lineRule="auto"/>
        <w:ind w:firstLine="470" w:firstLineChars="196"/>
        <w:rPr>
          <w:rFonts w:ascii="宋体" w:hAnsi="宋体"/>
          <w:bCs/>
          <w:sz w:val="24"/>
        </w:rPr>
      </w:pPr>
      <w:r>
        <w:rPr>
          <w:rFonts w:hint="eastAsia" w:ascii="宋体" w:hAnsi="宋体"/>
          <w:bCs/>
          <w:sz w:val="24"/>
          <w:lang w:eastAsia="zh-CN"/>
        </w:rPr>
        <w:t>注意：</w:t>
      </w:r>
      <w:r>
        <w:rPr>
          <w:rFonts w:hint="eastAsia" w:ascii="宋体" w:hAnsi="宋体"/>
          <w:bCs/>
          <w:sz w:val="24"/>
        </w:rPr>
        <w:t>在本单位及其他任何单位均没有社会保险关系，且只在一家单位工作的自行缴纳社会保险的人员（如农民工），作为在岗职工统计。</w:t>
      </w:r>
    </w:p>
    <w:p w14:paraId="1C566059">
      <w:pPr>
        <w:pStyle w:val="6"/>
        <w:adjustRightInd w:val="0"/>
        <w:snapToGrid w:val="0"/>
        <w:spacing w:line="360" w:lineRule="auto"/>
        <w:ind w:firstLine="0"/>
        <w:rPr>
          <w:b/>
          <w:bCs/>
          <w:color w:val="000000"/>
          <w:sz w:val="24"/>
          <w:szCs w:val="24"/>
        </w:rPr>
      </w:pPr>
      <w:r>
        <w:rPr>
          <w:rFonts w:hint="eastAsia"/>
          <w:b/>
          <w:bCs/>
          <w:color w:val="000000"/>
          <w:sz w:val="24"/>
          <w:szCs w:val="24"/>
        </w:rPr>
        <w:t xml:space="preserve">    劳务派遣人员：</w:t>
      </w:r>
    </w:p>
    <w:p w14:paraId="2DE11A7A">
      <w:pPr>
        <w:pStyle w:val="6"/>
        <w:adjustRightInd w:val="0"/>
        <w:snapToGrid w:val="0"/>
        <w:spacing w:line="360" w:lineRule="auto"/>
        <w:ind w:firstLine="480" w:firstLineChars="200"/>
        <w:rPr>
          <w:bCs/>
          <w:color w:val="auto"/>
          <w:sz w:val="24"/>
          <w:szCs w:val="24"/>
        </w:rPr>
      </w:pPr>
      <w:r>
        <w:rPr>
          <w:rFonts w:hint="eastAsia"/>
          <w:bCs/>
          <w:color w:val="auto"/>
          <w:sz w:val="24"/>
          <w:szCs w:val="24"/>
        </w:rPr>
        <w:t>无论用工单位（派遣人员的使用方）是否直接支付劳动报酬，劳务派遣人员均由实际用工单位填报在“劳务派遣人员”指标中。</w:t>
      </w:r>
    </w:p>
    <w:p w14:paraId="54AFBC08">
      <w:pPr>
        <w:pStyle w:val="6"/>
        <w:adjustRightInd w:val="0"/>
        <w:snapToGrid w:val="0"/>
        <w:spacing w:line="360" w:lineRule="auto"/>
        <w:ind w:firstLine="480" w:firstLineChars="200"/>
        <w:rPr>
          <w:bCs/>
          <w:color w:val="auto"/>
          <w:sz w:val="24"/>
          <w:szCs w:val="24"/>
        </w:rPr>
      </w:pPr>
      <w:r>
        <w:rPr>
          <w:rFonts w:hint="eastAsia"/>
          <w:bCs/>
          <w:color w:val="auto"/>
          <w:sz w:val="24"/>
          <w:szCs w:val="24"/>
        </w:rPr>
        <w:t>劳务派遣单位（派出单位）不填报这些人员。</w:t>
      </w:r>
    </w:p>
    <w:p w14:paraId="6D1B6E25">
      <w:pPr>
        <w:widowControl/>
        <w:adjustRightInd w:val="0"/>
        <w:snapToGrid w:val="0"/>
        <w:spacing w:line="360" w:lineRule="auto"/>
        <w:ind w:firstLine="472" w:firstLineChars="196"/>
        <w:jc w:val="left"/>
        <w:rPr>
          <w:rFonts w:ascii="宋体" w:hAnsi="宋体"/>
          <w:b/>
          <w:bCs/>
          <w:sz w:val="24"/>
        </w:rPr>
      </w:pPr>
      <w:r>
        <w:rPr>
          <w:rFonts w:hint="eastAsia" w:ascii="宋体" w:hAnsi="宋体"/>
          <w:b/>
          <w:bCs/>
          <w:sz w:val="24"/>
        </w:rPr>
        <w:t>其他从业人员：</w:t>
      </w:r>
    </w:p>
    <w:p w14:paraId="1D8E103B">
      <w:pPr>
        <w:widowControl/>
        <w:adjustRightInd w:val="0"/>
        <w:snapToGrid w:val="0"/>
        <w:spacing w:line="360" w:lineRule="auto"/>
        <w:ind w:firstLine="480" w:firstLineChars="200"/>
        <w:rPr>
          <w:rFonts w:ascii="宋体" w:hAnsi="宋体"/>
          <w:bCs/>
          <w:sz w:val="24"/>
        </w:rPr>
      </w:pPr>
      <w:r>
        <w:rPr>
          <w:rFonts w:hint="eastAsia" w:ascii="宋体" w:hAnsi="宋体"/>
          <w:bCs/>
          <w:sz w:val="24"/>
        </w:rPr>
        <w:t>指本单位从业人员中不能归入在岗职工和劳务派遣人员，但实际参加本单位生产或工作并取得劳动报酬的人员。如：聘用的离退休人员、聘用的港澳台和外籍人员、兼职人员（包括利用课余时间打工的在校学生）和第二职业者等。</w:t>
      </w:r>
    </w:p>
    <w:p w14:paraId="3114F1A1">
      <w:pPr>
        <w:adjustRightInd w:val="0"/>
        <w:snapToGrid w:val="0"/>
        <w:spacing w:line="360" w:lineRule="auto"/>
        <w:ind w:firstLine="480" w:firstLineChars="200"/>
        <w:rPr>
          <w:rFonts w:ascii="宋体" w:hAnsi="宋体"/>
          <w:bCs/>
          <w:sz w:val="24"/>
        </w:rPr>
      </w:pPr>
      <w:r>
        <w:rPr>
          <w:rFonts w:hint="eastAsia" w:ascii="宋体" w:hAnsi="宋体"/>
          <w:bCs/>
          <w:sz w:val="24"/>
        </w:rPr>
        <w:t>判定标准：</w:t>
      </w:r>
    </w:p>
    <w:p w14:paraId="24FDDAFF">
      <w:pPr>
        <w:adjustRightInd w:val="0"/>
        <w:snapToGrid w:val="0"/>
        <w:spacing w:line="360" w:lineRule="auto"/>
        <w:ind w:firstLine="480" w:firstLineChars="200"/>
        <w:outlineLvl w:val="0"/>
        <w:rPr>
          <w:rFonts w:ascii="宋体" w:hAnsi="宋体"/>
          <w:bCs/>
          <w:sz w:val="24"/>
        </w:rPr>
      </w:pPr>
      <w:r>
        <w:rPr>
          <w:rFonts w:hint="eastAsia" w:ascii="宋体" w:hAnsi="宋体"/>
          <w:bCs/>
          <w:sz w:val="24"/>
        </w:rPr>
        <w:t>1．本单位直接发放劳动报酬</w:t>
      </w:r>
    </w:p>
    <w:p w14:paraId="6D665745">
      <w:pPr>
        <w:adjustRightInd w:val="0"/>
        <w:snapToGrid w:val="0"/>
        <w:spacing w:line="360" w:lineRule="auto"/>
        <w:ind w:firstLine="480" w:firstLineChars="200"/>
        <w:rPr>
          <w:rFonts w:ascii="宋体" w:hAnsi="宋体"/>
          <w:bCs/>
          <w:sz w:val="24"/>
        </w:rPr>
      </w:pPr>
      <w:r>
        <w:rPr>
          <w:rFonts w:hint="eastAsia" w:ascii="宋体" w:hAnsi="宋体"/>
          <w:bCs/>
          <w:sz w:val="24"/>
        </w:rPr>
        <w:t>2．与本单位没有社会保险关系（不包括应有而没有建立的情况）</w:t>
      </w:r>
    </w:p>
    <w:p w14:paraId="1A3CF853">
      <w:pPr>
        <w:adjustRightInd w:val="0"/>
        <w:snapToGrid w:val="0"/>
        <w:spacing w:line="360" w:lineRule="auto"/>
        <w:ind w:firstLine="465"/>
        <w:outlineLvl w:val="0"/>
        <w:rPr>
          <w:rFonts w:ascii="宋体" w:hAnsi="宋体"/>
          <w:bCs/>
          <w:sz w:val="24"/>
        </w:rPr>
      </w:pPr>
      <w:r>
        <w:rPr>
          <w:rFonts w:hint="eastAsia" w:ascii="宋体" w:hAnsi="宋体"/>
          <w:bCs/>
          <w:sz w:val="24"/>
        </w:rPr>
        <w:t>3．社会保险（如果有）在其他单位</w:t>
      </w:r>
    </w:p>
    <w:p w14:paraId="48E0CC50">
      <w:pPr>
        <w:widowControl/>
        <w:adjustRightInd w:val="0"/>
        <w:snapToGrid w:val="0"/>
        <w:spacing w:line="360" w:lineRule="auto"/>
        <w:ind w:firstLine="472" w:firstLineChars="196"/>
      </w:pPr>
      <w:r>
        <w:rPr>
          <w:rFonts w:hint="eastAsia" w:ascii="宋体" w:hAnsi="宋体"/>
          <w:b/>
          <w:bCs/>
          <w:color w:val="000000"/>
          <w:sz w:val="24"/>
          <w:lang w:eastAsia="zh-CN"/>
        </w:rPr>
        <w:t>（二）</w:t>
      </w:r>
      <w:r>
        <w:rPr>
          <w:rFonts w:hint="eastAsia" w:ascii="宋体" w:hAnsi="宋体"/>
          <w:b/>
          <w:bCs/>
          <w:color w:val="000000"/>
          <w:sz w:val="24"/>
        </w:rPr>
        <w:t>从业人员</w:t>
      </w:r>
      <w:r>
        <w:rPr>
          <w:rFonts w:hint="eastAsia" w:ascii="宋体" w:hAnsi="宋体"/>
          <w:b/>
          <w:bCs/>
          <w:color w:val="000000"/>
          <w:sz w:val="24"/>
          <w:lang w:eastAsia="zh-CN"/>
        </w:rPr>
        <w:t>平均</w:t>
      </w:r>
      <w:r>
        <w:rPr>
          <w:rFonts w:hint="eastAsia" w:ascii="宋体" w:hAnsi="宋体"/>
          <w:b/>
          <w:bCs/>
          <w:color w:val="000000"/>
          <w:sz w:val="24"/>
        </w:rPr>
        <w:t>人数</w:t>
      </w:r>
      <w:r>
        <w:rPr>
          <w:rFonts w:hint="eastAsia" w:ascii="宋体" w:hAnsi="宋体"/>
          <w:b w:val="0"/>
          <w:bCs w:val="0"/>
          <w:color w:val="000000"/>
          <w:sz w:val="24"/>
        </w:rPr>
        <w:t>（</w:t>
      </w:r>
      <w:r>
        <w:rPr>
          <w:rFonts w:hint="eastAsia" w:ascii="宋体" w:hAnsi="宋体"/>
          <w:b w:val="0"/>
          <w:bCs w:val="0"/>
          <w:color w:val="000000"/>
          <w:sz w:val="24"/>
          <w:lang w:eastAsia="zh-CN"/>
        </w:rPr>
        <w:t>时期</w:t>
      </w:r>
      <w:r>
        <w:rPr>
          <w:rFonts w:hint="eastAsia" w:ascii="宋体" w:hAnsi="宋体"/>
          <w:b w:val="0"/>
          <w:bCs w:val="0"/>
          <w:color w:val="000000"/>
          <w:sz w:val="24"/>
        </w:rPr>
        <w:t>指标）</w:t>
      </w:r>
    </w:p>
    <w:p w14:paraId="1D98AF33">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1．公休日与节假日的人数应按前一天的人数计算。</w:t>
      </w:r>
    </w:p>
    <w:p w14:paraId="60D54325">
      <w:pPr>
        <w:adjustRightInd w:val="0"/>
        <w:snapToGrid w:val="0"/>
        <w:spacing w:line="360" w:lineRule="auto"/>
        <w:ind w:firstLine="480" w:firstLineChars="200"/>
        <w:rPr>
          <w:rFonts w:hint="eastAsia" w:ascii="宋体" w:hAnsi="宋体"/>
          <w:color w:val="000000"/>
          <w:sz w:val="24"/>
        </w:rPr>
      </w:pPr>
      <w:r>
        <w:rPr>
          <w:rFonts w:hint="eastAsia" w:ascii="宋体" w:hAnsi="宋体"/>
          <w:color w:val="000000"/>
          <w:sz w:val="24"/>
        </w:rPr>
        <w:t>2．对新建立不满整年的单位（年中或年末建立），在计算报告期的平均人数时，应以其建立后各月实有人数之和，除以12个月，而不能除以该单位建立的月份。</w:t>
      </w:r>
    </w:p>
    <w:p w14:paraId="1EEB78C7">
      <w:pPr>
        <w:adjustRightInd w:val="0"/>
        <w:snapToGrid w:val="0"/>
        <w:spacing w:line="360" w:lineRule="auto"/>
        <w:ind w:firstLine="480" w:firstLineChars="200"/>
        <w:rPr>
          <w:rFonts w:hint="eastAsia" w:ascii="宋体" w:hAnsi="宋体"/>
          <w:b w:val="0"/>
          <w:bCs w:val="0"/>
          <w:color w:val="000000"/>
          <w:sz w:val="24"/>
        </w:rPr>
      </w:pPr>
      <w:r>
        <w:rPr>
          <w:rFonts w:hint="eastAsia" w:ascii="宋体" w:hAnsi="宋体"/>
          <w:b w:val="0"/>
          <w:bCs w:val="0"/>
          <w:color w:val="000000"/>
          <w:sz w:val="24"/>
          <w:lang w:eastAsia="zh-CN"/>
        </w:rPr>
        <w:t>季报</w:t>
      </w:r>
      <w:r>
        <w:rPr>
          <w:rFonts w:hint="eastAsia" w:ascii="宋体" w:hAnsi="宋体"/>
          <w:b w:val="0"/>
          <w:bCs w:val="0"/>
          <w:color w:val="000000"/>
          <w:sz w:val="24"/>
        </w:rPr>
        <w:t>平均人数填报周期：</w:t>
      </w:r>
    </w:p>
    <w:p w14:paraId="19295975">
      <w:pPr>
        <w:adjustRightInd w:val="0"/>
        <w:snapToGrid w:val="0"/>
        <w:spacing w:line="360" w:lineRule="auto"/>
        <w:ind w:firstLine="420" w:firstLineChars="200"/>
        <w:rPr>
          <w:rFonts w:hint="eastAsia"/>
        </w:rPr>
      </w:pPr>
      <w:r>
        <w:rPr>
          <w:rFonts w:hint="eastAsia"/>
          <w:lang w:eastAsia="zh-CN"/>
        </w:rPr>
        <w:t>（</w:t>
      </w:r>
      <w:r>
        <w:rPr>
          <w:rFonts w:hint="eastAsia" w:ascii="宋体" w:hAnsi="宋体"/>
          <w:color w:val="000000"/>
          <w:sz w:val="24"/>
        </w:rPr>
        <w:t>1</w:t>
      </w:r>
      <w:r>
        <w:rPr>
          <w:rFonts w:hint="eastAsia"/>
          <w:lang w:eastAsia="zh-CN"/>
        </w:rPr>
        <w:t>）</w:t>
      </w:r>
      <w:r>
        <w:rPr>
          <w:rFonts w:hint="eastAsia" w:ascii="宋体" w:hAnsi="宋体"/>
          <w:color w:val="000000"/>
          <w:sz w:val="24"/>
        </w:rPr>
        <w:t>工资发放规律的单位（含偶尔发放不规律的单位）：每月平均人数需填报与工资对应月的平均人数</w:t>
      </w:r>
      <w:r>
        <w:rPr>
          <w:rFonts w:hint="eastAsia" w:ascii="宋体" w:hAnsi="宋体"/>
          <w:color w:val="000000"/>
          <w:sz w:val="24"/>
          <w:lang w:eastAsia="zh-CN"/>
        </w:rPr>
        <w:t>。</w:t>
      </w:r>
      <w:r>
        <w:rPr>
          <w:rFonts w:hint="eastAsia" w:ascii="宋体" w:hAnsi="宋体"/>
          <w:color w:val="000000"/>
          <w:sz w:val="24"/>
        </w:rPr>
        <w:t>例如，本月发本月工资，则填报本月平均人数；本月发上月工资，填报上月平均人数。</w:t>
      </w:r>
    </w:p>
    <w:p w14:paraId="07FB73AA">
      <w:pPr>
        <w:adjustRightInd w:val="0"/>
        <w:snapToGrid w:val="0"/>
        <w:spacing w:line="360" w:lineRule="auto"/>
        <w:ind w:firstLine="420" w:firstLineChars="200"/>
        <w:rPr>
          <w:rFonts w:hint="eastAsia"/>
        </w:rPr>
      </w:pPr>
      <w:r>
        <w:rPr>
          <w:rFonts w:hint="eastAsia"/>
          <w:lang w:eastAsia="zh-CN"/>
        </w:rPr>
        <w:t>（</w:t>
      </w:r>
      <w:r>
        <w:rPr>
          <w:rFonts w:hint="eastAsia" w:ascii="宋体" w:hAnsi="宋体"/>
          <w:color w:val="000000"/>
          <w:sz w:val="24"/>
          <w:lang w:val="en-US" w:eastAsia="zh-CN"/>
        </w:rPr>
        <w:t>2</w:t>
      </w:r>
      <w:r>
        <w:rPr>
          <w:rFonts w:hint="eastAsia"/>
          <w:lang w:eastAsia="zh-CN"/>
        </w:rPr>
        <w:t>）</w:t>
      </w:r>
      <w:r>
        <w:rPr>
          <w:rFonts w:hint="eastAsia" w:ascii="宋体" w:hAnsi="宋体"/>
          <w:color w:val="000000"/>
          <w:sz w:val="24"/>
        </w:rPr>
        <w:t>工资发放不规律的单位：按照报告期月份实际用工情况填报，平均人数不得填0。特殊情况：按季度发放工资，这种情况视为不规律发放工资。如在3月发放1-3月的工资，则1月和2月只填从业人员期末人数和平均人数，不填工资总额，3月填报1-3月工资总额和3月的期末人数、平均</w:t>
      </w:r>
      <w:r>
        <w:rPr>
          <w:rFonts w:hint="eastAsia" w:ascii="宋体" w:hAnsi="宋体" w:eastAsiaTheme="minorEastAsia" w:cstheme="minorBidi"/>
          <w:color w:val="000000"/>
          <w:kern w:val="2"/>
          <w:sz w:val="24"/>
          <w:szCs w:val="22"/>
          <w:lang w:val="en-US" w:eastAsia="zh-CN" w:bidi="ar-SA"/>
        </w:rPr>
        <w:t>人数</w:t>
      </w:r>
      <w:r>
        <w:rPr>
          <w:rFonts w:hint="eastAsia" w:ascii="宋体" w:hAnsi="宋体"/>
          <w:color w:val="000000"/>
          <w:sz w:val="24"/>
        </w:rPr>
        <w:t>。</w:t>
      </w:r>
    </w:p>
    <w:p w14:paraId="2F3D9974">
      <w:pPr>
        <w:adjustRightInd w:val="0"/>
        <w:snapToGrid w:val="0"/>
        <w:spacing w:line="360" w:lineRule="auto"/>
        <w:outlineLvl w:val="0"/>
        <w:rPr>
          <w:rFonts w:hint="eastAsia" w:ascii="宋体" w:hAnsi="宋体"/>
          <w:b/>
          <w:bCs/>
          <w:color w:val="000000"/>
          <w:sz w:val="28"/>
          <w:szCs w:val="28"/>
          <w:lang w:val="en-US" w:eastAsia="zh-CN"/>
        </w:rPr>
      </w:pPr>
      <w:r>
        <w:rPr>
          <w:rFonts w:hint="eastAsia" w:ascii="宋体" w:hAnsi="宋体"/>
          <w:b/>
          <w:bCs/>
          <w:color w:val="000000"/>
          <w:sz w:val="28"/>
          <w:szCs w:val="28"/>
          <w:lang w:eastAsia="zh-CN"/>
        </w:rPr>
        <w:t>五</w:t>
      </w:r>
      <w:r>
        <w:rPr>
          <w:rFonts w:hint="eastAsia" w:ascii="宋体" w:hAnsi="宋体"/>
          <w:b/>
          <w:bCs/>
          <w:color w:val="000000"/>
          <w:sz w:val="28"/>
          <w:szCs w:val="28"/>
        </w:rPr>
        <w:t>、</w:t>
      </w:r>
      <w:r>
        <w:rPr>
          <w:rFonts w:hint="eastAsia" w:ascii="宋体" w:hAnsi="宋体"/>
          <w:b/>
          <w:bCs/>
          <w:color w:val="000000"/>
          <w:sz w:val="28"/>
          <w:szCs w:val="28"/>
          <w:lang w:eastAsia="zh-CN"/>
        </w:rPr>
        <w:t>从业人员</w:t>
      </w:r>
      <w:r>
        <w:rPr>
          <w:rFonts w:hint="eastAsia" w:ascii="宋体" w:hAnsi="宋体"/>
          <w:b/>
          <w:bCs/>
          <w:color w:val="000000"/>
          <w:sz w:val="28"/>
          <w:szCs w:val="28"/>
        </w:rPr>
        <w:t>工资</w:t>
      </w:r>
      <w:r>
        <w:rPr>
          <w:rFonts w:hint="eastAsia" w:ascii="宋体" w:hAnsi="宋体"/>
          <w:b/>
          <w:bCs/>
          <w:color w:val="000000"/>
          <w:sz w:val="28"/>
          <w:szCs w:val="28"/>
          <w:lang w:eastAsia="zh-CN"/>
        </w:rPr>
        <w:t>总额</w:t>
      </w:r>
      <w:r>
        <w:rPr>
          <w:rFonts w:hint="eastAsia" w:ascii="宋体" w:hAnsi="宋体"/>
          <w:b/>
          <w:bCs/>
          <w:color w:val="000000"/>
          <w:sz w:val="28"/>
          <w:szCs w:val="28"/>
        </w:rPr>
        <w:t>指标</w:t>
      </w:r>
      <w:r>
        <w:rPr>
          <w:rFonts w:hint="eastAsia" w:ascii="宋体" w:hAnsi="宋体"/>
          <w:b/>
          <w:bCs/>
          <w:color w:val="000000"/>
          <w:sz w:val="28"/>
          <w:szCs w:val="28"/>
          <w:lang w:val="en-US" w:eastAsia="zh-CN"/>
        </w:rPr>
        <w:t xml:space="preserve"> </w:t>
      </w:r>
    </w:p>
    <w:p w14:paraId="2A56839C">
      <w:pPr>
        <w:widowControl/>
        <w:adjustRightInd w:val="0"/>
        <w:snapToGrid w:val="0"/>
        <w:spacing w:line="360" w:lineRule="auto"/>
        <w:ind w:firstLine="480" w:firstLineChars="200"/>
        <w:jc w:val="left"/>
        <w:rPr>
          <w:rFonts w:ascii="宋体" w:hAnsi="宋体"/>
          <w:color w:val="000000"/>
          <w:sz w:val="24"/>
        </w:rPr>
      </w:pPr>
      <w:r>
        <w:rPr>
          <w:rFonts w:hint="eastAsia" w:ascii="宋体" w:hAnsi="宋体"/>
          <w:color w:val="000000"/>
          <w:sz w:val="24"/>
        </w:rPr>
        <w:t>包括计时工资、计件工资、奖金、津贴和补贴、加班加点工资、特殊情况下支付的工资。</w:t>
      </w:r>
      <w:r>
        <w:rPr>
          <w:rFonts w:hint="eastAsia" w:ascii="宋体" w:hAnsi="宋体"/>
          <w:b/>
          <w:color w:val="000000"/>
          <w:sz w:val="24"/>
        </w:rPr>
        <w:t>不包括</w:t>
      </w:r>
      <w:r>
        <w:rPr>
          <w:rFonts w:hint="eastAsia" w:ascii="宋体" w:hAnsi="宋体"/>
          <w:color w:val="000000"/>
          <w:sz w:val="24"/>
        </w:rPr>
        <w:t xml:space="preserve">病假、事假等情况的扣款 </w:t>
      </w:r>
    </w:p>
    <w:p w14:paraId="6B020B7A">
      <w:pPr>
        <w:adjustRightInd w:val="0"/>
        <w:snapToGrid w:val="0"/>
        <w:spacing w:line="360" w:lineRule="auto"/>
        <w:ind w:firstLine="562" w:firstLineChars="200"/>
        <w:rPr>
          <w:rFonts w:hint="eastAsia" w:ascii="宋体" w:hAnsi="宋体" w:eastAsiaTheme="minorEastAsia"/>
          <w:b/>
          <w:bCs/>
          <w:color w:val="000000"/>
          <w:sz w:val="28"/>
          <w:szCs w:val="24"/>
          <w:lang w:eastAsia="zh-CN"/>
        </w:rPr>
      </w:pPr>
      <w:r>
        <w:rPr>
          <w:rFonts w:hint="eastAsia" w:ascii="宋体" w:hAnsi="宋体"/>
          <w:b/>
          <w:bCs/>
          <w:color w:val="000000"/>
          <w:sz w:val="28"/>
          <w:szCs w:val="24"/>
        </w:rPr>
        <w:t>•按人员类型分</w:t>
      </w:r>
      <w:r>
        <w:rPr>
          <w:rFonts w:hint="eastAsia" w:ascii="宋体" w:hAnsi="宋体"/>
          <w:b/>
          <w:bCs/>
          <w:color w:val="000000"/>
          <w:sz w:val="28"/>
          <w:szCs w:val="24"/>
          <w:lang w:eastAsia="zh-CN"/>
        </w:rPr>
        <w:t>：</w:t>
      </w:r>
    </w:p>
    <w:p w14:paraId="03CE3A30">
      <w:pPr>
        <w:pStyle w:val="2"/>
        <w:rPr>
          <w:rFonts w:hint="eastAsia" w:ascii="宋体" w:hAnsi="宋体" w:cstheme="minorBidi"/>
          <w:b/>
          <w:bCs/>
          <w:color w:val="auto"/>
          <w:kern w:val="2"/>
          <w:sz w:val="24"/>
          <w:szCs w:val="22"/>
          <w:lang w:val="en-US" w:eastAsia="zh-CN" w:bidi="ar-SA"/>
        </w:rPr>
      </w:pPr>
      <w:r>
        <w:rPr>
          <w:rFonts w:hint="eastAsia" w:ascii="宋体" w:hAnsi="宋体" w:cstheme="minorBidi"/>
          <w:b/>
          <w:bCs/>
          <w:color w:val="auto"/>
          <w:kern w:val="2"/>
          <w:sz w:val="24"/>
          <w:szCs w:val="22"/>
          <w:lang w:val="en-US" w:eastAsia="zh-CN" w:bidi="ar-SA"/>
        </w:rPr>
        <w:t>按工资类型分组指标：</w:t>
      </w:r>
    </w:p>
    <w:p w14:paraId="023C5083">
      <w:pPr>
        <w:pStyle w:val="2"/>
        <w:rPr>
          <w:rFonts w:hint="eastAsia" w:ascii="宋体" w:hAnsi="宋体" w:eastAsiaTheme="minorEastAsia" w:cstheme="minorBidi"/>
          <w:color w:val="000000"/>
          <w:kern w:val="2"/>
          <w:sz w:val="24"/>
          <w:szCs w:val="22"/>
          <w:lang w:val="en-US" w:eastAsia="zh-CN" w:bidi="ar-SA"/>
        </w:rPr>
      </w:pPr>
      <w:r>
        <w:rPr>
          <w:rFonts w:hint="eastAsia" w:ascii="宋体" w:hAnsi="宋体" w:eastAsiaTheme="minorEastAsia" w:cstheme="minorBidi"/>
          <w:b/>
          <w:bCs/>
          <w:color w:val="000000"/>
          <w:kern w:val="2"/>
          <w:sz w:val="24"/>
          <w:szCs w:val="22"/>
          <w:lang w:val="en-US" w:eastAsia="zh-CN" w:bidi="ar-SA"/>
        </w:rPr>
        <w:t>正常工资：</w:t>
      </w:r>
      <w:r>
        <w:rPr>
          <w:rFonts w:hint="eastAsia" w:ascii="宋体" w:hAnsi="宋体" w:eastAsiaTheme="minorEastAsia" w:cstheme="minorBidi"/>
          <w:color w:val="000000"/>
          <w:kern w:val="2"/>
          <w:sz w:val="24"/>
          <w:szCs w:val="22"/>
          <w:lang w:val="en-US" w:eastAsia="zh-CN" w:bidi="ar-SA"/>
        </w:rPr>
        <w:t>按月规律性发放的工资部分，包括月度基本工资和绩效工资，月度奖金、月度津贴和补贴等。因各种原因偶尔拖欠工资而造成的延迟或错月补发的正常工资应填在本项。</w:t>
      </w:r>
    </w:p>
    <w:p w14:paraId="554B0B2D">
      <w:pPr>
        <w:pStyle w:val="2"/>
        <w:rPr>
          <w:rFonts w:hint="eastAsia" w:ascii="宋体" w:hAnsi="宋体" w:eastAsiaTheme="minorEastAsia" w:cstheme="minorBidi"/>
          <w:color w:val="000000"/>
          <w:kern w:val="2"/>
          <w:sz w:val="24"/>
          <w:szCs w:val="22"/>
          <w:lang w:val="en-US" w:eastAsia="zh-CN" w:bidi="ar-SA"/>
        </w:rPr>
      </w:pPr>
      <w:r>
        <w:rPr>
          <w:rFonts w:hint="eastAsia" w:ascii="宋体" w:hAnsi="宋体" w:eastAsiaTheme="minorEastAsia" w:cstheme="minorBidi"/>
          <w:b/>
          <w:bCs/>
          <w:color w:val="000000"/>
          <w:kern w:val="2"/>
          <w:sz w:val="24"/>
          <w:szCs w:val="22"/>
          <w:lang w:val="en-US" w:eastAsia="zh-CN" w:bidi="ar-SA"/>
        </w:rPr>
        <w:t>不定期奖金：</w:t>
      </w:r>
      <w:r>
        <w:rPr>
          <w:rFonts w:hint="eastAsia" w:ascii="宋体" w:hAnsi="宋体" w:eastAsiaTheme="minorEastAsia" w:cstheme="minorBidi"/>
          <w:color w:val="000000"/>
          <w:kern w:val="2"/>
          <w:sz w:val="24"/>
          <w:szCs w:val="22"/>
          <w:lang w:val="en-US" w:eastAsia="zh-CN" w:bidi="ar-SA"/>
        </w:rPr>
        <w:t>非按月度规律发放的奖金，包括年终一次性奖金或经过一段时间（季度或半年度等）积累而发放的奖金。</w:t>
      </w:r>
    </w:p>
    <w:p w14:paraId="300BA8C7">
      <w:pPr>
        <w:pStyle w:val="2"/>
        <w:rPr>
          <w:rFonts w:hint="eastAsia" w:ascii="宋体" w:hAnsi="宋体" w:eastAsiaTheme="minorEastAsia" w:cstheme="minorBidi"/>
          <w:color w:val="000000"/>
          <w:kern w:val="2"/>
          <w:sz w:val="24"/>
          <w:szCs w:val="22"/>
          <w:lang w:val="en-US" w:eastAsia="zh-CN" w:bidi="ar-SA"/>
        </w:rPr>
      </w:pPr>
      <w:r>
        <w:rPr>
          <w:rFonts w:hint="eastAsia" w:ascii="宋体" w:hAnsi="宋体" w:eastAsiaTheme="minorEastAsia" w:cstheme="minorBidi"/>
          <w:b/>
          <w:bCs/>
          <w:color w:val="000000"/>
          <w:kern w:val="2"/>
          <w:sz w:val="24"/>
          <w:szCs w:val="22"/>
          <w:lang w:val="en-US" w:eastAsia="zh-CN" w:bidi="ar-SA"/>
        </w:rPr>
        <w:t>其他（工资）：</w:t>
      </w:r>
      <w:r>
        <w:rPr>
          <w:rFonts w:hint="eastAsia" w:ascii="宋体" w:hAnsi="宋体" w:eastAsiaTheme="minorEastAsia" w:cstheme="minorBidi"/>
          <w:color w:val="000000"/>
          <w:kern w:val="2"/>
          <w:sz w:val="24"/>
          <w:szCs w:val="22"/>
          <w:lang w:val="en-US" w:eastAsia="zh-CN" w:bidi="ar-SA"/>
        </w:rPr>
        <w:t xml:space="preserve">不能包括在正常工资和不定期奖金以内的其他工资部分，包括因当年调整工资（或补贴）标准而补发的上年度工资或各种补贴等。  </w:t>
      </w:r>
    </w:p>
    <w:p w14:paraId="7AF30637">
      <w:pPr>
        <w:pStyle w:val="2"/>
        <w:rPr>
          <w:rFonts w:hint="eastAsia"/>
          <w:lang w:val="en-US" w:eastAsia="zh-CN"/>
        </w:rPr>
      </w:pPr>
      <w:r>
        <w:rPr>
          <w:rFonts w:hint="eastAsia" w:ascii="宋体" w:hAnsi="宋体" w:cstheme="minorBidi"/>
          <w:b/>
          <w:bCs/>
          <w:color w:val="auto"/>
          <w:kern w:val="2"/>
          <w:sz w:val="24"/>
          <w:szCs w:val="22"/>
          <w:lang w:val="en-US" w:eastAsia="zh-CN" w:bidi="ar-SA"/>
        </w:rPr>
        <w:t>（十三月工资，取暖费，未休假补贴等非按月规律发放的工资不应计入正常工资，根据单位实际情况计入一次性奖金或其他）。</w:t>
      </w:r>
    </w:p>
    <w:p w14:paraId="1B112C4C">
      <w:pPr>
        <w:widowControl/>
        <w:adjustRightInd w:val="0"/>
        <w:snapToGrid w:val="0"/>
        <w:spacing w:line="360" w:lineRule="auto"/>
        <w:ind w:firstLine="482" w:firstLineChars="200"/>
        <w:jc w:val="left"/>
        <w:rPr>
          <w:rFonts w:ascii="宋体" w:hAnsi="宋体"/>
          <w:color w:val="000000"/>
          <w:sz w:val="24"/>
        </w:rPr>
      </w:pPr>
      <w:r>
        <w:rPr>
          <w:rFonts w:hint="eastAsia" w:ascii="宋体" w:hAnsi="宋体"/>
          <w:b/>
          <w:bCs/>
          <w:color w:val="000000"/>
          <w:sz w:val="24"/>
        </w:rPr>
        <w:t>注意</w:t>
      </w:r>
      <w:r>
        <w:rPr>
          <w:rFonts w:hint="eastAsia" w:ascii="宋体" w:hAnsi="宋体"/>
          <w:color w:val="000000"/>
          <w:sz w:val="24"/>
        </w:rPr>
        <w:t>：</w:t>
      </w:r>
      <w:r>
        <w:rPr>
          <w:rFonts w:hint="eastAsia" w:ascii="宋体" w:hAnsi="宋体"/>
          <w:color w:val="000000"/>
          <w:sz w:val="24"/>
          <w:lang w:eastAsia="zh-CN"/>
        </w:rPr>
        <w:t>工资总额</w:t>
      </w:r>
      <w:r>
        <w:rPr>
          <w:rFonts w:hint="eastAsia" w:ascii="宋体" w:hAnsi="宋体"/>
          <w:color w:val="000000"/>
          <w:sz w:val="24"/>
        </w:rPr>
        <w:t>计量单位是</w:t>
      </w:r>
      <w:r>
        <w:rPr>
          <w:rFonts w:hint="eastAsia" w:ascii="宋体" w:hAnsi="宋体"/>
          <w:b/>
          <w:bCs/>
          <w:color w:val="000000"/>
          <w:sz w:val="24"/>
        </w:rPr>
        <w:t>千元</w:t>
      </w:r>
      <w:r>
        <w:rPr>
          <w:rFonts w:hint="eastAsia" w:ascii="宋体" w:hAnsi="宋体"/>
          <w:color w:val="000000"/>
          <w:sz w:val="24"/>
        </w:rPr>
        <w:t>，错填为元，平均工资放大1000倍；错填为万元，则平均工资缩小10倍。</w:t>
      </w:r>
    </w:p>
    <w:p w14:paraId="53F4BF10">
      <w:pPr>
        <w:adjustRightInd w:val="0"/>
        <w:snapToGrid w:val="0"/>
        <w:spacing w:line="360" w:lineRule="auto"/>
        <w:ind w:firstLine="472" w:firstLineChars="196"/>
        <w:rPr>
          <w:rFonts w:ascii="宋体" w:hAnsi="宋体"/>
          <w:b/>
          <w:color w:val="000000"/>
          <w:kern w:val="0"/>
          <w:sz w:val="24"/>
        </w:rPr>
      </w:pPr>
      <w:r>
        <w:rPr>
          <w:rFonts w:hint="eastAsia" w:ascii="宋体" w:hAnsi="宋体"/>
          <w:b/>
          <w:color w:val="000000"/>
          <w:sz w:val="24"/>
        </w:rPr>
        <w:t>1．计算原则</w:t>
      </w:r>
    </w:p>
    <w:p w14:paraId="3FBA42E2">
      <w:pPr>
        <w:adjustRightInd w:val="0"/>
        <w:snapToGrid w:val="0"/>
        <w:spacing w:line="360" w:lineRule="auto"/>
        <w:ind w:firstLine="480" w:firstLineChars="200"/>
        <w:rPr>
          <w:rFonts w:ascii="宋体" w:hAnsi="宋体"/>
          <w:color w:val="000000"/>
          <w:sz w:val="24"/>
        </w:rPr>
      </w:pPr>
      <w:r>
        <w:rPr>
          <w:rFonts w:ascii="宋体" w:hAnsi="宋体"/>
          <w:color w:val="000000"/>
          <w:sz w:val="24"/>
        </w:rPr>
        <w:t>•</w:t>
      </w:r>
      <w:r>
        <w:rPr>
          <w:rFonts w:hint="eastAsia" w:ascii="宋体" w:hAnsi="宋体"/>
          <w:color w:val="000000"/>
          <w:sz w:val="24"/>
        </w:rPr>
        <w:t>不管来源只管去向（不管哪来的钱，只要符合工资总额统计范围就要包括在内，具体统计范围详见报表制度工资总额指标解释）</w:t>
      </w:r>
    </w:p>
    <w:p w14:paraId="24245A09">
      <w:pPr>
        <w:adjustRightInd w:val="0"/>
        <w:snapToGrid w:val="0"/>
        <w:spacing w:line="360" w:lineRule="auto"/>
        <w:ind w:firstLine="480" w:firstLineChars="200"/>
        <w:rPr>
          <w:rFonts w:ascii="宋体" w:hAnsi="宋体"/>
          <w:color w:val="000000"/>
          <w:sz w:val="24"/>
        </w:rPr>
      </w:pPr>
      <w:r>
        <w:rPr>
          <w:rFonts w:ascii="宋体" w:hAnsi="宋体"/>
          <w:color w:val="000000"/>
          <w:sz w:val="24"/>
          <w14:shadow w14:blurRad="50800" w14:dist="38100" w14:dir="2700000" w14:sx="100000" w14:sy="100000" w14:kx="0" w14:ky="0" w14:algn="tl">
            <w14:srgbClr w14:val="000000">
              <w14:alpha w14:val="60000"/>
            </w14:srgbClr>
          </w14:shadow>
        </w:rPr>
        <w:t>•</w:t>
      </w:r>
      <w:r>
        <w:rPr>
          <w:rFonts w:hint="eastAsia" w:ascii="宋体" w:hAnsi="宋体"/>
          <w:color w:val="000000"/>
          <w:sz w:val="24"/>
        </w:rPr>
        <w:t>谁发工资谁统计</w:t>
      </w:r>
      <w:r>
        <w:rPr>
          <w:rFonts w:ascii="宋体" w:hAnsi="宋体"/>
          <w:color w:val="000000"/>
          <w:sz w:val="24"/>
        </w:rPr>
        <w:t xml:space="preserve"> </w:t>
      </w:r>
      <w:r>
        <w:rPr>
          <w:rFonts w:hint="eastAsia" w:ascii="宋体" w:hAnsi="宋体"/>
          <w:color w:val="000000"/>
          <w:sz w:val="24"/>
        </w:rPr>
        <w:t xml:space="preserve">    </w:t>
      </w:r>
      <w:r>
        <w:rPr>
          <w:rFonts w:ascii="宋体" w:hAnsi="宋体"/>
          <w:color w:val="000000"/>
          <w:sz w:val="24"/>
        </w:rPr>
        <w:t>•</w:t>
      </w:r>
      <w:r>
        <w:rPr>
          <w:rFonts w:hint="eastAsia" w:ascii="宋体" w:hAnsi="宋体"/>
          <w:color w:val="000000"/>
          <w:sz w:val="24"/>
        </w:rPr>
        <w:t>是支付给劳动者的劳动报酬</w:t>
      </w:r>
    </w:p>
    <w:p w14:paraId="7D7A5851">
      <w:pPr>
        <w:adjustRightInd w:val="0"/>
        <w:snapToGrid w:val="0"/>
        <w:spacing w:line="360" w:lineRule="auto"/>
        <w:ind w:firstLine="480" w:firstLineChars="200"/>
        <w:rPr>
          <w:rFonts w:ascii="宋体" w:hAnsi="宋体"/>
          <w:color w:val="000000"/>
          <w:sz w:val="24"/>
        </w:rPr>
      </w:pPr>
      <w:r>
        <w:rPr>
          <w:rFonts w:ascii="宋体" w:hAnsi="宋体"/>
          <w:color w:val="000000"/>
          <w:sz w:val="24"/>
        </w:rPr>
        <w:t>•</w:t>
      </w:r>
      <w:r>
        <w:rPr>
          <w:rFonts w:hint="eastAsia" w:ascii="宋体" w:hAnsi="宋体"/>
          <w:b/>
          <w:color w:val="000000"/>
          <w:sz w:val="24"/>
        </w:rPr>
        <w:t>税前工资</w:t>
      </w:r>
      <w:r>
        <w:rPr>
          <w:rFonts w:hint="eastAsia" w:ascii="宋体" w:hAnsi="宋体"/>
          <w:color w:val="000000"/>
          <w:sz w:val="24"/>
        </w:rPr>
        <w:t xml:space="preserve">           </w:t>
      </w:r>
      <w:r>
        <w:rPr>
          <w:rFonts w:ascii="宋体" w:hAnsi="宋体"/>
          <w:color w:val="000000"/>
          <w:sz w:val="24"/>
        </w:rPr>
        <w:t>•</w:t>
      </w:r>
      <w:r>
        <w:rPr>
          <w:rFonts w:hint="eastAsia" w:ascii="宋体" w:hAnsi="宋体"/>
          <w:color w:val="000000"/>
          <w:sz w:val="24"/>
        </w:rPr>
        <w:t>是由单位直接支付</w:t>
      </w:r>
      <w:r>
        <w:rPr>
          <w:rFonts w:ascii="宋体" w:hAnsi="宋体"/>
          <w:color w:val="000000"/>
          <w:sz w:val="24"/>
        </w:rPr>
        <w:t xml:space="preserve"> </w:t>
      </w:r>
      <w:r>
        <w:rPr>
          <w:rFonts w:hint="eastAsia" w:ascii="宋体" w:hAnsi="宋体"/>
          <w:color w:val="000000"/>
          <w:sz w:val="24"/>
        </w:rPr>
        <w:t xml:space="preserve">                   </w:t>
      </w:r>
    </w:p>
    <w:p w14:paraId="0D9F3CF0">
      <w:pPr>
        <w:adjustRightInd w:val="0"/>
        <w:snapToGrid w:val="0"/>
        <w:spacing w:line="360" w:lineRule="auto"/>
        <w:ind w:firstLine="480" w:firstLineChars="200"/>
        <w:rPr>
          <w:rFonts w:ascii="宋体" w:hAnsi="宋体"/>
          <w:b/>
          <w:color w:val="000000"/>
          <w:sz w:val="24"/>
        </w:rPr>
      </w:pPr>
      <w:r>
        <w:rPr>
          <w:rFonts w:ascii="宋体" w:hAnsi="宋体"/>
          <w:color w:val="000000"/>
          <w:sz w:val="24"/>
        </w:rPr>
        <w:t>•</w:t>
      </w:r>
      <w:r>
        <w:rPr>
          <w:rFonts w:hint="eastAsia" w:ascii="宋体" w:hAnsi="宋体"/>
          <w:b/>
          <w:color w:val="000000"/>
          <w:sz w:val="24"/>
        </w:rPr>
        <w:t>何时发何时统</w:t>
      </w:r>
    </w:p>
    <w:p w14:paraId="15E7324A">
      <w:pPr>
        <w:adjustRightInd w:val="0"/>
        <w:snapToGrid w:val="0"/>
        <w:spacing w:line="360" w:lineRule="auto"/>
        <w:ind w:firstLine="482" w:firstLineChars="200"/>
        <w:rPr>
          <w:rFonts w:hint="eastAsia" w:ascii="宋体" w:hAnsi="宋体"/>
          <w:b/>
          <w:bCs w:val="0"/>
          <w:color w:val="000000"/>
          <w:sz w:val="24"/>
        </w:rPr>
      </w:pPr>
      <w:r>
        <w:rPr>
          <w:rFonts w:hint="eastAsia" w:ascii="宋体" w:hAnsi="宋体"/>
          <w:b/>
          <w:bCs/>
          <w:color w:val="000000"/>
          <w:sz w:val="24"/>
        </w:rPr>
        <w:t>预发工资：</w:t>
      </w:r>
      <w:r>
        <w:rPr>
          <w:rFonts w:hint="eastAsia" w:ascii="宋体" w:hAnsi="宋体"/>
          <w:bCs/>
          <w:color w:val="000000"/>
          <w:sz w:val="24"/>
        </w:rPr>
        <w:t>提前预发的工资，仍统计在应发报告期的工资总额中。</w:t>
      </w:r>
      <w:r>
        <w:rPr>
          <w:rFonts w:hint="eastAsia" w:ascii="宋体" w:hAnsi="宋体"/>
          <w:b/>
          <w:bCs/>
          <w:color w:val="000000"/>
          <w:sz w:val="24"/>
        </w:rPr>
        <w:t>例1：</w:t>
      </w:r>
      <w:r>
        <w:rPr>
          <w:rFonts w:hint="eastAsia" w:ascii="宋体" w:hAnsi="宋体"/>
          <w:bCs/>
          <w:color w:val="000000"/>
          <w:sz w:val="24"/>
        </w:rPr>
        <w:t>202</w:t>
      </w:r>
      <w:r>
        <w:rPr>
          <w:rFonts w:hint="eastAsia" w:ascii="宋体" w:hAnsi="宋体"/>
          <w:bCs/>
          <w:color w:val="000000"/>
          <w:sz w:val="24"/>
          <w:lang w:val="en-US" w:eastAsia="zh-CN"/>
        </w:rPr>
        <w:t>4</w:t>
      </w:r>
      <w:r>
        <w:rPr>
          <w:rFonts w:hint="eastAsia" w:ascii="宋体" w:hAnsi="宋体"/>
          <w:bCs/>
          <w:color w:val="000000"/>
          <w:sz w:val="24"/>
        </w:rPr>
        <w:t>年提前发放的202</w:t>
      </w:r>
      <w:r>
        <w:rPr>
          <w:rFonts w:hint="eastAsia" w:ascii="宋体" w:hAnsi="宋体"/>
          <w:bCs/>
          <w:color w:val="000000"/>
          <w:sz w:val="24"/>
          <w:lang w:val="en-US" w:eastAsia="zh-CN"/>
        </w:rPr>
        <w:t>5</w:t>
      </w:r>
      <w:r>
        <w:rPr>
          <w:rFonts w:hint="eastAsia" w:ascii="宋体" w:hAnsi="宋体"/>
          <w:bCs/>
          <w:color w:val="000000"/>
          <w:sz w:val="24"/>
        </w:rPr>
        <w:t>年的工资应该统计在202</w:t>
      </w:r>
      <w:r>
        <w:rPr>
          <w:rFonts w:hint="eastAsia" w:ascii="宋体" w:hAnsi="宋体"/>
          <w:bCs/>
          <w:color w:val="000000"/>
          <w:sz w:val="24"/>
          <w:lang w:val="en-US" w:eastAsia="zh-CN"/>
        </w:rPr>
        <w:t>5</w:t>
      </w:r>
      <w:r>
        <w:rPr>
          <w:rFonts w:hint="eastAsia" w:ascii="宋体" w:hAnsi="宋体"/>
          <w:bCs/>
          <w:color w:val="000000"/>
          <w:sz w:val="24"/>
        </w:rPr>
        <w:t>年；</w:t>
      </w:r>
      <w:r>
        <w:rPr>
          <w:rFonts w:hint="eastAsia" w:ascii="宋体" w:hAnsi="宋体"/>
          <w:b/>
          <w:bCs/>
          <w:color w:val="000000"/>
          <w:sz w:val="24"/>
        </w:rPr>
        <w:t>例2：</w:t>
      </w:r>
      <w:r>
        <w:rPr>
          <w:rFonts w:hint="eastAsia" w:ascii="宋体" w:hAnsi="宋体"/>
          <w:bCs/>
          <w:color w:val="000000"/>
          <w:sz w:val="24"/>
        </w:rPr>
        <w:t>提前预发下月的工资，仍统计在应发月的工资总额中，如“十一” 前提前将10月的工资在9月发放，应统计在10月，一个季度统计3个月的工资而非4个月。</w:t>
      </w:r>
      <w:r>
        <w:rPr>
          <w:rFonts w:hint="eastAsia" w:ascii="宋体" w:hAnsi="宋体"/>
          <w:b/>
          <w:bCs w:val="0"/>
          <w:color w:val="000000"/>
          <w:sz w:val="24"/>
          <w:lang w:eastAsia="zh-CN"/>
        </w:rPr>
        <w:t>（注意：</w:t>
      </w:r>
      <w:r>
        <w:rPr>
          <w:rFonts w:hint="eastAsia" w:ascii="宋体" w:hAnsi="宋体"/>
          <w:b/>
          <w:bCs w:val="0"/>
          <w:color w:val="000000"/>
          <w:sz w:val="24"/>
        </w:rPr>
        <w:t>填报机关事业单位工资数据时，如3月底发放4月工资，则工资统计在4月，按预发工资处理。平均人数按3月填报。</w:t>
      </w:r>
      <w:r>
        <w:rPr>
          <w:rFonts w:hint="eastAsia" w:ascii="宋体" w:hAnsi="宋体"/>
          <w:b/>
          <w:bCs w:val="0"/>
          <w:color w:val="000000"/>
          <w:sz w:val="24"/>
          <w:lang w:eastAsia="zh-CN"/>
        </w:rPr>
        <w:t>）</w:t>
      </w:r>
    </w:p>
    <w:p w14:paraId="3774172D">
      <w:pPr>
        <w:adjustRightInd w:val="0"/>
        <w:snapToGrid w:val="0"/>
        <w:spacing w:line="360" w:lineRule="auto"/>
        <w:ind w:firstLine="482" w:firstLineChars="200"/>
        <w:rPr>
          <w:rFonts w:hint="eastAsia" w:ascii="宋体" w:hAnsi="宋体"/>
          <w:bCs/>
          <w:color w:val="000000"/>
          <w:sz w:val="24"/>
        </w:rPr>
      </w:pPr>
      <w:r>
        <w:rPr>
          <w:rFonts w:hint="eastAsia" w:ascii="宋体" w:hAnsi="宋体"/>
          <w:b/>
          <w:bCs w:val="0"/>
          <w:color w:val="000000"/>
          <w:sz w:val="24"/>
        </w:rPr>
        <w:t>补发工资：</w:t>
      </w:r>
      <w:r>
        <w:rPr>
          <w:rFonts w:hint="eastAsia" w:ascii="宋体" w:hAnsi="宋体"/>
          <w:bCs/>
          <w:color w:val="000000"/>
          <w:sz w:val="24"/>
        </w:rPr>
        <w:t>计入实际发放月的工资总额中。</w:t>
      </w:r>
    </w:p>
    <w:p w14:paraId="3210316E">
      <w:pPr>
        <w:adjustRightInd w:val="0"/>
        <w:snapToGrid w:val="0"/>
        <w:spacing w:line="360" w:lineRule="auto"/>
        <w:ind w:firstLine="480" w:firstLineChars="200"/>
        <w:rPr>
          <w:rFonts w:hint="eastAsia" w:ascii="宋体" w:hAnsi="宋体"/>
          <w:bCs/>
          <w:color w:val="000000"/>
          <w:sz w:val="24"/>
        </w:rPr>
      </w:pPr>
      <w:r>
        <w:rPr>
          <w:rFonts w:hint="eastAsia" w:ascii="宋体" w:hAnsi="宋体"/>
          <w:bCs/>
          <w:color w:val="000000"/>
          <w:sz w:val="24"/>
        </w:rPr>
        <w:t>遵循人员和工资必须对应的原则，补发已离职员工工资，如在报告期内离职纳入统计，不在报告期内离职不纳入统计。（当年离职补发的工资要统计，第二年补发前一年离职员工的工资则不统计。特殊：员工去年12月离职，企业今年1月份发放上年12月的工资，1月份的工资总额和平均人数都要算上这名离职员工。）</w:t>
      </w:r>
    </w:p>
    <w:p w14:paraId="443408B1">
      <w:pPr>
        <w:adjustRightInd w:val="0"/>
        <w:snapToGrid w:val="0"/>
        <w:spacing w:line="360" w:lineRule="auto"/>
        <w:ind w:firstLine="472" w:firstLineChars="196"/>
        <w:rPr>
          <w:rFonts w:ascii="宋体" w:hAnsi="宋体"/>
          <w:b/>
          <w:color w:val="000000"/>
          <w:sz w:val="24"/>
        </w:rPr>
      </w:pPr>
      <w:r>
        <w:rPr>
          <w:rFonts w:hint="eastAsia" w:ascii="宋体" w:hAnsi="宋体"/>
          <w:b/>
          <w:color w:val="000000"/>
          <w:sz w:val="24"/>
        </w:rPr>
        <w:t>2．明确与财务表应付职工薪酬的区别</w:t>
      </w:r>
    </w:p>
    <w:p w14:paraId="008A3ACB">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(1)科目不同：“应付职工薪酬”是会计科目的贷方发生额，是计提数。“工资总额”是借方发生额，是会计各科目中摘抄汇总后的数据，不是简单的应付工资全年累计数，也不是某一项科目的累计数。</w:t>
      </w:r>
    </w:p>
    <w:p w14:paraId="766AFF3B">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(2)包括的内容不同。“应付职工薪酬”包括职工工资、奖金、津贴和补贴，职工福利费，医疗保险费、养老保险费、失业保险费、工伤保险费和生育保险费等社会保险费，住房公积金，工会经费和职工教育经费，非货币性福利，因解除与职工的劳动关系给予的补偿，其他与获得职工提供的服务相关的支出。“工资总额”包括职工工资、奖金、津贴和补贴，医疗、养老、失业、住房公积金等社会保险基费只含个人缴纳部分，不包括单位缴纳部分，不包括补充养老保险和补充医疗保险中单位缴纳部分，不包括工会经费和教育经费，不包括因解除与职工的劳动关系给予的补偿。</w:t>
      </w:r>
      <w:bookmarkStart w:id="0" w:name="_GoBack"/>
      <w:bookmarkEnd w:id="0"/>
    </w:p>
    <w:p w14:paraId="132DA5E4">
      <w:pPr>
        <w:adjustRightInd w:val="0"/>
        <w:snapToGrid w:val="0"/>
        <w:spacing w:line="360" w:lineRule="auto"/>
        <w:ind w:firstLine="472" w:firstLineChars="196"/>
        <w:rPr>
          <w:rFonts w:ascii="宋体" w:hAnsi="宋体"/>
          <w:b/>
          <w:color w:val="000000"/>
          <w:sz w:val="24"/>
        </w:rPr>
      </w:pPr>
      <w:r>
        <w:rPr>
          <w:rFonts w:hint="eastAsia" w:ascii="宋体" w:hAnsi="宋体"/>
          <w:b/>
          <w:color w:val="000000"/>
          <w:sz w:val="24"/>
        </w:rPr>
        <w:t>3．明确工资总额不包括的项目</w:t>
      </w:r>
    </w:p>
    <w:p w14:paraId="4A56C46F">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不包括支付给本单位离退休人员的离退休费，不包括防暑降温费、离职补偿金、</w:t>
      </w:r>
      <w:r>
        <w:rPr>
          <w:rFonts w:hint="eastAsia" w:ascii="宋体" w:hAnsi="宋体"/>
          <w:color w:val="000000"/>
          <w:sz w:val="24"/>
          <w:lang w:eastAsia="zh-CN"/>
        </w:rPr>
        <w:t>专款专用存入专门</w:t>
      </w:r>
      <w:r>
        <w:rPr>
          <w:rFonts w:hint="eastAsia" w:ascii="宋体" w:hAnsi="宋体"/>
          <w:color w:val="000000"/>
          <w:sz w:val="24"/>
        </w:rPr>
        <w:t>的</w:t>
      </w:r>
      <w:r>
        <w:rPr>
          <w:rFonts w:hint="eastAsia" w:ascii="宋体" w:hAnsi="宋体"/>
          <w:color w:val="000000"/>
          <w:sz w:val="24"/>
          <w:lang w:eastAsia="zh-CN"/>
        </w:rPr>
        <w:t>账会的</w:t>
      </w:r>
      <w:r>
        <w:rPr>
          <w:rFonts w:hint="eastAsia" w:ascii="宋体" w:hAnsi="宋体"/>
          <w:color w:val="000000"/>
          <w:sz w:val="24"/>
        </w:rPr>
        <w:t>房改一次性补贴等。</w:t>
      </w:r>
    </w:p>
    <w:p w14:paraId="122729C2">
      <w:pPr>
        <w:adjustRightInd w:val="0"/>
        <w:snapToGrid w:val="0"/>
        <w:spacing w:line="360" w:lineRule="auto"/>
        <w:ind w:firstLine="420" w:firstLineChars="200"/>
        <w:rPr>
          <w:rFonts w:hint="default" w:eastAsiaTheme="minorEastAsia"/>
          <w:lang w:val="en-US" w:eastAsia="zh-CN"/>
        </w:rPr>
      </w:pPr>
    </w:p>
    <w:sectPr>
      <w:headerReference r:id="rId3" w:type="default"/>
      <w:footerReference r:id="rId4" w:type="default"/>
      <w:pgSz w:w="11906" w:h="16838"/>
      <w:pgMar w:top="680" w:right="1588" w:bottom="680" w:left="158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Nimbus Roman No9 L">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6D72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4BE1DB">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- 1 -</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54BE1DB">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- 1 -</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9E0CE">
    <w:pPr>
      <w:pStyle w:val="9"/>
      <w:ind w:right="-2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421"/>
    <w:rsid w:val="00007E24"/>
    <w:rsid w:val="00012421"/>
    <w:rsid w:val="00022BC8"/>
    <w:rsid w:val="00066ECF"/>
    <w:rsid w:val="00070DE8"/>
    <w:rsid w:val="00092F92"/>
    <w:rsid w:val="000E1BA4"/>
    <w:rsid w:val="000E66F5"/>
    <w:rsid w:val="00125E88"/>
    <w:rsid w:val="001516B9"/>
    <w:rsid w:val="00183C4E"/>
    <w:rsid w:val="001953E0"/>
    <w:rsid w:val="001C2C61"/>
    <w:rsid w:val="001E3AED"/>
    <w:rsid w:val="00234955"/>
    <w:rsid w:val="002D77FF"/>
    <w:rsid w:val="00300E4F"/>
    <w:rsid w:val="00305534"/>
    <w:rsid w:val="00334F6E"/>
    <w:rsid w:val="003647A1"/>
    <w:rsid w:val="003655D5"/>
    <w:rsid w:val="003912E2"/>
    <w:rsid w:val="003E1ED2"/>
    <w:rsid w:val="003F6388"/>
    <w:rsid w:val="00404C68"/>
    <w:rsid w:val="00411DF2"/>
    <w:rsid w:val="004A10FE"/>
    <w:rsid w:val="004B1E96"/>
    <w:rsid w:val="004C4C28"/>
    <w:rsid w:val="004D2620"/>
    <w:rsid w:val="0051069B"/>
    <w:rsid w:val="005230FC"/>
    <w:rsid w:val="005744F6"/>
    <w:rsid w:val="005825CC"/>
    <w:rsid w:val="005F231C"/>
    <w:rsid w:val="006053DE"/>
    <w:rsid w:val="00610F93"/>
    <w:rsid w:val="006235D4"/>
    <w:rsid w:val="00656B97"/>
    <w:rsid w:val="006708FD"/>
    <w:rsid w:val="00690EA1"/>
    <w:rsid w:val="00692E3E"/>
    <w:rsid w:val="006B204E"/>
    <w:rsid w:val="007A6261"/>
    <w:rsid w:val="007B304E"/>
    <w:rsid w:val="007B41A7"/>
    <w:rsid w:val="007F6AB5"/>
    <w:rsid w:val="008236F7"/>
    <w:rsid w:val="0082508C"/>
    <w:rsid w:val="008728A7"/>
    <w:rsid w:val="008B321E"/>
    <w:rsid w:val="008B574D"/>
    <w:rsid w:val="008D5873"/>
    <w:rsid w:val="008F2A67"/>
    <w:rsid w:val="0099350F"/>
    <w:rsid w:val="009A3D78"/>
    <w:rsid w:val="009A5137"/>
    <w:rsid w:val="009B061A"/>
    <w:rsid w:val="009E2F86"/>
    <w:rsid w:val="009F5029"/>
    <w:rsid w:val="00A0120F"/>
    <w:rsid w:val="00A049D6"/>
    <w:rsid w:val="00A340A5"/>
    <w:rsid w:val="00A476A7"/>
    <w:rsid w:val="00A844DF"/>
    <w:rsid w:val="00AA0E85"/>
    <w:rsid w:val="00AA2826"/>
    <w:rsid w:val="00AF6741"/>
    <w:rsid w:val="00B42615"/>
    <w:rsid w:val="00B470DE"/>
    <w:rsid w:val="00BF5D8A"/>
    <w:rsid w:val="00C01738"/>
    <w:rsid w:val="00C15302"/>
    <w:rsid w:val="00C33D34"/>
    <w:rsid w:val="00C65CEF"/>
    <w:rsid w:val="00C97118"/>
    <w:rsid w:val="00D06442"/>
    <w:rsid w:val="00D14DB2"/>
    <w:rsid w:val="00D704DF"/>
    <w:rsid w:val="00D761F3"/>
    <w:rsid w:val="00D81697"/>
    <w:rsid w:val="00E07BC3"/>
    <w:rsid w:val="00E20FCF"/>
    <w:rsid w:val="00E53BD3"/>
    <w:rsid w:val="00EC4D22"/>
    <w:rsid w:val="00F405B4"/>
    <w:rsid w:val="00F464E7"/>
    <w:rsid w:val="00FB1EEC"/>
    <w:rsid w:val="00FB4BC3"/>
    <w:rsid w:val="00FB5977"/>
    <w:rsid w:val="00FD2A4E"/>
    <w:rsid w:val="028A7904"/>
    <w:rsid w:val="052A1753"/>
    <w:rsid w:val="07C15E4D"/>
    <w:rsid w:val="09BE1DCF"/>
    <w:rsid w:val="0A4B1DE5"/>
    <w:rsid w:val="0A931F7F"/>
    <w:rsid w:val="0ACA4F59"/>
    <w:rsid w:val="0ADE7F06"/>
    <w:rsid w:val="0B470D5B"/>
    <w:rsid w:val="0E193904"/>
    <w:rsid w:val="0F397DD0"/>
    <w:rsid w:val="10212D3A"/>
    <w:rsid w:val="10EB0827"/>
    <w:rsid w:val="124A30ED"/>
    <w:rsid w:val="16AA5618"/>
    <w:rsid w:val="17B14ECE"/>
    <w:rsid w:val="18BD16C6"/>
    <w:rsid w:val="19821337"/>
    <w:rsid w:val="19F11AC5"/>
    <w:rsid w:val="1AFC5895"/>
    <w:rsid w:val="1BB5452E"/>
    <w:rsid w:val="1C214AC7"/>
    <w:rsid w:val="1CF10F19"/>
    <w:rsid w:val="1D30207D"/>
    <w:rsid w:val="1DF854FE"/>
    <w:rsid w:val="1E285290"/>
    <w:rsid w:val="201A130F"/>
    <w:rsid w:val="206D7260"/>
    <w:rsid w:val="225F0250"/>
    <w:rsid w:val="22764898"/>
    <w:rsid w:val="246B6B52"/>
    <w:rsid w:val="25647891"/>
    <w:rsid w:val="262A0961"/>
    <w:rsid w:val="27804B0E"/>
    <w:rsid w:val="29E11DC3"/>
    <w:rsid w:val="2B72507C"/>
    <w:rsid w:val="2BC1277B"/>
    <w:rsid w:val="2C2A414B"/>
    <w:rsid w:val="2C61113E"/>
    <w:rsid w:val="2E98008C"/>
    <w:rsid w:val="30BA27A3"/>
    <w:rsid w:val="313F4775"/>
    <w:rsid w:val="3183791A"/>
    <w:rsid w:val="31C77BD9"/>
    <w:rsid w:val="31E75A24"/>
    <w:rsid w:val="33F37D2D"/>
    <w:rsid w:val="37E05223"/>
    <w:rsid w:val="39745305"/>
    <w:rsid w:val="3A101D03"/>
    <w:rsid w:val="3C0540E9"/>
    <w:rsid w:val="3C4315F7"/>
    <w:rsid w:val="3D0918D0"/>
    <w:rsid w:val="3F31064B"/>
    <w:rsid w:val="3FDE76EB"/>
    <w:rsid w:val="40036539"/>
    <w:rsid w:val="40381B44"/>
    <w:rsid w:val="412563E0"/>
    <w:rsid w:val="43BF032E"/>
    <w:rsid w:val="453E3E7C"/>
    <w:rsid w:val="45680F85"/>
    <w:rsid w:val="49C96542"/>
    <w:rsid w:val="4B873C15"/>
    <w:rsid w:val="4BDC66D4"/>
    <w:rsid w:val="4C34392E"/>
    <w:rsid w:val="4DA076FE"/>
    <w:rsid w:val="4E7C3128"/>
    <w:rsid w:val="4E7E2CDC"/>
    <w:rsid w:val="4EC7268C"/>
    <w:rsid w:val="51D1518F"/>
    <w:rsid w:val="57D56FED"/>
    <w:rsid w:val="590D5F7D"/>
    <w:rsid w:val="59971BE3"/>
    <w:rsid w:val="5A17173F"/>
    <w:rsid w:val="5AB36974"/>
    <w:rsid w:val="5C467EDC"/>
    <w:rsid w:val="5CBF0DC1"/>
    <w:rsid w:val="5D9D11B0"/>
    <w:rsid w:val="5EA250C5"/>
    <w:rsid w:val="5EEB2DA1"/>
    <w:rsid w:val="5F2A43F7"/>
    <w:rsid w:val="5F592F57"/>
    <w:rsid w:val="60ED03D6"/>
    <w:rsid w:val="640371EE"/>
    <w:rsid w:val="64D25CE4"/>
    <w:rsid w:val="64D61881"/>
    <w:rsid w:val="659A3DEA"/>
    <w:rsid w:val="65AE2047"/>
    <w:rsid w:val="68951A03"/>
    <w:rsid w:val="69274770"/>
    <w:rsid w:val="6A8852E8"/>
    <w:rsid w:val="6BD01986"/>
    <w:rsid w:val="6DE86A5E"/>
    <w:rsid w:val="6E50274F"/>
    <w:rsid w:val="6EC54D3E"/>
    <w:rsid w:val="70A960A8"/>
    <w:rsid w:val="71DA40A3"/>
    <w:rsid w:val="75A2711F"/>
    <w:rsid w:val="7C5D482F"/>
    <w:rsid w:val="7CC131E7"/>
    <w:rsid w:val="7E2E476E"/>
    <w:rsid w:val="7E565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1"/>
    <w:link w:val="23"/>
    <w:unhideWhenUsed/>
    <w:qFormat/>
    <w:uiPriority w:val="99"/>
    <w:pPr>
      <w:ind w:firstLine="420" w:firstLineChars="200"/>
    </w:pPr>
  </w:style>
  <w:style w:type="paragraph" w:styleId="3">
    <w:name w:val="Body Text Indent"/>
    <w:basedOn w:val="1"/>
    <w:next w:val="1"/>
    <w:link w:val="22"/>
    <w:unhideWhenUsed/>
    <w:qFormat/>
    <w:uiPriority w:val="99"/>
    <w:pPr>
      <w:spacing w:after="120"/>
      <w:ind w:left="420" w:leftChars="200"/>
    </w:pPr>
  </w:style>
  <w:style w:type="paragraph" w:styleId="4">
    <w:name w:val="Document Map"/>
    <w:basedOn w:val="1"/>
    <w:link w:val="20"/>
    <w:semiHidden/>
    <w:qFormat/>
    <w:uiPriority w:val="0"/>
    <w:pPr>
      <w:shd w:val="clear" w:color="auto" w:fill="000080"/>
    </w:pPr>
    <w:rPr>
      <w:rFonts w:ascii="Times New Roman" w:hAnsi="Times New Roman" w:eastAsia="宋体" w:cs="Times New Roman"/>
      <w:szCs w:val="24"/>
    </w:rPr>
  </w:style>
  <w:style w:type="paragraph" w:styleId="5">
    <w:name w:val="Plain Text"/>
    <w:basedOn w:val="1"/>
    <w:link w:val="17"/>
    <w:qFormat/>
    <w:uiPriority w:val="0"/>
    <w:rPr>
      <w:rFonts w:ascii="宋体" w:hAnsi="Courier New" w:eastAsia="宋体" w:cs="Courier New"/>
      <w:szCs w:val="21"/>
    </w:rPr>
  </w:style>
  <w:style w:type="paragraph" w:styleId="6">
    <w:name w:val="Body Text Indent 2"/>
    <w:basedOn w:val="1"/>
    <w:link w:val="18"/>
    <w:qFormat/>
    <w:uiPriority w:val="0"/>
    <w:pPr>
      <w:ind w:firstLine="660"/>
    </w:pPr>
    <w:rPr>
      <w:rFonts w:ascii="宋体" w:hAnsi="宋体" w:eastAsia="宋体" w:cs="Times New Roman"/>
      <w:color w:val="FF0000"/>
      <w:sz w:val="28"/>
      <w:szCs w:val="36"/>
    </w:rPr>
  </w:style>
  <w:style w:type="paragraph" w:styleId="7">
    <w:name w:val="Balloon Text"/>
    <w:basedOn w:val="1"/>
    <w:link w:val="21"/>
    <w:qFormat/>
    <w:uiPriority w:val="0"/>
    <w:rPr>
      <w:rFonts w:ascii="Times New Roman" w:hAnsi="Times New Roman" w:eastAsia="宋体" w:cs="Times New Roman"/>
      <w:sz w:val="18"/>
      <w:szCs w:val="18"/>
    </w:rPr>
  </w:style>
  <w:style w:type="paragraph" w:styleId="8">
    <w:name w:val="footer"/>
    <w:basedOn w:val="1"/>
    <w:link w:val="16"/>
    <w:unhideWhenUsed/>
    <w:qFormat/>
    <w:uiPriority w:val="0"/>
    <w:pPr>
      <w:tabs>
        <w:tab w:val="center" w:pos="4153"/>
        <w:tab w:val="right" w:pos="8306"/>
      </w:tabs>
      <w:snapToGrid w:val="0"/>
      <w:jc w:val="left"/>
    </w:pPr>
    <w:rPr>
      <w:sz w:val="18"/>
      <w:szCs w:val="18"/>
    </w:rPr>
  </w:style>
  <w:style w:type="paragraph" w:styleId="9">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2"/>
    <w:basedOn w:val="1"/>
    <w:unhideWhenUsed/>
    <w:qFormat/>
    <w:uiPriority w:val="99"/>
    <w:pPr>
      <w:autoSpaceDE w:val="0"/>
      <w:autoSpaceDN w:val="0"/>
      <w:adjustRightInd w:val="0"/>
      <w:jc w:val="left"/>
    </w:pPr>
    <w:rPr>
      <w:rFonts w:ascii="宋体"/>
      <w:color w:val="000000"/>
      <w:kern w:val="0"/>
      <w:sz w:val="18"/>
      <w:szCs w:val="20"/>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4">
    <w:name w:val="page number"/>
    <w:basedOn w:val="13"/>
    <w:qFormat/>
    <w:uiPriority w:val="0"/>
  </w:style>
  <w:style w:type="character" w:customStyle="1" w:styleId="15">
    <w:name w:val="页眉 Char"/>
    <w:basedOn w:val="13"/>
    <w:link w:val="9"/>
    <w:qFormat/>
    <w:uiPriority w:val="0"/>
    <w:rPr>
      <w:sz w:val="18"/>
      <w:szCs w:val="18"/>
    </w:rPr>
  </w:style>
  <w:style w:type="character" w:customStyle="1" w:styleId="16">
    <w:name w:val="页脚 Char"/>
    <w:basedOn w:val="13"/>
    <w:link w:val="8"/>
    <w:qFormat/>
    <w:uiPriority w:val="0"/>
    <w:rPr>
      <w:sz w:val="18"/>
      <w:szCs w:val="18"/>
    </w:rPr>
  </w:style>
  <w:style w:type="character" w:customStyle="1" w:styleId="17">
    <w:name w:val="纯文本 Char"/>
    <w:basedOn w:val="13"/>
    <w:link w:val="5"/>
    <w:qFormat/>
    <w:uiPriority w:val="0"/>
    <w:rPr>
      <w:rFonts w:ascii="宋体" w:hAnsi="Courier New" w:eastAsia="宋体" w:cs="Courier New"/>
      <w:szCs w:val="21"/>
    </w:rPr>
  </w:style>
  <w:style w:type="character" w:customStyle="1" w:styleId="18">
    <w:name w:val="正文文本缩进 2 Char"/>
    <w:basedOn w:val="13"/>
    <w:link w:val="6"/>
    <w:qFormat/>
    <w:uiPriority w:val="0"/>
    <w:rPr>
      <w:rFonts w:ascii="宋体" w:hAnsi="宋体" w:eastAsia="宋体" w:cs="Times New Roman"/>
      <w:color w:val="FF0000"/>
      <w:sz w:val="28"/>
      <w:szCs w:val="36"/>
    </w:rPr>
  </w:style>
  <w:style w:type="paragraph" w:customStyle="1" w:styleId="19">
    <w:name w:val="List Paragraph"/>
    <w:basedOn w:val="1"/>
    <w:qFormat/>
    <w:uiPriority w:val="34"/>
    <w:pPr>
      <w:widowControl/>
      <w:ind w:firstLine="420" w:firstLineChars="200"/>
      <w:jc w:val="left"/>
    </w:pPr>
    <w:rPr>
      <w:rFonts w:ascii="宋体" w:hAnsi="宋体" w:eastAsia="宋体" w:cs="宋体"/>
      <w:kern w:val="0"/>
      <w:sz w:val="24"/>
      <w:szCs w:val="24"/>
    </w:rPr>
  </w:style>
  <w:style w:type="character" w:customStyle="1" w:styleId="20">
    <w:name w:val="文档结构图 Char"/>
    <w:basedOn w:val="13"/>
    <w:link w:val="4"/>
    <w:semiHidden/>
    <w:qFormat/>
    <w:uiPriority w:val="0"/>
    <w:rPr>
      <w:rFonts w:ascii="Times New Roman" w:hAnsi="Times New Roman" w:eastAsia="宋体" w:cs="Times New Roman"/>
      <w:szCs w:val="24"/>
      <w:shd w:val="clear" w:color="auto" w:fill="000080"/>
    </w:rPr>
  </w:style>
  <w:style w:type="character" w:customStyle="1" w:styleId="21">
    <w:name w:val="批注框文本 Char"/>
    <w:basedOn w:val="13"/>
    <w:link w:val="7"/>
    <w:qFormat/>
    <w:uiPriority w:val="0"/>
    <w:rPr>
      <w:rFonts w:ascii="Times New Roman" w:hAnsi="Times New Roman" w:eastAsia="宋体" w:cs="Times New Roman"/>
      <w:sz w:val="18"/>
      <w:szCs w:val="18"/>
    </w:rPr>
  </w:style>
  <w:style w:type="character" w:customStyle="1" w:styleId="22">
    <w:name w:val="正文文本缩进 Char"/>
    <w:basedOn w:val="13"/>
    <w:link w:val="3"/>
    <w:semiHidden/>
    <w:qFormat/>
    <w:uiPriority w:val="99"/>
  </w:style>
  <w:style w:type="character" w:customStyle="1" w:styleId="23">
    <w:name w:val="正文首行缩进 2 Char"/>
    <w:basedOn w:val="22"/>
    <w:link w:val="2"/>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朝阳区统计局</Company>
  <Pages>5</Pages>
  <Words>4940</Words>
  <Characters>5631</Characters>
  <Lines>68</Lines>
  <Paragraphs>19</Paragraphs>
  <TotalTime>117</TotalTime>
  <ScaleCrop>false</ScaleCrop>
  <LinksUpToDate>false</LinksUpToDate>
  <CharactersWithSpaces>6276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2021-08-10T09:01:00Z</dcterms:created>
  <dc:creator>王琪</dc:creator>
  <cp:lastModifiedBy>任小点</cp:lastModifiedBy>
  <dcterms:modified xsi:type="dcterms:W3CDTF">2024-12-23T05:24:44Z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A26654FD49534BC08F52AEF0A286DDB1_12</vt:lpwstr>
  </property>
</Properties>
</file>