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center"/>
        <w:outlineLvl w:val="3"/>
        <w:rPr>
          <w:rFonts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lang w:val="en-US" w:eastAsia="zh-CN"/>
        </w:rPr>
        <w:t>1-9月</w:t>
      </w:r>
      <w:r>
        <w:rPr>
          <w:rFonts w:hint="eastAsia" w:cs="宋体" w:asciiTheme="majorEastAsia" w:hAnsiTheme="majorEastAsia" w:eastAsiaTheme="majorEastAsia"/>
          <w:b/>
          <w:color w:val="000000"/>
          <w:kern w:val="0"/>
          <w:sz w:val="44"/>
          <w:szCs w:val="44"/>
        </w:rPr>
        <w:t>中关村朝阳园</w:t>
      </w:r>
      <w:r>
        <w:rPr>
          <w:rFonts w:hint="eastAsia" w:cs="宋体" w:asciiTheme="majorEastAsia" w:hAnsiTheme="majorEastAsia" w:eastAsiaTheme="majorEastAsia"/>
          <w:b/>
          <w:color w:val="000000"/>
          <w:kern w:val="0"/>
          <w:sz w:val="44"/>
          <w:szCs w:val="44"/>
          <w:lang w:eastAsia="zh-CN"/>
        </w:rPr>
        <w:t>主要指标完成情况</w:t>
      </w:r>
    </w:p>
    <w:p>
      <w:pPr>
        <w:rPr>
          <w:rFonts w:asciiTheme="minorEastAsia" w:hAnsiTheme="minorEastAsia"/>
          <w:sz w:val="28"/>
          <w:szCs w:val="28"/>
        </w:rPr>
      </w:pPr>
    </w:p>
    <w:p>
      <w:pPr>
        <w:pStyle w:val="5"/>
        <w:shd w:val="clear" w:color="auto" w:fill="FFFFFF"/>
        <w:spacing w:before="0" w:beforeAutospacing="0" w:after="0" w:afterAutospacing="0" w:line="384" w:lineRule="atLeast"/>
        <w:rPr>
          <w:rFonts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 xml:space="preserve">    202</w:t>
      </w:r>
      <w:r>
        <w:rPr>
          <w:rFonts w:hint="eastAsia" w:asciiTheme="minorEastAsia" w:hAnsiTheme="minorEastAsia" w:eastAsiaTheme="minorEastAsia"/>
          <w:color w:val="404040"/>
          <w:sz w:val="28"/>
          <w:szCs w:val="28"/>
          <w:lang w:val="en-US" w:eastAsia="zh-CN"/>
        </w:rPr>
        <w:t>2</w:t>
      </w:r>
      <w:r>
        <w:rPr>
          <w:rFonts w:hint="eastAsia" w:asciiTheme="minorEastAsia" w:hAnsiTheme="minorEastAsia" w:eastAsiaTheme="minorEastAsia"/>
          <w:color w:val="404040"/>
          <w:sz w:val="28"/>
          <w:szCs w:val="28"/>
        </w:rPr>
        <w:t>年</w:t>
      </w:r>
      <w:r>
        <w:rPr>
          <w:rFonts w:hint="eastAsia" w:asciiTheme="minorEastAsia" w:hAnsiTheme="minorEastAsia" w:eastAsiaTheme="minorEastAsia"/>
          <w:color w:val="404040"/>
          <w:sz w:val="28"/>
          <w:szCs w:val="28"/>
          <w:lang w:eastAsia="zh-CN"/>
        </w:rPr>
        <w:t>1-9月</w:t>
      </w:r>
      <w:r>
        <w:rPr>
          <w:rFonts w:hint="eastAsia" w:asciiTheme="minorEastAsia" w:hAnsiTheme="minorEastAsia" w:eastAsiaTheme="minorEastAsia"/>
          <w:color w:val="404040"/>
          <w:sz w:val="28"/>
          <w:szCs w:val="28"/>
        </w:rPr>
        <w:t>，中关村朝阳园规模以上高新技术企业（以下简称朝阳园企业）实现总收入6951</w:t>
      </w:r>
      <w:r>
        <w:rPr>
          <w:rFonts w:hint="eastAsia" w:asciiTheme="minorEastAsia" w:hAnsiTheme="minorEastAsia" w:eastAsiaTheme="minorEastAsia"/>
          <w:color w:val="404040"/>
          <w:sz w:val="28"/>
          <w:szCs w:val="28"/>
          <w:lang w:val="en-US" w:eastAsia="zh-CN"/>
        </w:rPr>
        <w:t>.</w:t>
      </w:r>
      <w:r>
        <w:rPr>
          <w:rFonts w:hint="eastAsia" w:asciiTheme="minorEastAsia" w:hAnsiTheme="minorEastAsia" w:eastAsiaTheme="minorEastAsia"/>
          <w:color w:val="404040"/>
          <w:sz w:val="28"/>
          <w:szCs w:val="28"/>
        </w:rPr>
        <w:t>9亿元，比上年同期增长</w:t>
      </w:r>
      <w:r>
        <w:rPr>
          <w:rFonts w:hint="eastAsia" w:cs="宋体"/>
          <w:color w:val="333333"/>
          <w:kern w:val="0"/>
          <w:sz w:val="28"/>
          <w:szCs w:val="32"/>
          <w:lang w:val="en-US" w:eastAsia="zh-CN"/>
        </w:rPr>
        <w:t>7.5</w:t>
      </w:r>
      <w:r>
        <w:rPr>
          <w:rFonts w:hint="eastAsia" w:ascii="宋体" w:hAnsi="宋体" w:cs="宋体"/>
          <w:color w:val="333333"/>
          <w:kern w:val="0"/>
          <w:sz w:val="28"/>
          <w:szCs w:val="32"/>
        </w:rPr>
        <w:t>%</w:t>
      </w:r>
      <w:r>
        <w:rPr>
          <w:rFonts w:hint="eastAsia" w:asciiTheme="minorEastAsia" w:hAnsiTheme="minorEastAsia" w:eastAsiaTheme="minorEastAsia"/>
          <w:color w:val="404040"/>
          <w:sz w:val="28"/>
          <w:szCs w:val="28"/>
          <w:lang w:val="en-US" w:eastAsia="zh-CN"/>
        </w:rPr>
        <w:t>，</w:t>
      </w:r>
      <w:r>
        <w:rPr>
          <w:rFonts w:hint="eastAsia" w:asciiTheme="minorEastAsia" w:hAnsiTheme="minorEastAsia" w:eastAsiaTheme="minorEastAsia"/>
          <w:color w:val="404040"/>
          <w:sz w:val="28"/>
          <w:szCs w:val="28"/>
        </w:rPr>
        <w:t>其中，实现技术收入</w:t>
      </w:r>
      <w:r>
        <w:rPr>
          <w:rFonts w:hint="eastAsia" w:ascii="宋体" w:hAnsi="宋体" w:cs="宋体"/>
          <w:color w:val="333333"/>
          <w:kern w:val="0"/>
          <w:sz w:val="28"/>
          <w:szCs w:val="32"/>
        </w:rPr>
        <w:t>2076</w:t>
      </w:r>
      <w:r>
        <w:rPr>
          <w:rFonts w:hint="eastAsia" w:cs="宋体"/>
          <w:color w:val="333333"/>
          <w:kern w:val="0"/>
          <w:sz w:val="28"/>
          <w:szCs w:val="32"/>
          <w:lang w:val="en-US" w:eastAsia="zh-CN"/>
        </w:rPr>
        <w:t>.</w:t>
      </w:r>
      <w:r>
        <w:rPr>
          <w:rFonts w:hint="eastAsia" w:ascii="宋体" w:hAnsi="宋体" w:cs="宋体"/>
          <w:color w:val="333333"/>
          <w:kern w:val="0"/>
          <w:sz w:val="28"/>
          <w:szCs w:val="32"/>
        </w:rPr>
        <w:t>6</w:t>
      </w:r>
      <w:r>
        <w:rPr>
          <w:rFonts w:hint="eastAsia" w:asciiTheme="minorEastAsia" w:hAnsiTheme="minorEastAsia" w:eastAsiaTheme="minorEastAsia"/>
          <w:color w:val="404040"/>
          <w:sz w:val="28"/>
          <w:szCs w:val="28"/>
        </w:rPr>
        <w:t>亿元，同比增长</w:t>
      </w:r>
      <w:r>
        <w:rPr>
          <w:rFonts w:hint="eastAsia" w:cs="宋体"/>
          <w:color w:val="333333"/>
          <w:kern w:val="0"/>
          <w:sz w:val="28"/>
          <w:szCs w:val="32"/>
          <w:lang w:val="en-US" w:eastAsia="zh-CN"/>
        </w:rPr>
        <w:t>20.5</w:t>
      </w:r>
      <w:r>
        <w:rPr>
          <w:rFonts w:hint="eastAsia" w:ascii="宋体" w:hAnsi="宋体" w:cs="宋体"/>
          <w:color w:val="333333"/>
          <w:kern w:val="0"/>
          <w:sz w:val="28"/>
          <w:szCs w:val="32"/>
        </w:rPr>
        <w:t>%</w:t>
      </w:r>
      <w:r>
        <w:rPr>
          <w:rFonts w:hint="eastAsia" w:asciiTheme="minorEastAsia" w:hAnsiTheme="minorEastAsia" w:eastAsiaTheme="minorEastAsia"/>
          <w:color w:val="404040"/>
          <w:sz w:val="28"/>
          <w:szCs w:val="28"/>
        </w:rPr>
        <w:t>。</w:t>
      </w:r>
    </w:p>
    <w:p>
      <w:pPr>
        <w:pStyle w:val="5"/>
        <w:shd w:val="clear" w:color="auto" w:fill="FFFFFF"/>
        <w:spacing w:before="0" w:beforeAutospacing="0" w:after="0" w:afterAutospacing="0" w:line="384" w:lineRule="atLeast"/>
        <w:rPr>
          <w:rFonts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　　</w:t>
      </w:r>
      <w:r>
        <w:rPr>
          <w:rFonts w:hint="eastAsia" w:asciiTheme="minorEastAsia" w:hAnsiTheme="minorEastAsia" w:eastAsiaTheme="minorEastAsia"/>
          <w:color w:val="404040"/>
          <w:sz w:val="28"/>
          <w:szCs w:val="28"/>
          <w:lang w:eastAsia="zh-CN"/>
        </w:rPr>
        <w:t>1-9月</w:t>
      </w:r>
      <w:r>
        <w:rPr>
          <w:rFonts w:hint="eastAsia" w:asciiTheme="minorEastAsia" w:hAnsiTheme="minorEastAsia" w:eastAsiaTheme="minorEastAsia"/>
          <w:color w:val="404040"/>
          <w:sz w:val="28"/>
          <w:szCs w:val="28"/>
        </w:rPr>
        <w:t>，中关村</w:t>
      </w:r>
      <w:r>
        <w:rPr>
          <w:rFonts w:hint="eastAsia" w:asciiTheme="minorEastAsia" w:hAnsiTheme="minorEastAsia" w:eastAsiaTheme="minorEastAsia"/>
          <w:color w:val="404040"/>
          <w:sz w:val="28"/>
          <w:szCs w:val="28"/>
          <w:lang w:eastAsia="zh-CN"/>
        </w:rPr>
        <w:t>朝阳园</w:t>
      </w:r>
      <w:r>
        <w:rPr>
          <w:rFonts w:hint="eastAsia" w:asciiTheme="minorEastAsia" w:hAnsiTheme="minorEastAsia" w:eastAsiaTheme="minorEastAsia"/>
          <w:color w:val="404040"/>
          <w:sz w:val="28"/>
          <w:szCs w:val="28"/>
        </w:rPr>
        <w:t>重点监测</w:t>
      </w:r>
      <w:r>
        <w:rPr>
          <w:rFonts w:hint="eastAsia" w:asciiTheme="minorEastAsia" w:hAnsiTheme="minorEastAsia" w:eastAsiaTheme="minorEastAsia"/>
          <w:color w:val="404040"/>
          <w:sz w:val="28"/>
          <w:szCs w:val="28"/>
          <w:lang w:eastAsia="zh-CN"/>
        </w:rPr>
        <w:t>的</w:t>
      </w:r>
      <w:bookmarkStart w:id="0" w:name="_GoBack"/>
      <w:bookmarkEnd w:id="0"/>
      <w:r>
        <w:rPr>
          <w:rFonts w:hint="eastAsia" w:asciiTheme="minorEastAsia" w:hAnsiTheme="minorEastAsia" w:eastAsiaTheme="minorEastAsia"/>
          <w:color w:val="404040"/>
          <w:sz w:val="28"/>
          <w:szCs w:val="28"/>
        </w:rPr>
        <w:t>三大高新技术领域共实现总收入</w:t>
      </w:r>
      <w:r>
        <w:rPr>
          <w:rFonts w:hint="eastAsia" w:asciiTheme="minorEastAsia" w:hAnsiTheme="minorEastAsia" w:eastAsiaTheme="minorEastAsia"/>
          <w:color w:val="404040"/>
          <w:sz w:val="28"/>
          <w:szCs w:val="28"/>
          <w:lang w:val="en-US" w:eastAsia="zh-CN"/>
        </w:rPr>
        <w:t>5064.2</w:t>
      </w:r>
      <w:r>
        <w:rPr>
          <w:rFonts w:hint="eastAsia" w:asciiTheme="minorEastAsia" w:hAnsiTheme="minorEastAsia" w:eastAsiaTheme="minorEastAsia"/>
          <w:color w:val="404040"/>
          <w:sz w:val="28"/>
          <w:szCs w:val="28"/>
        </w:rPr>
        <w:t>亿元，同比增长</w:t>
      </w:r>
      <w:r>
        <w:rPr>
          <w:rFonts w:hint="eastAsia" w:asciiTheme="minorEastAsia" w:hAnsiTheme="minorEastAsia" w:eastAsiaTheme="minorEastAsia"/>
          <w:color w:val="404040"/>
          <w:sz w:val="28"/>
          <w:szCs w:val="28"/>
          <w:lang w:val="en-US" w:eastAsia="zh-CN"/>
        </w:rPr>
        <w:t>5.8%</w:t>
      </w:r>
      <w:r>
        <w:rPr>
          <w:rFonts w:hint="eastAsia" w:asciiTheme="minorEastAsia" w:hAnsiTheme="minorEastAsia" w:eastAsiaTheme="minorEastAsia"/>
          <w:color w:val="404040"/>
          <w:sz w:val="28"/>
          <w:szCs w:val="28"/>
        </w:rPr>
        <w:t>。其中，电子与信息</w:t>
      </w:r>
      <w:r>
        <w:rPr>
          <w:rFonts w:hint="eastAsia" w:asciiTheme="minorEastAsia" w:hAnsiTheme="minorEastAsia" w:eastAsiaTheme="minorEastAsia"/>
          <w:color w:val="404040"/>
          <w:sz w:val="28"/>
          <w:szCs w:val="28"/>
          <w:lang w:eastAsia="zh-CN"/>
        </w:rPr>
        <w:t>领域</w:t>
      </w:r>
      <w:r>
        <w:rPr>
          <w:rFonts w:hint="eastAsia" w:asciiTheme="minorEastAsia" w:hAnsiTheme="minorEastAsia" w:eastAsiaTheme="minorEastAsia"/>
          <w:color w:val="404040"/>
          <w:sz w:val="28"/>
          <w:szCs w:val="28"/>
        </w:rPr>
        <w:t>同比增长</w:t>
      </w:r>
      <w:r>
        <w:rPr>
          <w:rFonts w:hint="eastAsia" w:asciiTheme="minorEastAsia" w:hAnsiTheme="minorEastAsia" w:eastAsiaTheme="minorEastAsia"/>
          <w:color w:val="404040"/>
          <w:sz w:val="28"/>
          <w:szCs w:val="28"/>
          <w:lang w:val="en-US" w:eastAsia="zh-CN"/>
        </w:rPr>
        <w:t>4.2%</w:t>
      </w:r>
      <w:r>
        <w:rPr>
          <w:rFonts w:hint="eastAsia" w:asciiTheme="minorEastAsia" w:hAnsiTheme="minorEastAsia" w:eastAsiaTheme="minorEastAsia"/>
          <w:color w:val="404040"/>
          <w:sz w:val="28"/>
          <w:szCs w:val="28"/>
        </w:rPr>
        <w:t>；新能源与高效节能技术</w:t>
      </w:r>
      <w:r>
        <w:rPr>
          <w:rFonts w:hint="eastAsia" w:asciiTheme="minorEastAsia" w:hAnsiTheme="minorEastAsia" w:eastAsiaTheme="minorEastAsia"/>
          <w:color w:val="404040"/>
          <w:sz w:val="28"/>
          <w:szCs w:val="28"/>
          <w:lang w:eastAsia="zh-CN"/>
        </w:rPr>
        <w:t>领域</w:t>
      </w:r>
      <w:r>
        <w:rPr>
          <w:rFonts w:hint="eastAsia" w:asciiTheme="minorEastAsia" w:hAnsiTheme="minorEastAsia" w:eastAsiaTheme="minorEastAsia"/>
          <w:color w:val="404040"/>
          <w:sz w:val="28"/>
          <w:szCs w:val="28"/>
        </w:rPr>
        <w:t>同比增长</w:t>
      </w:r>
      <w:r>
        <w:rPr>
          <w:rFonts w:hint="eastAsia" w:cs="宋体"/>
          <w:color w:val="333333"/>
          <w:kern w:val="0"/>
          <w:sz w:val="28"/>
          <w:szCs w:val="32"/>
          <w:lang w:val="en-US" w:eastAsia="zh-CN"/>
        </w:rPr>
        <w:t>18.8</w:t>
      </w:r>
      <w:r>
        <w:rPr>
          <w:rFonts w:hint="eastAsia" w:ascii="宋体" w:hAnsi="宋体" w:cs="宋体"/>
          <w:color w:val="333333"/>
          <w:kern w:val="0"/>
          <w:sz w:val="28"/>
          <w:szCs w:val="32"/>
          <w:lang w:val="en-US" w:eastAsia="zh-CN"/>
        </w:rPr>
        <w:t>%</w:t>
      </w:r>
      <w:r>
        <w:rPr>
          <w:rFonts w:hint="eastAsia" w:asciiTheme="minorEastAsia" w:hAnsiTheme="minorEastAsia" w:eastAsiaTheme="minorEastAsia"/>
          <w:color w:val="404040"/>
          <w:sz w:val="28"/>
          <w:szCs w:val="28"/>
        </w:rPr>
        <w:t>；先进制造技术</w:t>
      </w:r>
      <w:r>
        <w:rPr>
          <w:rFonts w:hint="eastAsia" w:asciiTheme="minorEastAsia" w:hAnsiTheme="minorEastAsia" w:eastAsiaTheme="minorEastAsia"/>
          <w:color w:val="404040"/>
          <w:sz w:val="28"/>
          <w:szCs w:val="28"/>
          <w:lang w:eastAsia="zh-CN"/>
        </w:rPr>
        <w:t>领域</w:t>
      </w:r>
      <w:r>
        <w:rPr>
          <w:rFonts w:hint="eastAsia" w:asciiTheme="minorEastAsia" w:hAnsiTheme="minorEastAsia" w:eastAsiaTheme="minorEastAsia"/>
          <w:color w:val="404040"/>
          <w:sz w:val="28"/>
          <w:szCs w:val="28"/>
        </w:rPr>
        <w:t>同比</w:t>
      </w:r>
      <w:r>
        <w:rPr>
          <w:rFonts w:hint="eastAsia" w:asciiTheme="minorEastAsia" w:hAnsiTheme="minorEastAsia" w:eastAsiaTheme="minorEastAsia"/>
          <w:color w:val="404040"/>
          <w:sz w:val="28"/>
          <w:szCs w:val="28"/>
          <w:lang w:eastAsia="zh-CN"/>
        </w:rPr>
        <w:t>下降</w:t>
      </w:r>
      <w:r>
        <w:rPr>
          <w:rFonts w:hint="eastAsia" w:cs="宋体"/>
          <w:color w:val="333333"/>
          <w:kern w:val="0"/>
          <w:sz w:val="28"/>
          <w:szCs w:val="32"/>
          <w:lang w:val="en-US" w:eastAsia="zh-CN"/>
        </w:rPr>
        <w:t>2.3</w:t>
      </w:r>
      <w:r>
        <w:rPr>
          <w:rFonts w:hint="eastAsia" w:ascii="宋体" w:hAnsi="宋体" w:cs="宋体"/>
          <w:color w:val="333333"/>
          <w:kern w:val="0"/>
          <w:sz w:val="28"/>
          <w:szCs w:val="32"/>
          <w:lang w:val="en-US" w:eastAsia="zh-CN"/>
        </w:rPr>
        <w:t>%</w:t>
      </w:r>
      <w:r>
        <w:rPr>
          <w:rFonts w:hint="eastAsia" w:asciiTheme="minorEastAsia" w:hAnsiTheme="minorEastAsia" w:eastAsiaTheme="minorEastAsia"/>
          <w:color w:val="404040"/>
          <w:sz w:val="28"/>
          <w:szCs w:val="28"/>
        </w:rPr>
        <w:t>。</w:t>
      </w:r>
    </w:p>
    <w:p>
      <w:pPr>
        <w:pStyle w:val="5"/>
        <w:shd w:val="clear" w:color="auto" w:fill="FFFFFF"/>
        <w:spacing w:before="0" w:beforeAutospacing="0" w:after="0" w:afterAutospacing="0" w:line="384" w:lineRule="atLeast"/>
        <w:rPr>
          <w:rFonts w:asciiTheme="minorEastAsia" w:hAnsiTheme="minorEastAsia" w:eastAsiaTheme="minorEastAsia"/>
          <w:color w:val="404040"/>
          <w:sz w:val="28"/>
          <w:szCs w:val="28"/>
        </w:rPr>
      </w:pPr>
      <w:r>
        <w:rPr>
          <w:rFonts w:hint="eastAsia" w:asciiTheme="minorEastAsia" w:hAnsiTheme="minorEastAsia" w:eastAsiaTheme="minorEastAsia"/>
          <w:color w:val="404040"/>
          <w:sz w:val="28"/>
          <w:szCs w:val="28"/>
        </w:rPr>
        <w:t>　　</w:t>
      </w:r>
      <w:r>
        <w:rPr>
          <w:rFonts w:hint="eastAsia" w:asciiTheme="minorEastAsia" w:hAnsiTheme="minorEastAsia" w:eastAsiaTheme="minorEastAsia"/>
          <w:color w:val="404040"/>
          <w:sz w:val="28"/>
          <w:szCs w:val="28"/>
          <w:lang w:eastAsia="zh-CN"/>
        </w:rPr>
        <w:t>1-9月</w:t>
      </w:r>
      <w:r>
        <w:rPr>
          <w:rFonts w:hint="eastAsia" w:asciiTheme="minorEastAsia" w:hAnsiTheme="minorEastAsia" w:eastAsiaTheme="minorEastAsia"/>
          <w:color w:val="404040"/>
          <w:sz w:val="28"/>
          <w:szCs w:val="28"/>
        </w:rPr>
        <w:t>，</w:t>
      </w:r>
      <w:r>
        <w:rPr>
          <w:rFonts w:hint="eastAsia" w:asciiTheme="minorEastAsia" w:hAnsiTheme="minorEastAsia" w:eastAsiaTheme="minorEastAsia"/>
          <w:color w:val="404040"/>
          <w:sz w:val="28"/>
          <w:szCs w:val="28"/>
          <w:lang w:eastAsia="zh-CN"/>
        </w:rPr>
        <w:t>朝阳园</w:t>
      </w:r>
      <w:r>
        <w:rPr>
          <w:rFonts w:hint="eastAsia" w:asciiTheme="minorEastAsia" w:hAnsiTheme="minorEastAsia" w:eastAsiaTheme="minorEastAsia"/>
          <w:color w:val="404040"/>
          <w:sz w:val="28"/>
          <w:szCs w:val="28"/>
        </w:rPr>
        <w:t>企业研究开发人员合计</w:t>
      </w:r>
      <w:r>
        <w:rPr>
          <w:rFonts w:hint="eastAsia" w:asciiTheme="minorEastAsia" w:hAnsiTheme="minorEastAsia" w:eastAsiaTheme="minorEastAsia"/>
          <w:color w:val="404040"/>
          <w:sz w:val="28"/>
          <w:szCs w:val="28"/>
          <w:lang w:val="en-US" w:eastAsia="zh-CN"/>
        </w:rPr>
        <w:t>9.4</w:t>
      </w:r>
      <w:r>
        <w:rPr>
          <w:rFonts w:hint="eastAsia" w:asciiTheme="minorEastAsia" w:hAnsiTheme="minorEastAsia" w:eastAsiaTheme="minorEastAsia"/>
          <w:color w:val="404040"/>
          <w:sz w:val="28"/>
          <w:szCs w:val="28"/>
        </w:rPr>
        <w:t>万人，比上年同期增长</w:t>
      </w:r>
      <w:r>
        <w:rPr>
          <w:rFonts w:hint="eastAsia" w:asciiTheme="minorEastAsia" w:hAnsiTheme="minorEastAsia" w:eastAsiaTheme="minorEastAsia"/>
          <w:color w:val="404040"/>
          <w:sz w:val="28"/>
          <w:szCs w:val="28"/>
          <w:lang w:val="en-US" w:eastAsia="zh-CN"/>
        </w:rPr>
        <w:t>9.5%</w:t>
      </w:r>
      <w:r>
        <w:rPr>
          <w:rFonts w:hint="eastAsia" w:asciiTheme="minorEastAsia" w:hAnsiTheme="minorEastAsia" w:eastAsiaTheme="minorEastAsia"/>
          <w:color w:val="404040"/>
          <w:sz w:val="28"/>
          <w:szCs w:val="28"/>
        </w:rPr>
        <w:t>。研究开发费用合计</w:t>
      </w:r>
      <w:r>
        <w:rPr>
          <w:rFonts w:hint="eastAsia" w:asciiTheme="minorEastAsia" w:hAnsiTheme="minorEastAsia" w:eastAsiaTheme="minorEastAsia"/>
          <w:color w:val="404040"/>
          <w:sz w:val="28"/>
          <w:szCs w:val="28"/>
          <w:lang w:val="en-US" w:eastAsia="zh-CN"/>
        </w:rPr>
        <w:t>355.2</w:t>
      </w:r>
      <w:r>
        <w:rPr>
          <w:rFonts w:hint="eastAsia" w:asciiTheme="minorEastAsia" w:hAnsiTheme="minorEastAsia" w:eastAsiaTheme="minorEastAsia"/>
          <w:color w:val="404040"/>
          <w:sz w:val="28"/>
          <w:szCs w:val="28"/>
        </w:rPr>
        <w:t>亿元，比上年同期增长</w:t>
      </w:r>
      <w:r>
        <w:rPr>
          <w:rFonts w:hint="eastAsia" w:asciiTheme="minorEastAsia" w:hAnsiTheme="minorEastAsia" w:eastAsiaTheme="minorEastAsia"/>
          <w:color w:val="404040"/>
          <w:sz w:val="28"/>
          <w:szCs w:val="28"/>
          <w:lang w:val="en-US" w:eastAsia="zh-CN"/>
        </w:rPr>
        <w:t>5.3%</w:t>
      </w:r>
      <w:r>
        <w:rPr>
          <w:rFonts w:hint="eastAsia" w:asciiTheme="minorEastAsia" w:hAnsiTheme="minorEastAsia" w:eastAsiaTheme="minorEastAsia"/>
          <w:color w:val="404040"/>
          <w:sz w:val="28"/>
          <w:szCs w:val="28"/>
        </w:rPr>
        <w:t>。</w:t>
      </w:r>
    </w:p>
    <w:p>
      <w:pPr>
        <w:pStyle w:val="5"/>
        <w:shd w:val="clear" w:color="auto" w:fill="FFFFFF"/>
        <w:spacing w:before="0" w:beforeAutospacing="0" w:after="0" w:afterAutospacing="0" w:line="384" w:lineRule="atLeast"/>
        <w:rPr>
          <w:rFonts w:hint="eastAsia" w:asciiTheme="minorEastAsia" w:hAnsiTheme="minorEastAsia" w:eastAsiaTheme="minorEastAsia"/>
          <w:color w:val="404040"/>
          <w:sz w:val="28"/>
          <w:szCs w:val="28"/>
        </w:rPr>
      </w:pPr>
    </w:p>
    <w:p>
      <w:pPr>
        <w:jc w:val="center"/>
        <w:rPr>
          <w:rFonts w:hint="eastAsia" w:ascii="Calibri" w:hAnsi="Calibri" w:eastAsia="宋体" w:cs="Times New Roman"/>
          <w:b/>
          <w:sz w:val="30"/>
          <w:szCs w:val="30"/>
        </w:rPr>
      </w:pPr>
      <w:r>
        <w:rPr>
          <w:rFonts w:hint="eastAsia" w:ascii="Calibri" w:hAnsi="Calibri" w:eastAsia="宋体" w:cs="Times New Roman"/>
          <w:b/>
          <w:sz w:val="30"/>
          <w:szCs w:val="30"/>
        </w:rPr>
        <w:t>中关村朝阳园规模（限额）以上企业</w:t>
      </w:r>
    </w:p>
    <w:p>
      <w:pPr>
        <w:jc w:val="center"/>
        <w:rPr>
          <w:rFonts w:hint="eastAsia" w:ascii="宋体" w:hAnsi="宋体" w:eastAsia="宋体" w:cs="Times New Roman"/>
          <w:b/>
          <w:bCs/>
          <w:color w:val="000000"/>
          <w:sz w:val="30"/>
          <w:szCs w:val="30"/>
        </w:rPr>
      </w:pPr>
      <w:r>
        <w:rPr>
          <w:rFonts w:hint="eastAsia" w:ascii="Calibri" w:hAnsi="Calibri" w:eastAsia="宋体" w:cs="Times New Roman"/>
          <w:b/>
          <w:sz w:val="30"/>
          <w:szCs w:val="30"/>
        </w:rPr>
        <w:t>总收入</w:t>
      </w:r>
      <w:r>
        <w:rPr>
          <w:rFonts w:hint="eastAsia" w:ascii="宋体" w:hAnsi="宋体" w:eastAsia="宋体" w:cs="Times New Roman"/>
          <w:b/>
          <w:bCs/>
          <w:color w:val="000000"/>
          <w:sz w:val="30"/>
          <w:szCs w:val="30"/>
        </w:rPr>
        <w:t>统计范围、采集渠道及指标解释</w:t>
      </w:r>
    </w:p>
    <w:p>
      <w:pPr>
        <w:spacing w:beforeLines="50" w:line="360" w:lineRule="auto"/>
        <w:ind w:firstLine="482" w:firstLineChars="20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一、统计范围</w:t>
      </w:r>
    </w:p>
    <w:p>
      <w:pPr>
        <w:spacing w:line="360" w:lineRule="auto"/>
        <w:ind w:firstLine="570"/>
        <w:rPr>
          <w:rFonts w:hint="eastAsia" w:ascii="Calibri" w:hAnsi="Calibri" w:eastAsia="宋体" w:cs="Times New Roman"/>
          <w:sz w:val="24"/>
          <w:szCs w:val="24"/>
        </w:rPr>
      </w:pPr>
      <w:r>
        <w:rPr>
          <w:rFonts w:hint="eastAsia" w:ascii="Calibri" w:hAnsi="Calibri" w:eastAsia="宋体" w:cs="Times New Roman"/>
          <w:sz w:val="24"/>
          <w:szCs w:val="24"/>
        </w:rPr>
        <w:t>规模（限额）以上全部入区法人单位</w:t>
      </w:r>
    </w:p>
    <w:p>
      <w:pPr>
        <w:spacing w:line="360" w:lineRule="auto"/>
        <w:ind w:firstLine="57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二、采集渠道</w:t>
      </w:r>
    </w:p>
    <w:p>
      <w:pPr>
        <w:spacing w:line="360" w:lineRule="auto"/>
        <w:ind w:firstLine="570"/>
        <w:rPr>
          <w:rFonts w:hint="eastAsia" w:ascii="Calibri" w:hAnsi="Calibri" w:eastAsia="宋体" w:cs="Times New Roman"/>
          <w:sz w:val="24"/>
          <w:szCs w:val="24"/>
        </w:rPr>
      </w:pPr>
      <w:r>
        <w:rPr>
          <w:rFonts w:hint="eastAsia" w:ascii="Calibri" w:hAnsi="Calibri" w:eastAsia="宋体" w:cs="Times New Roman"/>
          <w:sz w:val="24"/>
          <w:szCs w:val="24"/>
        </w:rPr>
        <w:t>通过北京统计联网直报系统上报。</w:t>
      </w:r>
    </w:p>
    <w:p>
      <w:pPr>
        <w:spacing w:line="360" w:lineRule="auto"/>
        <w:ind w:firstLine="570"/>
        <w:rPr>
          <w:rFonts w:hint="eastAsia" w:ascii="宋体" w:hAnsi="宋体" w:eastAsia="宋体" w:cs="Times New Roman"/>
          <w:b/>
          <w:bCs/>
          <w:color w:val="000000"/>
          <w:sz w:val="24"/>
          <w:szCs w:val="24"/>
        </w:rPr>
      </w:pPr>
      <w:r>
        <w:rPr>
          <w:rFonts w:hint="eastAsia" w:ascii="宋体" w:hAnsi="宋体" w:eastAsia="宋体" w:cs="Times New Roman"/>
          <w:b/>
          <w:bCs/>
          <w:color w:val="000000"/>
          <w:sz w:val="24"/>
          <w:szCs w:val="24"/>
        </w:rPr>
        <w:t>三、指标解释</w:t>
      </w:r>
    </w:p>
    <w:p>
      <w:pPr>
        <w:spacing w:line="360" w:lineRule="auto"/>
        <w:ind w:firstLine="570"/>
        <w:rPr>
          <w:rFonts w:hint="eastAsia" w:ascii="宋体" w:hAnsi="宋体" w:eastAsia="宋体" w:cs="Times New Roman"/>
          <w:color w:val="000000"/>
          <w:sz w:val="24"/>
          <w:szCs w:val="24"/>
        </w:rPr>
      </w:pPr>
      <w:r>
        <w:rPr>
          <w:rFonts w:hint="eastAsia" w:ascii="宋体" w:hAnsi="宋体" w:eastAsia="宋体" w:cs="Times New Roman"/>
          <w:b/>
          <w:color w:val="000000"/>
          <w:sz w:val="24"/>
          <w:szCs w:val="24"/>
        </w:rPr>
        <w:t>总收入：</w:t>
      </w:r>
      <w:r>
        <w:rPr>
          <w:rFonts w:hint="eastAsia" w:ascii="宋体" w:hAnsi="宋体" w:eastAsia="宋体" w:cs="Times New Roman"/>
          <w:color w:val="000000"/>
          <w:sz w:val="24"/>
          <w:szCs w:val="24"/>
        </w:rPr>
        <w:t>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360" w:lineRule="auto"/>
        <w:ind w:firstLine="570"/>
        <w:rPr>
          <w:rFonts w:hint="eastAsia" w:ascii="宋体" w:hAnsi="宋体"/>
          <w:color w:val="000000"/>
          <w:sz w:val="24"/>
          <w:szCs w:val="24"/>
        </w:rPr>
      </w:pPr>
      <w:r>
        <w:rPr>
          <w:rFonts w:hint="eastAsia" w:ascii="宋体" w:hAnsi="宋体"/>
          <w:b/>
          <w:color w:val="000000"/>
          <w:sz w:val="24"/>
          <w:szCs w:val="24"/>
        </w:rPr>
        <w:t>研究开发费用合计：</w:t>
      </w:r>
      <w:r>
        <w:rPr>
          <w:rFonts w:hint="eastAsia" w:ascii="宋体" w:hAnsi="宋体"/>
          <w:color w:val="000000"/>
          <w:sz w:val="24"/>
          <w:szCs w:val="24"/>
        </w:rPr>
        <w:t xml:space="preserve"> 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360" w:lineRule="auto"/>
        <w:ind w:firstLine="570"/>
        <w:rPr>
          <w:rFonts w:ascii="宋体" w:hAnsi="宋体"/>
          <w:color w:val="000000"/>
          <w:sz w:val="24"/>
          <w:szCs w:val="24"/>
        </w:rPr>
      </w:pPr>
      <w:r>
        <w:rPr>
          <w:rFonts w:hint="eastAsia" w:ascii="宋体" w:hAnsi="宋体"/>
          <w:b/>
          <w:color w:val="000000"/>
          <w:sz w:val="24"/>
          <w:szCs w:val="24"/>
        </w:rPr>
        <w:t>三大重点监测高新技术领域：</w:t>
      </w:r>
      <w:r>
        <w:rPr>
          <w:rFonts w:hint="eastAsia" w:ascii="宋体" w:hAnsi="宋体"/>
          <w:color w:val="000000"/>
          <w:sz w:val="24"/>
          <w:szCs w:val="24"/>
        </w:rPr>
        <w:t>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6DE3"/>
    <w:rsid w:val="00003F6C"/>
    <w:rsid w:val="002D7964"/>
    <w:rsid w:val="00307881"/>
    <w:rsid w:val="003938C2"/>
    <w:rsid w:val="003F6DE3"/>
    <w:rsid w:val="00457041"/>
    <w:rsid w:val="004873B9"/>
    <w:rsid w:val="004D7D98"/>
    <w:rsid w:val="005B715C"/>
    <w:rsid w:val="006B0B15"/>
    <w:rsid w:val="00847796"/>
    <w:rsid w:val="00B665BC"/>
    <w:rsid w:val="00B674C7"/>
    <w:rsid w:val="00D66197"/>
    <w:rsid w:val="00E06B68"/>
    <w:rsid w:val="039E352A"/>
    <w:rsid w:val="057F4B0A"/>
    <w:rsid w:val="05B7133F"/>
    <w:rsid w:val="075532B6"/>
    <w:rsid w:val="094E2347"/>
    <w:rsid w:val="09EF6C62"/>
    <w:rsid w:val="0AE35042"/>
    <w:rsid w:val="0B7C2AA7"/>
    <w:rsid w:val="0BC6477B"/>
    <w:rsid w:val="0E636A36"/>
    <w:rsid w:val="12862872"/>
    <w:rsid w:val="13285152"/>
    <w:rsid w:val="14D32129"/>
    <w:rsid w:val="14ED7792"/>
    <w:rsid w:val="15A857D3"/>
    <w:rsid w:val="1845520C"/>
    <w:rsid w:val="1C243EB9"/>
    <w:rsid w:val="1C790786"/>
    <w:rsid w:val="1C97431B"/>
    <w:rsid w:val="201708FC"/>
    <w:rsid w:val="210F398E"/>
    <w:rsid w:val="23761B24"/>
    <w:rsid w:val="247B13EE"/>
    <w:rsid w:val="25FB457F"/>
    <w:rsid w:val="2AF724ED"/>
    <w:rsid w:val="2F3C0D5B"/>
    <w:rsid w:val="336E51F2"/>
    <w:rsid w:val="36A40006"/>
    <w:rsid w:val="3B462E0C"/>
    <w:rsid w:val="3C0B6B83"/>
    <w:rsid w:val="3DE307D2"/>
    <w:rsid w:val="40D57284"/>
    <w:rsid w:val="45BC43D1"/>
    <w:rsid w:val="49233538"/>
    <w:rsid w:val="4BF5473B"/>
    <w:rsid w:val="4C3B231E"/>
    <w:rsid w:val="4CAB4943"/>
    <w:rsid w:val="50A82B37"/>
    <w:rsid w:val="51541C05"/>
    <w:rsid w:val="53F92D69"/>
    <w:rsid w:val="59D35A1A"/>
    <w:rsid w:val="5F9137AE"/>
    <w:rsid w:val="60E858CE"/>
    <w:rsid w:val="62320039"/>
    <w:rsid w:val="63AA6200"/>
    <w:rsid w:val="6AE975AD"/>
    <w:rsid w:val="6B70422D"/>
    <w:rsid w:val="6BEC2060"/>
    <w:rsid w:val="6EB10B89"/>
    <w:rsid w:val="7055305D"/>
    <w:rsid w:val="74713C33"/>
    <w:rsid w:val="7530065B"/>
    <w:rsid w:val="761E4FC0"/>
    <w:rsid w:val="763F2FB3"/>
    <w:rsid w:val="79D9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7"/>
    <w:link w:val="2"/>
    <w:qFormat/>
    <w:uiPriority w:val="9"/>
    <w:rPr>
      <w:rFonts w:ascii="宋体" w:hAnsi="宋体" w:eastAsia="宋体" w:cs="宋体"/>
      <w:b/>
      <w:bCs/>
      <w:kern w:val="0"/>
      <w:sz w:val="24"/>
      <w:szCs w:val="24"/>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101</Words>
  <Characters>579</Characters>
  <Lines>4</Lines>
  <Paragraphs>1</Paragraphs>
  <TotalTime>96</TotalTime>
  <ScaleCrop>false</ScaleCrop>
  <LinksUpToDate>false</LinksUpToDate>
  <CharactersWithSpaces>679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2021-01-04T07:46:00Z</dcterms:created>
  <dc:creator>USER-</dc:creator>
  <cp:lastModifiedBy>user</cp:lastModifiedBy>
  <cp:lastPrinted>2022-10-31T07:29:23Z</cp:lastPrinted>
  <dcterms:modified xsi:type="dcterms:W3CDTF">2022-10-31T07:36:39Z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