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hint="eastAsia" w:ascii="黑体" w:hAnsi="黑体" w:eastAsia="黑体" w:cs="宋体"/>
          <w:bCs/>
          <w:sz w:val="72"/>
          <w:szCs w:val="72"/>
          <w:lang w:val="en-US" w:eastAsia="zh-CN"/>
        </w:rPr>
      </w:pPr>
      <w:r>
        <w:rPr>
          <w:rFonts w:hint="eastAsia" w:ascii="黑体" w:hAnsi="黑体" w:eastAsia="黑体" w:cs="宋体"/>
          <w:bCs/>
          <w:sz w:val="72"/>
          <w:szCs w:val="72"/>
          <w:lang w:val="zh-CN"/>
        </w:rPr>
        <w:t>批发和零售业年定报培训</w:t>
      </w:r>
      <w:r>
        <w:rPr>
          <w:rFonts w:ascii="黑体" w:hAnsi="黑体" w:eastAsia="黑体" w:cs="宋体"/>
          <w:bCs/>
          <w:sz w:val="72"/>
          <w:szCs w:val="72"/>
          <w:lang w:val="zh-CN"/>
        </w:rPr>
        <w:t>要点</w:t>
      </w:r>
      <w:r>
        <w:rPr>
          <w:rFonts w:hint="eastAsia" w:ascii="黑体" w:hAnsi="黑体" w:eastAsia="黑体" w:cs="宋体"/>
          <w:bCs/>
          <w:sz w:val="72"/>
          <w:szCs w:val="72"/>
          <w:lang w:val="zh-CN"/>
        </w:rPr>
        <w:t>（</w:t>
      </w:r>
      <w:r>
        <w:rPr>
          <w:rFonts w:hint="eastAsia" w:ascii="黑体" w:hAnsi="黑体" w:eastAsia="黑体" w:cs="宋体"/>
          <w:bCs/>
          <w:sz w:val="72"/>
          <w:szCs w:val="72"/>
          <w:lang w:val="zh-CN" w:eastAsia="zh-CN"/>
        </w:rPr>
        <w:t>报表单位用</w:t>
      </w:r>
      <w:r>
        <w:rPr>
          <w:rFonts w:hint="eastAsia" w:ascii="黑体" w:hAnsi="黑体" w:eastAsia="黑体" w:cs="宋体"/>
          <w:bCs/>
          <w:sz w:val="72"/>
          <w:szCs w:val="72"/>
          <w:lang w:val="zh-CN"/>
        </w:rPr>
        <w:t>）</w:t>
      </w:r>
    </w:p>
    <w:p>
      <w:pPr>
        <w:topLinePunct/>
        <w:jc w:val="center"/>
        <w:rPr>
          <w:rFonts w:ascii="黑体" w:hAnsi="黑体" w:eastAsia="黑体" w:cs="宋体"/>
          <w:bCs/>
          <w:sz w:val="44"/>
          <w:szCs w:val="44"/>
          <w:lang w:val="zh-CN"/>
        </w:rPr>
      </w:pPr>
    </w:p>
    <w:p>
      <w:pPr>
        <w:topLinePunct/>
        <w:jc w:val="center"/>
        <w:rPr>
          <w:rFonts w:ascii="楷体_GB2312" w:hAnsi="宋体" w:eastAsia="楷体_GB2312"/>
          <w:bCs/>
          <w:sz w:val="44"/>
          <w:szCs w:val="44"/>
        </w:rPr>
      </w:pPr>
      <w:r>
        <w:rPr>
          <w:rFonts w:hint="eastAsia" w:ascii="黑体" w:hAnsi="黑体" w:eastAsia="黑体" w:cs="宋体"/>
          <w:bCs/>
          <w:sz w:val="44"/>
          <w:szCs w:val="44"/>
          <w:lang w:val="zh-CN"/>
        </w:rPr>
        <w:t>(</w:t>
      </w:r>
      <w:r>
        <w:rPr>
          <w:rFonts w:hint="eastAsia" w:ascii="楷体_GB2312" w:hAnsi="宋体" w:eastAsia="楷体_GB2312"/>
          <w:bCs/>
          <w:sz w:val="44"/>
          <w:szCs w:val="44"/>
        </w:rPr>
        <w:t>202</w:t>
      </w:r>
      <w:r>
        <w:rPr>
          <w:rFonts w:hint="eastAsia" w:ascii="楷体_GB2312" w:hAnsi="宋体" w:eastAsia="楷体_GB2312"/>
          <w:bCs/>
          <w:sz w:val="44"/>
          <w:szCs w:val="44"/>
          <w:lang w:val="en-US" w:eastAsia="zh-CN"/>
        </w:rPr>
        <w:t>4</w:t>
      </w:r>
      <w:r>
        <w:rPr>
          <w:rFonts w:hint="eastAsia" w:ascii="楷体_GB2312" w:hAnsi="宋体" w:eastAsia="楷体_GB2312"/>
          <w:bCs/>
          <w:sz w:val="44"/>
          <w:szCs w:val="44"/>
        </w:rPr>
        <w:t>年统计年报和202</w:t>
      </w:r>
      <w:r>
        <w:rPr>
          <w:rFonts w:hint="eastAsia" w:ascii="楷体_GB2312" w:hAnsi="宋体" w:eastAsia="楷体_GB2312"/>
          <w:bCs/>
          <w:sz w:val="44"/>
          <w:szCs w:val="44"/>
          <w:lang w:val="en-US" w:eastAsia="zh-CN"/>
        </w:rPr>
        <w:t>5</w:t>
      </w:r>
      <w:r>
        <w:rPr>
          <w:rFonts w:hint="eastAsia" w:ascii="楷体_GB2312" w:hAnsi="宋体" w:eastAsia="楷体_GB2312"/>
          <w:bCs/>
          <w:sz w:val="44"/>
          <w:szCs w:val="44"/>
        </w:rPr>
        <w:t>年定期统计报表</w:t>
      </w:r>
      <w:r>
        <w:rPr>
          <w:rFonts w:hint="eastAsia" w:ascii="黑体" w:hAnsi="黑体" w:eastAsia="黑体" w:cs="宋体"/>
          <w:bCs/>
          <w:sz w:val="44"/>
          <w:szCs w:val="44"/>
          <w:lang w:val="zh-CN"/>
        </w:rPr>
        <w:t>)</w:t>
      </w:r>
    </w:p>
    <w:p>
      <w:pPr>
        <w:autoSpaceDE w:val="0"/>
        <w:autoSpaceDN w:val="0"/>
        <w:adjustRightInd w:val="0"/>
        <w:jc w:val="center"/>
        <w:rPr>
          <w:rFonts w:ascii="宋体" w:hAnsi="宋体" w:cs="宋体"/>
          <w:b/>
          <w:bCs/>
          <w:sz w:val="72"/>
          <w:szCs w:val="72"/>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jc w:val="center"/>
        <w:rPr>
          <w:rFonts w:ascii="黑体" w:hAnsi="黑体" w:eastAsia="黑体" w:cs="宋体"/>
          <w:bCs/>
          <w:sz w:val="44"/>
          <w:szCs w:val="52"/>
          <w:lang w:val="zh-CN"/>
        </w:rPr>
      </w:pPr>
      <w:r>
        <w:rPr>
          <w:rFonts w:hint="eastAsia" w:ascii="黑体" w:hAnsi="黑体" w:eastAsia="黑体" w:cs="宋体"/>
          <w:bCs/>
          <w:sz w:val="44"/>
          <w:szCs w:val="52"/>
          <w:lang w:val="zh-CN"/>
        </w:rPr>
        <w:t>北京市朝阳区统计局</w:t>
      </w:r>
    </w:p>
    <w:p>
      <w:pPr>
        <w:autoSpaceDE w:val="0"/>
        <w:autoSpaceDN w:val="0"/>
        <w:adjustRightInd w:val="0"/>
        <w:jc w:val="center"/>
        <w:rPr>
          <w:rFonts w:ascii="黑体" w:hAnsi="黑体" w:eastAsia="黑体" w:cs="宋体"/>
          <w:bCs/>
          <w:sz w:val="44"/>
          <w:szCs w:val="52"/>
          <w:lang w:val="zh-CN"/>
        </w:rPr>
      </w:pPr>
      <w:r>
        <w:rPr>
          <w:rFonts w:hint="eastAsia" w:ascii="黑体" w:hAnsi="黑体" w:eastAsia="黑体" w:cs="宋体"/>
          <w:bCs/>
          <w:sz w:val="44"/>
          <w:szCs w:val="52"/>
          <w:lang w:val="zh-CN"/>
        </w:rPr>
        <w:t>统计调查中心</w:t>
      </w:r>
    </w:p>
    <w:p>
      <w:pPr>
        <w:autoSpaceDE w:val="0"/>
        <w:autoSpaceDN w:val="0"/>
        <w:adjustRightInd w:val="0"/>
        <w:jc w:val="center"/>
        <w:rPr>
          <w:rFonts w:hint="eastAsia" w:ascii="黑体" w:hAnsi="黑体" w:eastAsia="黑体" w:cs="宋体"/>
          <w:bCs/>
          <w:sz w:val="44"/>
          <w:szCs w:val="52"/>
          <w:lang w:val="zh-CN"/>
        </w:rPr>
      </w:pPr>
      <w:r>
        <w:rPr>
          <w:rFonts w:hint="eastAsia" w:ascii="黑体" w:hAnsi="黑体" w:eastAsia="黑体" w:cs="宋体"/>
          <w:bCs/>
          <w:sz w:val="44"/>
          <w:szCs w:val="52"/>
          <w:lang w:val="zh-CN"/>
        </w:rPr>
        <w:t>202</w:t>
      </w:r>
      <w:r>
        <w:rPr>
          <w:rFonts w:hint="eastAsia" w:ascii="黑体" w:hAnsi="黑体" w:eastAsia="黑体" w:cs="宋体"/>
          <w:bCs/>
          <w:sz w:val="44"/>
          <w:szCs w:val="52"/>
          <w:lang w:val="en-US" w:eastAsia="zh-CN"/>
        </w:rPr>
        <w:t>4</w:t>
      </w:r>
      <w:r>
        <w:rPr>
          <w:rFonts w:hint="eastAsia" w:ascii="黑体" w:hAnsi="黑体" w:eastAsia="黑体" w:cs="宋体"/>
          <w:bCs/>
          <w:sz w:val="44"/>
          <w:szCs w:val="52"/>
          <w:lang w:val="zh-CN"/>
        </w:rPr>
        <w:t>年12月</w:t>
      </w:r>
    </w:p>
    <w:p>
      <w:pPr>
        <w:rPr>
          <w:rFonts w:hint="eastAsia" w:ascii="黑体" w:hAnsi="黑体" w:eastAsia="黑体" w:cs="宋体"/>
          <w:bCs/>
          <w:sz w:val="44"/>
          <w:szCs w:val="52"/>
          <w:lang w:val="zh-CN"/>
        </w:rPr>
      </w:pPr>
      <w:r>
        <w:rPr>
          <w:rFonts w:hint="eastAsia" w:ascii="黑体" w:hAnsi="黑体" w:eastAsia="黑体" w:cs="宋体"/>
          <w:bCs/>
          <w:sz w:val="44"/>
          <w:szCs w:val="52"/>
          <w:lang w:val="zh-CN"/>
        </w:rPr>
        <w:br w:type="page"/>
      </w:r>
    </w:p>
    <w:p>
      <w:pPr>
        <w:pStyle w:val="4"/>
        <w:bidi w:val="0"/>
        <w:jc w:val="center"/>
        <w:rPr>
          <w:rFonts w:hint="eastAsia" w:ascii="黑体" w:hAnsi="黑体" w:eastAsia="黑体" w:cs="宋体"/>
          <w:bCs/>
          <w:sz w:val="52"/>
          <w:szCs w:val="52"/>
          <w:lang w:val="zh-CN"/>
        </w:rPr>
      </w:pPr>
      <w:bookmarkStart w:id="0" w:name="_Toc20401"/>
      <w:bookmarkStart w:id="1" w:name="_Toc21547"/>
      <w:r>
        <w:rPr>
          <w:rFonts w:hint="eastAsia" w:ascii="Times New Roman" w:hAnsi="Times New Roman"/>
          <w:sz w:val="52"/>
          <w:szCs w:val="52"/>
          <w:lang w:val="zh-CN" w:eastAsia="zh-CN"/>
        </w:rPr>
        <w:t>目录</w:t>
      </w:r>
      <w:bookmarkEnd w:id="0"/>
      <w:bookmarkEnd w:id="1"/>
    </w:p>
    <w:p>
      <w:pPr>
        <w:pStyle w:val="21"/>
        <w:tabs>
          <w:tab w:val="right" w:leader="dot" w:pos="9639"/>
          <w:tab w:val="clear" w:pos="1050"/>
          <w:tab w:val="clear" w:pos="9629"/>
        </w:tabs>
      </w:pPr>
      <w:bookmarkStart w:id="238" w:name="_GoBack"/>
      <w:bookmarkEnd w:id="238"/>
      <w:r>
        <w:rPr>
          <w:rFonts w:hint="eastAsia"/>
          <w:lang w:val="zh-CN"/>
        </w:rPr>
        <w:fldChar w:fldCharType="begin"/>
      </w:r>
      <w:r>
        <w:rPr>
          <w:rFonts w:hint="eastAsia"/>
          <w:lang w:val="zh-CN"/>
        </w:rPr>
        <w:instrText xml:space="preserve">TOC \o "1-2" \h \u </w:instrText>
      </w:r>
      <w:r>
        <w:rPr>
          <w:rFonts w:hint="eastAsia"/>
          <w:lang w:val="zh-CN"/>
        </w:rPr>
        <w:fldChar w:fldCharType="separate"/>
      </w:r>
      <w:r>
        <w:rPr>
          <w:rFonts w:hint="eastAsia"/>
          <w:lang w:val="zh-CN"/>
        </w:rPr>
        <w:fldChar w:fldCharType="begin"/>
      </w:r>
      <w:r>
        <w:rPr>
          <w:rFonts w:hint="eastAsia"/>
          <w:lang w:val="zh-CN"/>
        </w:rPr>
        <w:instrText xml:space="preserve"> HYPERLINK \l _Toc21547 </w:instrText>
      </w:r>
      <w:r>
        <w:rPr>
          <w:rFonts w:hint="eastAsia"/>
          <w:lang w:val="zh-CN"/>
        </w:rPr>
        <w:fldChar w:fldCharType="separate"/>
      </w:r>
      <w:r>
        <w:rPr>
          <w:rFonts w:hint="eastAsia" w:ascii="Times New Roman" w:hAnsi="Times New Roman"/>
          <w:szCs w:val="52"/>
          <w:lang w:val="zh-CN" w:eastAsia="zh-CN"/>
        </w:rPr>
        <w:t>目录</w:t>
      </w:r>
      <w:r>
        <w:tab/>
      </w:r>
      <w:r>
        <w:fldChar w:fldCharType="begin"/>
      </w:r>
      <w:r>
        <w:instrText xml:space="preserve"> PAGEREF _Toc21547 </w:instrText>
      </w:r>
      <w:r>
        <w:fldChar w:fldCharType="separate"/>
      </w:r>
      <w:r>
        <w:t>2</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_Toc3257 </w:instrText>
      </w:r>
      <w:r>
        <w:rPr>
          <w:rFonts w:hint="eastAsia"/>
          <w:lang w:val="zh-CN"/>
        </w:rPr>
        <w:fldChar w:fldCharType="separate"/>
      </w:r>
      <w:r>
        <w:rPr>
          <w:rFonts w:hint="eastAsia"/>
          <w:lang w:val="en-US" w:eastAsia="zh-CN"/>
        </w:rPr>
        <w:t>总体要求</w:t>
      </w:r>
      <w:r>
        <w:tab/>
      </w:r>
      <w:r>
        <w:fldChar w:fldCharType="begin"/>
      </w:r>
      <w:r>
        <w:instrText xml:space="preserve"> PAGEREF _Toc3257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_Toc8910 </w:instrText>
      </w:r>
      <w:r>
        <w:rPr>
          <w:rFonts w:hint="eastAsia"/>
          <w:lang w:val="zh-CN"/>
        </w:rPr>
        <w:fldChar w:fldCharType="separate"/>
      </w:r>
      <w:r>
        <w:rPr>
          <w:rFonts w:hint="eastAsia"/>
          <w:lang w:eastAsia="zh-CN"/>
        </w:rPr>
        <w:t>一、厘清报表时间</w:t>
      </w:r>
      <w:r>
        <w:tab/>
      </w:r>
      <w:r>
        <w:fldChar w:fldCharType="begin"/>
      </w:r>
      <w:r>
        <w:instrText xml:space="preserve"> PAGEREF _Toc8910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_Toc29948 </w:instrText>
      </w:r>
      <w:r>
        <w:rPr>
          <w:rFonts w:hint="eastAsia"/>
          <w:lang w:val="zh-CN"/>
        </w:rPr>
        <w:fldChar w:fldCharType="separate"/>
      </w:r>
      <w:r>
        <w:rPr>
          <w:rFonts w:hint="eastAsia"/>
          <w:lang w:val="en-US" w:eastAsia="zh-CN"/>
        </w:rPr>
        <w:t>二、提高数据质量</w:t>
      </w:r>
      <w:r>
        <w:tab/>
      </w:r>
      <w:r>
        <w:fldChar w:fldCharType="begin"/>
      </w:r>
      <w:r>
        <w:instrText xml:space="preserve"> PAGEREF _Toc29948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_Toc1565 </w:instrText>
      </w:r>
      <w:r>
        <w:rPr>
          <w:rFonts w:hint="eastAsia"/>
          <w:lang w:val="zh-CN"/>
        </w:rPr>
        <w:fldChar w:fldCharType="separate"/>
      </w:r>
      <w:r>
        <w:rPr>
          <w:rFonts w:hint="eastAsia"/>
          <w:lang w:eastAsia="zh-CN"/>
        </w:rPr>
        <w:t>三、日常工作要求</w:t>
      </w:r>
      <w:r>
        <w:tab/>
      </w:r>
      <w:r>
        <w:fldChar w:fldCharType="begin"/>
      </w:r>
      <w:r>
        <w:instrText xml:space="preserve"> PAGEREF _Toc1565 </w:instrText>
      </w:r>
      <w:r>
        <w:fldChar w:fldCharType="separate"/>
      </w:r>
      <w:r>
        <w:t>3</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_Toc11499 </w:instrText>
      </w:r>
      <w:r>
        <w:rPr>
          <w:rFonts w:hint="eastAsia"/>
          <w:lang w:val="zh-CN"/>
        </w:rPr>
        <w:fldChar w:fldCharType="separate"/>
      </w:r>
      <w:r>
        <w:rPr>
          <w:rFonts w:hint="eastAsia"/>
          <w:lang w:eastAsia="zh-CN"/>
        </w:rPr>
        <w:t>第一部分：制度介绍</w:t>
      </w:r>
      <w:r>
        <w:tab/>
      </w:r>
      <w:r>
        <w:fldChar w:fldCharType="begin"/>
      </w:r>
      <w:r>
        <w:instrText xml:space="preserve"> PAGEREF _Toc11499 </w:instrText>
      </w:r>
      <w:r>
        <w:fldChar w:fldCharType="separate"/>
      </w:r>
      <w:r>
        <w:t>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_Toc5727 </w:instrText>
      </w:r>
      <w:r>
        <w:rPr>
          <w:rFonts w:hint="eastAsia"/>
          <w:lang w:val="zh-CN"/>
        </w:rPr>
        <w:fldChar w:fldCharType="separate"/>
      </w:r>
      <w:r>
        <w:rPr>
          <w:rFonts w:hint="eastAsia"/>
          <w:lang w:eastAsia="zh-CN"/>
        </w:rPr>
        <w:t>一、年定报报表概览</w:t>
      </w:r>
      <w:r>
        <w:tab/>
      </w:r>
      <w:r>
        <w:fldChar w:fldCharType="begin"/>
      </w:r>
      <w:r>
        <w:instrText xml:space="preserve"> PAGEREF _Toc5727 </w:instrText>
      </w:r>
      <w:r>
        <w:fldChar w:fldCharType="separate"/>
      </w:r>
      <w:r>
        <w:t>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_Toc15126 </w:instrText>
      </w:r>
      <w:r>
        <w:rPr>
          <w:rFonts w:hint="eastAsia"/>
          <w:lang w:val="zh-CN"/>
        </w:rPr>
        <w:fldChar w:fldCharType="separate"/>
      </w:r>
      <w:r>
        <w:rPr>
          <w:rFonts w:hint="eastAsia"/>
          <w:lang w:eastAsia="zh-CN"/>
        </w:rPr>
        <w:t>二、报表制度变化</w:t>
      </w:r>
      <w:r>
        <w:tab/>
      </w:r>
      <w:r>
        <w:fldChar w:fldCharType="begin"/>
      </w:r>
      <w:r>
        <w:instrText xml:space="preserve"> PAGEREF _Toc15126 </w:instrText>
      </w:r>
      <w:r>
        <w:fldChar w:fldCharType="separate"/>
      </w:r>
      <w:r>
        <w:t>5</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_Toc31145 </w:instrText>
      </w:r>
      <w:r>
        <w:rPr>
          <w:rFonts w:hint="eastAsia"/>
          <w:lang w:val="zh-CN"/>
        </w:rPr>
        <w:fldChar w:fldCharType="separate"/>
      </w:r>
      <w:r>
        <w:rPr>
          <w:rFonts w:hint="eastAsia"/>
        </w:rPr>
        <w:t>第</w:t>
      </w:r>
      <w:r>
        <w:rPr>
          <w:rFonts w:hint="eastAsia"/>
          <w:lang w:eastAsia="zh-CN"/>
        </w:rPr>
        <w:t>二</w:t>
      </w:r>
      <w:r>
        <w:rPr>
          <w:rFonts w:hint="eastAsia"/>
        </w:rPr>
        <w:t>部分：年报培训要点</w:t>
      </w:r>
      <w:r>
        <w:tab/>
      </w:r>
      <w:r>
        <w:fldChar w:fldCharType="begin"/>
      </w:r>
      <w:r>
        <w:instrText xml:space="preserve"> PAGEREF _Toc31145 </w:instrText>
      </w:r>
      <w:r>
        <w:fldChar w:fldCharType="separate"/>
      </w:r>
      <w:r>
        <w:t>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_Toc2044 </w:instrText>
      </w:r>
      <w:r>
        <w:rPr>
          <w:rFonts w:hint="eastAsia"/>
          <w:lang w:val="zh-CN"/>
        </w:rPr>
        <w:fldChar w:fldCharType="separate"/>
      </w:r>
      <w:r>
        <w:rPr>
          <w:rFonts w:hint="eastAsia"/>
          <w:lang w:eastAsia="zh-CN"/>
        </w:rPr>
        <w:t>一、基本单位情况（表号</w:t>
      </w:r>
      <w:r>
        <w:rPr>
          <w:rFonts w:hint="eastAsia"/>
          <w:lang w:val="en-US" w:eastAsia="zh-CN"/>
        </w:rPr>
        <w:t>:101-1、108表</w:t>
      </w:r>
      <w:r>
        <w:rPr>
          <w:rFonts w:hint="eastAsia"/>
          <w:lang w:eastAsia="zh-CN"/>
        </w:rPr>
        <w:t>）</w:t>
      </w:r>
      <w:r>
        <w:tab/>
      </w:r>
      <w:r>
        <w:fldChar w:fldCharType="begin"/>
      </w:r>
      <w:r>
        <w:instrText xml:space="preserve"> PAGEREF _Toc2044 </w:instrText>
      </w:r>
      <w:r>
        <w:fldChar w:fldCharType="separate"/>
      </w:r>
      <w:r>
        <w:t>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_Toc20045 </w:instrText>
      </w:r>
      <w:r>
        <w:rPr>
          <w:rFonts w:hint="eastAsia"/>
          <w:lang w:val="zh-CN"/>
        </w:rPr>
        <w:fldChar w:fldCharType="separate"/>
      </w:r>
      <w:r>
        <w:rPr>
          <w:rFonts w:hint="eastAsia"/>
          <w:lang w:eastAsia="zh-CN"/>
        </w:rPr>
        <w:t>二、财务状况（</w:t>
      </w:r>
      <w:r>
        <w:rPr>
          <w:rFonts w:hint="eastAsia"/>
          <w:lang w:val="en-US" w:eastAsia="zh-CN"/>
        </w:rPr>
        <w:t>E103</w:t>
      </w:r>
      <w:r>
        <w:rPr>
          <w:rFonts w:hint="eastAsia"/>
          <w:lang w:eastAsia="zh-CN"/>
        </w:rPr>
        <w:t>）</w:t>
      </w:r>
      <w:r>
        <w:tab/>
      </w:r>
      <w:r>
        <w:fldChar w:fldCharType="begin"/>
      </w:r>
      <w:r>
        <w:instrText xml:space="preserve"> PAGEREF _Toc20045 </w:instrText>
      </w:r>
      <w:r>
        <w:fldChar w:fldCharType="separate"/>
      </w:r>
      <w:r>
        <w:t>10</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_Toc31023 </w:instrText>
      </w:r>
      <w:r>
        <w:rPr>
          <w:rFonts w:hint="eastAsia"/>
          <w:lang w:val="zh-CN"/>
        </w:rPr>
        <w:fldChar w:fldCharType="separate"/>
      </w:r>
      <w:r>
        <w:rPr>
          <w:rFonts w:hint="eastAsia"/>
          <w:lang w:eastAsia="zh-CN"/>
        </w:rPr>
        <w:t>三、批发和零售业经营情况（E</w:t>
      </w:r>
      <w:r>
        <w:rPr>
          <w:rFonts w:hint="eastAsia"/>
          <w:lang w:val="en-US" w:eastAsia="zh-CN"/>
        </w:rPr>
        <w:t>104-1</w:t>
      </w:r>
      <w:r>
        <w:rPr>
          <w:rFonts w:hint="eastAsia"/>
          <w:lang w:eastAsia="zh-CN"/>
        </w:rPr>
        <w:t>、BJE104-2表）</w:t>
      </w:r>
      <w:r>
        <w:tab/>
      </w:r>
      <w:r>
        <w:fldChar w:fldCharType="begin"/>
      </w:r>
      <w:r>
        <w:instrText xml:space="preserve"> PAGEREF _Toc31023 </w:instrText>
      </w:r>
      <w:r>
        <w:fldChar w:fldCharType="separate"/>
      </w:r>
      <w:r>
        <w:t>14</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_Toc18934 </w:instrText>
      </w:r>
      <w:r>
        <w:rPr>
          <w:rFonts w:hint="eastAsia"/>
          <w:lang w:val="zh-CN"/>
        </w:rPr>
        <w:fldChar w:fldCharType="separate"/>
      </w:r>
      <w:r>
        <w:rPr>
          <w:rFonts w:hint="eastAsia"/>
          <w:lang w:eastAsia="zh-CN"/>
        </w:rPr>
        <w:t>四、连</w:t>
      </w:r>
      <w:r>
        <w:rPr>
          <w:rFonts w:hint="eastAsia"/>
        </w:rPr>
        <w:t>锁经营情况（E120-1、E120-2</w:t>
      </w:r>
      <w:r>
        <w:rPr>
          <w:rFonts w:hint="eastAsia"/>
          <w:lang w:eastAsia="zh-CN"/>
        </w:rPr>
        <w:t>表</w:t>
      </w:r>
      <w:r>
        <w:rPr>
          <w:rFonts w:hint="eastAsia"/>
        </w:rPr>
        <w:t>）</w:t>
      </w:r>
      <w:r>
        <w:tab/>
      </w:r>
      <w:r>
        <w:fldChar w:fldCharType="begin"/>
      </w:r>
      <w:r>
        <w:instrText xml:space="preserve"> PAGEREF _Toc18934 </w:instrText>
      </w:r>
      <w:r>
        <w:fldChar w:fldCharType="separate"/>
      </w:r>
      <w:r>
        <w:t>20</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_Toc17033 </w:instrText>
      </w:r>
      <w:r>
        <w:rPr>
          <w:rFonts w:hint="eastAsia"/>
          <w:lang w:val="zh-CN"/>
        </w:rPr>
        <w:fldChar w:fldCharType="separate"/>
      </w:r>
      <w:r>
        <w:rPr>
          <w:rFonts w:hint="eastAsia"/>
          <w:lang w:eastAsia="zh-CN"/>
        </w:rPr>
        <w:t>五、亿</w:t>
      </w:r>
      <w:r>
        <w:rPr>
          <w:lang w:eastAsia="zh-CN"/>
        </w:rPr>
        <w:t>元以上</w:t>
      </w:r>
      <w:r>
        <w:rPr>
          <w:rFonts w:hint="eastAsia"/>
        </w:rPr>
        <w:t>商品交易市场</w:t>
      </w:r>
      <w:r>
        <w:rPr>
          <w:rFonts w:hint="eastAsia"/>
          <w:lang w:eastAsia="zh-CN"/>
        </w:rPr>
        <w:t>成交</w:t>
      </w:r>
      <w:r>
        <w:rPr>
          <w:lang w:eastAsia="zh-CN"/>
        </w:rPr>
        <w:t>情况</w:t>
      </w:r>
      <w:r>
        <w:rPr>
          <w:rFonts w:hint="eastAsia"/>
        </w:rPr>
        <w:t>（</w:t>
      </w:r>
      <w:r>
        <w:t>E130</w:t>
      </w:r>
      <w:r>
        <w:rPr>
          <w:rFonts w:hint="eastAsia"/>
          <w:lang w:eastAsia="zh-CN"/>
        </w:rPr>
        <w:t>表</w:t>
      </w:r>
      <w:r>
        <w:rPr>
          <w:rFonts w:hint="eastAsia"/>
        </w:rPr>
        <w:t>）</w:t>
      </w:r>
      <w:r>
        <w:tab/>
      </w:r>
      <w:r>
        <w:fldChar w:fldCharType="begin"/>
      </w:r>
      <w:r>
        <w:instrText xml:space="preserve"> PAGEREF _Toc17033 </w:instrText>
      </w:r>
      <w:r>
        <w:fldChar w:fldCharType="separate"/>
      </w:r>
      <w:r>
        <w:t>21</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_Toc14991 </w:instrText>
      </w:r>
      <w:r>
        <w:rPr>
          <w:rFonts w:hint="eastAsia"/>
          <w:lang w:val="zh-CN"/>
        </w:rPr>
        <w:fldChar w:fldCharType="separate"/>
      </w:r>
      <w:r>
        <w:rPr>
          <w:rFonts w:hint="eastAsia"/>
          <w:lang w:eastAsia="zh-CN"/>
        </w:rPr>
        <w:t>六</w:t>
      </w:r>
      <w:r>
        <w:rPr>
          <w:rFonts w:hint="eastAsia"/>
        </w:rPr>
        <w:t>、城市商业综合体情况（E140表）</w:t>
      </w:r>
      <w:r>
        <w:tab/>
      </w:r>
      <w:r>
        <w:fldChar w:fldCharType="begin"/>
      </w:r>
      <w:r>
        <w:instrText xml:space="preserve"> PAGEREF _Toc14991 </w:instrText>
      </w:r>
      <w:r>
        <w:fldChar w:fldCharType="separate"/>
      </w:r>
      <w:r>
        <w:t>21</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_Toc1520 </w:instrText>
      </w:r>
      <w:r>
        <w:rPr>
          <w:rFonts w:hint="eastAsia"/>
          <w:lang w:val="zh-CN"/>
        </w:rPr>
        <w:fldChar w:fldCharType="separate"/>
      </w:r>
      <w:r>
        <w:rPr>
          <w:rFonts w:hint="eastAsia"/>
          <w:lang w:eastAsia="zh-CN"/>
        </w:rPr>
        <w:t>七、</w:t>
      </w:r>
      <w:r>
        <w:rPr>
          <w:rFonts w:hint="eastAsia"/>
        </w:rPr>
        <w:t>分地区经营情况（BJE104-6、BJE204-6表）</w:t>
      </w:r>
      <w:r>
        <w:tab/>
      </w:r>
      <w:r>
        <w:fldChar w:fldCharType="begin"/>
      </w:r>
      <w:r>
        <w:instrText xml:space="preserve"> PAGEREF _Toc1520 </w:instrText>
      </w:r>
      <w:r>
        <w:fldChar w:fldCharType="separate"/>
      </w:r>
      <w:r>
        <w:t>22</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_Toc16222 </w:instrText>
      </w:r>
      <w:r>
        <w:rPr>
          <w:rFonts w:hint="eastAsia"/>
          <w:lang w:val="zh-CN"/>
        </w:rPr>
        <w:fldChar w:fldCharType="separate"/>
      </w:r>
      <w:r>
        <w:rPr>
          <w:rFonts w:hint="eastAsia"/>
        </w:rPr>
        <w:t>第</w:t>
      </w:r>
      <w:r>
        <w:rPr>
          <w:rFonts w:hint="eastAsia"/>
          <w:lang w:eastAsia="zh-CN"/>
        </w:rPr>
        <w:t>三</w:t>
      </w:r>
      <w:r>
        <w:rPr>
          <w:rFonts w:hint="eastAsia"/>
        </w:rPr>
        <w:t>部分：</w:t>
      </w:r>
      <w:r>
        <w:rPr>
          <w:rFonts w:hint="eastAsia"/>
          <w:lang w:eastAsia="zh-CN"/>
        </w:rPr>
        <w:t>定报</w:t>
      </w:r>
      <w:r>
        <w:rPr>
          <w:rFonts w:hint="eastAsia"/>
        </w:rPr>
        <w:t>培训要点</w:t>
      </w:r>
      <w:r>
        <w:tab/>
      </w:r>
      <w:r>
        <w:fldChar w:fldCharType="begin"/>
      </w:r>
      <w:r>
        <w:instrText xml:space="preserve"> PAGEREF _Toc16222 </w:instrText>
      </w:r>
      <w:r>
        <w:fldChar w:fldCharType="separate"/>
      </w:r>
      <w:r>
        <w:t>23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_Toc24207 </w:instrText>
      </w:r>
      <w:r>
        <w:rPr>
          <w:rFonts w:hint="eastAsia"/>
          <w:lang w:val="zh-CN"/>
        </w:rPr>
        <w:fldChar w:fldCharType="separate"/>
      </w:r>
      <w:r>
        <w:rPr>
          <w:rFonts w:hint="eastAsia"/>
          <w:lang w:eastAsia="zh-CN"/>
        </w:rPr>
        <w:t>一、批发和零售业经营情况（E204-1、E204-2、E204-3表）</w:t>
      </w:r>
      <w:r>
        <w:tab/>
      </w:r>
      <w:r>
        <w:fldChar w:fldCharType="begin"/>
      </w:r>
      <w:r>
        <w:instrText xml:space="preserve"> PAGEREF _Toc24207 </w:instrText>
      </w:r>
      <w:r>
        <w:fldChar w:fldCharType="separate"/>
      </w:r>
      <w:r>
        <w:t>23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_Toc1021 </w:instrText>
      </w:r>
      <w:r>
        <w:rPr>
          <w:rFonts w:hint="eastAsia"/>
          <w:lang w:val="zh-CN"/>
        </w:rPr>
        <w:fldChar w:fldCharType="separate"/>
      </w:r>
      <w:r>
        <w:rPr>
          <w:rFonts w:hint="eastAsia"/>
          <w:lang w:eastAsia="zh-CN"/>
        </w:rPr>
        <w:t>二、财务状况（E</w:t>
      </w:r>
      <w:r>
        <w:rPr>
          <w:rFonts w:hint="eastAsia"/>
          <w:lang w:val="en-US" w:eastAsia="zh-CN"/>
        </w:rPr>
        <w:t>203表、BJE203-1表</w:t>
      </w:r>
      <w:r>
        <w:rPr>
          <w:rFonts w:hint="eastAsia"/>
          <w:lang w:eastAsia="zh-CN"/>
        </w:rPr>
        <w:t>）</w:t>
      </w:r>
      <w:r>
        <w:tab/>
      </w:r>
      <w:r>
        <w:fldChar w:fldCharType="begin"/>
      </w:r>
      <w:r>
        <w:instrText xml:space="preserve"> PAGEREF _Toc1021 </w:instrText>
      </w:r>
      <w:r>
        <w:fldChar w:fldCharType="separate"/>
      </w:r>
      <w:r>
        <w:t>24</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_Toc6753 </w:instrText>
      </w:r>
      <w:r>
        <w:rPr>
          <w:rFonts w:hint="eastAsia"/>
          <w:lang w:val="zh-CN"/>
        </w:rPr>
        <w:fldChar w:fldCharType="separate"/>
      </w:r>
      <w:r>
        <w:rPr>
          <w:rFonts w:hint="eastAsia"/>
          <w:lang w:val="en-US" w:eastAsia="zh-CN"/>
        </w:rPr>
        <w:t>三、生产经营</w:t>
      </w:r>
      <w:r>
        <w:rPr>
          <w:lang w:val="en-US" w:eastAsia="zh-CN"/>
        </w:rPr>
        <w:t>景气状况</w:t>
      </w:r>
      <w:r>
        <w:rPr>
          <w:rFonts w:hint="eastAsia"/>
          <w:lang w:val="en-US" w:eastAsia="zh-CN"/>
        </w:rPr>
        <w:t>（E210表）</w:t>
      </w:r>
      <w:r>
        <w:tab/>
      </w:r>
      <w:r>
        <w:fldChar w:fldCharType="begin"/>
      </w:r>
      <w:r>
        <w:instrText xml:space="preserve"> PAGEREF _Toc6753 </w:instrText>
      </w:r>
      <w:r>
        <w:fldChar w:fldCharType="separate"/>
      </w:r>
      <w:r>
        <w:t>26</w:t>
      </w:r>
      <w:r>
        <w:fldChar w:fldCharType="end"/>
      </w:r>
      <w:r>
        <w:rPr>
          <w:rFonts w:hint="eastAsia"/>
          <w:lang w:val="zh-CN"/>
        </w:rPr>
        <w:fldChar w:fldCharType="end"/>
      </w:r>
    </w:p>
    <w:p>
      <w:pPr>
        <w:pStyle w:val="2"/>
        <w:rPr>
          <w:rFonts w:hint="eastAsia"/>
          <w:lang w:val="zh-CN"/>
        </w:rPr>
      </w:pPr>
      <w:r>
        <w:rPr>
          <w:rFonts w:hint="eastAsia"/>
          <w:lang w:val="zh-CN"/>
        </w:rPr>
        <w:fldChar w:fldCharType="end"/>
      </w:r>
    </w:p>
    <w:p>
      <w:pPr>
        <w:rPr>
          <w:rFonts w:hint="eastAsia"/>
          <w:lang w:val="en-US" w:eastAsia="zh-CN"/>
        </w:rPr>
      </w:pPr>
      <w:bookmarkStart w:id="2" w:name="_Toc22883_WPSOffice_Level1"/>
      <w:bookmarkStart w:id="3" w:name="_Toc12289_WPSOffice_Level1"/>
      <w:bookmarkStart w:id="4" w:name="_Toc22758"/>
      <w:bookmarkStart w:id="5" w:name="_Toc26052"/>
      <w:bookmarkStart w:id="6" w:name="_Toc17081_WPSOffice_Level1"/>
      <w:bookmarkStart w:id="7" w:name="_Toc15647_WPSOffice_Level1"/>
      <w:bookmarkStart w:id="8" w:name="_Toc12462"/>
      <w:bookmarkStart w:id="9" w:name="_Toc20431"/>
      <w:r>
        <w:rPr>
          <w:rFonts w:hint="eastAsia"/>
          <w:lang w:val="en-US" w:eastAsia="zh-CN"/>
        </w:rPr>
        <w:br w:type="page"/>
      </w:r>
    </w:p>
    <w:p>
      <w:pPr>
        <w:pStyle w:val="4"/>
      </w:pPr>
      <w:bookmarkStart w:id="10" w:name="_Toc3257"/>
      <w:r>
        <w:rPr>
          <w:rFonts w:hint="eastAsia"/>
          <w:lang w:val="en-US" w:eastAsia="zh-CN"/>
        </w:rPr>
        <w:t>总体要求</w:t>
      </w:r>
      <w:bookmarkEnd w:id="10"/>
    </w:p>
    <w:bookmarkEnd w:id="2"/>
    <w:bookmarkEnd w:id="3"/>
    <w:bookmarkEnd w:id="4"/>
    <w:bookmarkEnd w:id="5"/>
    <w:bookmarkEnd w:id="6"/>
    <w:bookmarkEnd w:id="7"/>
    <w:bookmarkEnd w:id="8"/>
    <w:bookmarkEnd w:id="9"/>
    <w:p>
      <w:pPr>
        <w:pStyle w:val="5"/>
        <w:rPr>
          <w:rFonts w:hint="eastAsia"/>
          <w:lang w:val="zh-CN" w:eastAsia="zh-CN"/>
        </w:rPr>
      </w:pPr>
      <w:bookmarkStart w:id="11" w:name="_Toc30913_WPSOffice_Level2"/>
      <w:bookmarkStart w:id="12" w:name="_Toc30950"/>
      <w:bookmarkStart w:id="13" w:name="_Toc22883_WPSOffice_Level2"/>
      <w:bookmarkStart w:id="14" w:name="_Toc30672"/>
      <w:bookmarkStart w:id="15" w:name="_Toc77841659"/>
      <w:bookmarkStart w:id="16" w:name="_Toc9403"/>
      <w:bookmarkStart w:id="17" w:name="_Toc18293"/>
      <w:bookmarkStart w:id="18" w:name="_Toc15647_WPSOffice_Level2"/>
      <w:bookmarkStart w:id="19" w:name="_Toc15830"/>
      <w:bookmarkStart w:id="20" w:name="_Toc8910"/>
      <w:r>
        <w:rPr>
          <w:rFonts w:hint="eastAsia"/>
          <w:lang w:eastAsia="zh-CN"/>
        </w:rPr>
        <w:t>一、厘清</w:t>
      </w:r>
      <w:bookmarkEnd w:id="11"/>
      <w:bookmarkEnd w:id="12"/>
      <w:bookmarkEnd w:id="13"/>
      <w:bookmarkEnd w:id="14"/>
      <w:bookmarkEnd w:id="15"/>
      <w:bookmarkEnd w:id="16"/>
      <w:bookmarkEnd w:id="17"/>
      <w:bookmarkEnd w:id="18"/>
      <w:bookmarkEnd w:id="19"/>
      <w:r>
        <w:rPr>
          <w:rFonts w:hint="eastAsia"/>
          <w:lang w:eastAsia="zh-CN"/>
        </w:rPr>
        <w:t>报表时间</w:t>
      </w:r>
      <w:bookmarkEnd w:id="20"/>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eastAsia="zh-CN"/>
        </w:rPr>
        <w:t>关注批发和零售业</w:t>
      </w:r>
      <w:r>
        <w:rPr>
          <w:rFonts w:hint="eastAsia" w:ascii="仿宋_GB2312" w:eastAsia="仿宋_GB2312"/>
          <w:sz w:val="28"/>
          <w:lang w:val="en-US" w:eastAsia="zh-CN"/>
        </w:rPr>
        <w:t>统计报表制度和统计机构通知，确保按时上报统计报表，避免迟报、漏报统计报表。</w:t>
      </w:r>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1月月报免报，2月月报与年报报表时间重合，请妥善安排报表时间。</w:t>
      </w:r>
    </w:p>
    <w:p>
      <w:pPr>
        <w:pStyle w:val="5"/>
        <w:rPr>
          <w:rFonts w:hint="eastAsia"/>
          <w:lang w:eastAsia="zh-CN"/>
        </w:rPr>
      </w:pPr>
      <w:bookmarkStart w:id="21" w:name="_Toc29948"/>
      <w:r>
        <w:rPr>
          <w:rFonts w:hint="eastAsia"/>
          <w:lang w:val="en-US" w:eastAsia="zh-CN"/>
        </w:rPr>
        <w:t>二、提高数据质量</w:t>
      </w:r>
      <w:bookmarkEnd w:id="21"/>
    </w:p>
    <w:p>
      <w:pPr>
        <w:pStyle w:val="6"/>
        <w:bidi w:val="0"/>
      </w:pPr>
      <w:r>
        <w:rPr>
          <w:rFonts w:hint="eastAsia"/>
          <w:lang w:val="en-US" w:eastAsia="zh-CN"/>
        </w:rPr>
        <w:t>（一）关注计量单位</w:t>
      </w:r>
      <w:r>
        <w:rPr>
          <w:rFonts w:hint="eastAsia"/>
          <w:lang w:eastAsia="zh-CN"/>
        </w:rPr>
        <w:t>（※重要※）</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年定报各表种、各指标的计量单位有所不同，请在填报时注意指标计量单位，避免填错。</w:t>
      </w:r>
    </w:p>
    <w:p>
      <w:pPr>
        <w:pStyle w:val="6"/>
        <w:bidi w:val="0"/>
      </w:pPr>
      <w:r>
        <w:rPr>
          <w:rFonts w:hint="eastAsia"/>
          <w:lang w:eastAsia="zh-CN"/>
        </w:rPr>
        <w:t>（二）写好澄清说明</w:t>
      </w:r>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注重平台错误说明的审核，情况说明应与错误提示相关，能准确解释原因，不能出现“核实无误”、“已核实”等敷衍了事的内容。</w:t>
      </w:r>
    </w:p>
    <w:p>
      <w:pPr>
        <w:pStyle w:val="6"/>
        <w:numPr>
          <w:ilvl w:val="0"/>
          <w:numId w:val="0"/>
        </w:numPr>
        <w:bidi w:val="0"/>
        <w:ind w:leftChars="0"/>
        <w:rPr>
          <w:rFonts w:hint="eastAsia"/>
          <w:lang w:eastAsia="zh-CN"/>
        </w:rPr>
      </w:pPr>
      <w:r>
        <w:rPr>
          <w:rFonts w:hint="eastAsia"/>
          <w:lang w:eastAsia="zh-CN"/>
        </w:rPr>
        <w:t>（三）“额”要含增值税</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Cs/>
          <w:kern w:val="44"/>
          <w:sz w:val="28"/>
          <w:szCs w:val="28"/>
          <w:lang w:val="en-US" w:eastAsia="zh-CN"/>
        </w:rPr>
      </w:pPr>
      <w:r>
        <w:rPr>
          <w:rFonts w:hint="eastAsia" w:ascii="仿宋_GB2312" w:hAnsi="宋体" w:eastAsia="仿宋_GB2312" w:cs="宋体"/>
          <w:bCs/>
          <w:kern w:val="44"/>
          <w:sz w:val="28"/>
          <w:szCs w:val="28"/>
        </w:rPr>
        <w:t>批发</w:t>
      </w:r>
      <w:r>
        <w:rPr>
          <w:rFonts w:ascii="仿宋_GB2312" w:hAnsi="宋体" w:eastAsia="仿宋_GB2312" w:cs="宋体"/>
          <w:bCs/>
          <w:kern w:val="44"/>
          <w:sz w:val="28"/>
          <w:szCs w:val="28"/>
        </w:rPr>
        <w:t>和零售业</w:t>
      </w:r>
      <w:r>
        <w:rPr>
          <w:rFonts w:hint="eastAsia" w:ascii="仿宋_GB2312" w:hAnsi="宋体" w:eastAsia="仿宋_GB2312" w:cs="宋体"/>
          <w:b/>
          <w:bCs/>
          <w:kern w:val="44"/>
          <w:sz w:val="28"/>
          <w:szCs w:val="28"/>
          <w:u w:val="wave"/>
        </w:rPr>
        <w:t>主营表</w:t>
      </w:r>
      <w:r>
        <w:rPr>
          <w:rFonts w:hint="eastAsia" w:ascii="仿宋_GB2312" w:hAnsi="宋体" w:eastAsia="仿宋_GB2312" w:cs="宋体"/>
          <w:bCs/>
          <w:kern w:val="44"/>
          <w:sz w:val="28"/>
          <w:szCs w:val="28"/>
        </w:rPr>
        <w:t>年定报</w:t>
      </w:r>
      <w:r>
        <w:rPr>
          <w:rFonts w:hint="eastAsia" w:ascii="仿宋_GB2312" w:hAnsi="宋体" w:eastAsia="仿宋_GB2312" w:cs="宋体"/>
          <w:bCs/>
          <w:kern w:val="44"/>
          <w:sz w:val="28"/>
          <w:szCs w:val="28"/>
          <w:lang w:eastAsia="zh-CN"/>
        </w:rPr>
        <w:t>中的“额”</w:t>
      </w:r>
      <w:r>
        <w:rPr>
          <w:rFonts w:hint="eastAsia" w:ascii="仿宋_GB2312" w:hAnsi="宋体" w:eastAsia="仿宋_GB2312" w:cs="宋体"/>
          <w:bCs/>
          <w:kern w:val="44"/>
          <w:sz w:val="28"/>
          <w:szCs w:val="28"/>
        </w:rPr>
        <w:t>均应</w:t>
      </w:r>
      <w:r>
        <w:rPr>
          <w:rFonts w:hint="eastAsia" w:ascii="仿宋_GB2312" w:hAnsi="宋体" w:eastAsia="仿宋_GB2312" w:cs="宋体"/>
          <w:b/>
          <w:bCs/>
          <w:kern w:val="44"/>
          <w:sz w:val="28"/>
          <w:szCs w:val="28"/>
          <w:u w:val="wave"/>
        </w:rPr>
        <w:t>包含增值税</w:t>
      </w:r>
      <w:r>
        <w:rPr>
          <w:rFonts w:hint="eastAsia" w:ascii="仿宋_GB2312" w:hAnsi="宋体" w:eastAsia="仿宋_GB2312" w:cs="宋体"/>
          <w:bCs/>
          <w:kern w:val="44"/>
          <w:sz w:val="28"/>
          <w:szCs w:val="28"/>
        </w:rPr>
        <w:t>。</w:t>
      </w:r>
    </w:p>
    <w:p>
      <w:pPr>
        <w:pStyle w:val="6"/>
        <w:numPr>
          <w:ilvl w:val="0"/>
          <w:numId w:val="0"/>
        </w:numPr>
        <w:bidi w:val="0"/>
        <w:ind w:leftChars="0"/>
        <w:rPr>
          <w:rFonts w:hint="eastAsia"/>
          <w:lang w:val="en-US" w:eastAsia="zh-CN"/>
        </w:rPr>
      </w:pPr>
      <w:r>
        <w:rPr>
          <w:rFonts w:hint="eastAsia"/>
          <w:lang w:val="en-US" w:eastAsia="zh-CN"/>
        </w:rPr>
        <w:t>（四）上年同期数</w:t>
      </w:r>
    </w:p>
    <w:p>
      <w:pPr>
        <w:pStyle w:val="35"/>
        <w:keepNext w:val="0"/>
        <w:keepLines w:val="0"/>
        <w:pageBreakBefore w:val="0"/>
        <w:widowControl w:val="0"/>
        <w:numPr>
          <w:ilvl w:val="0"/>
          <w:numId w:val="1"/>
        </w:numPr>
        <w:kinsoku/>
        <w:wordWrap/>
        <w:overflowPunct/>
        <w:topLinePunct w:val="0"/>
        <w:autoSpaceDE w:val="0"/>
        <w:autoSpaceDN w:val="0"/>
        <w:bidi w:val="0"/>
        <w:adjustRightInd/>
        <w:snapToGrid/>
        <w:spacing w:line="400" w:lineRule="exact"/>
        <w:ind w:firstLine="560" w:firstLineChars="200"/>
        <w:textAlignment w:val="auto"/>
        <w:rPr>
          <w:rFonts w:ascii="仿宋_GB2312" w:hAnsi="宋体" w:eastAsia="仿宋_GB2312" w:cs="宋体"/>
          <w:bCs/>
          <w:kern w:val="44"/>
          <w:sz w:val="28"/>
          <w:szCs w:val="28"/>
          <w:u w:val="wave"/>
        </w:rPr>
      </w:pPr>
      <w:r>
        <w:rPr>
          <w:rFonts w:hint="eastAsia" w:ascii="仿宋_GB2312" w:hAnsi="宋体" w:eastAsia="仿宋_GB2312" w:cs="宋体"/>
          <w:bCs/>
          <w:kern w:val="44"/>
          <w:sz w:val="28"/>
          <w:szCs w:val="28"/>
        </w:rPr>
        <w:t>上年</w:t>
      </w:r>
      <w:r>
        <w:rPr>
          <w:rFonts w:ascii="仿宋_GB2312" w:hAnsi="宋体" w:eastAsia="仿宋_GB2312" w:cs="宋体"/>
          <w:bCs/>
          <w:kern w:val="44"/>
          <w:sz w:val="28"/>
          <w:szCs w:val="28"/>
        </w:rPr>
        <w:t>已</w:t>
      </w:r>
      <w:r>
        <w:rPr>
          <w:rFonts w:hint="eastAsia" w:ascii="仿宋_GB2312" w:hAnsi="宋体" w:eastAsia="仿宋_GB2312" w:cs="宋体"/>
          <w:bCs/>
          <w:kern w:val="44"/>
          <w:sz w:val="28"/>
          <w:szCs w:val="28"/>
        </w:rPr>
        <w:t>开业</w:t>
      </w:r>
      <w:r>
        <w:rPr>
          <w:rFonts w:ascii="仿宋_GB2312" w:hAnsi="宋体" w:eastAsia="仿宋_GB2312" w:cs="宋体"/>
          <w:bCs/>
          <w:kern w:val="44"/>
          <w:sz w:val="28"/>
          <w:szCs w:val="28"/>
        </w:rPr>
        <w:t>经营的单位表内</w:t>
      </w:r>
      <w:r>
        <w:rPr>
          <w:rFonts w:hint="eastAsia" w:ascii="仿宋_GB2312" w:hAnsi="宋体" w:eastAsia="仿宋_GB2312" w:cs="宋体"/>
          <w:bCs/>
          <w:kern w:val="44"/>
          <w:sz w:val="28"/>
          <w:szCs w:val="28"/>
        </w:rPr>
        <w:t>上年</w:t>
      </w:r>
      <w:r>
        <w:rPr>
          <w:rFonts w:ascii="仿宋_GB2312" w:hAnsi="宋体" w:eastAsia="仿宋_GB2312" w:cs="宋体"/>
          <w:bCs/>
          <w:kern w:val="44"/>
          <w:sz w:val="28"/>
          <w:szCs w:val="28"/>
        </w:rPr>
        <w:t>同期数据</w:t>
      </w:r>
      <w:r>
        <w:rPr>
          <w:rFonts w:ascii="仿宋_GB2312" w:hAnsi="宋体" w:eastAsia="仿宋_GB2312" w:cs="宋体"/>
          <w:bCs/>
          <w:kern w:val="44"/>
          <w:sz w:val="28"/>
          <w:szCs w:val="28"/>
          <w:u w:val="wave"/>
        </w:rPr>
        <w:t>必须填报</w:t>
      </w:r>
      <w:r>
        <w:rPr>
          <w:rFonts w:hint="eastAsia" w:ascii="仿宋_GB2312" w:hAnsi="宋体" w:eastAsia="仿宋_GB2312" w:cs="宋体"/>
          <w:bCs/>
          <w:kern w:val="44"/>
          <w:sz w:val="28"/>
          <w:szCs w:val="28"/>
          <w:u w:val="wave"/>
          <w:lang w:eastAsia="zh-CN"/>
        </w:rPr>
        <w:t>。</w:t>
      </w:r>
    </w:p>
    <w:p>
      <w:pPr>
        <w:pStyle w:val="35"/>
        <w:keepNext w:val="0"/>
        <w:keepLines w:val="0"/>
        <w:pageBreakBefore w:val="0"/>
        <w:widowControl w:val="0"/>
        <w:numPr>
          <w:ilvl w:val="0"/>
          <w:numId w:val="1"/>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Cs/>
          <w:kern w:val="44"/>
          <w:sz w:val="28"/>
          <w:szCs w:val="28"/>
          <w:lang w:val="en-US" w:eastAsia="zh-CN"/>
        </w:rPr>
      </w:pPr>
      <w:r>
        <w:rPr>
          <w:rFonts w:hint="eastAsia" w:ascii="仿宋_GB2312" w:hAnsi="宋体" w:eastAsia="仿宋_GB2312" w:cs="宋体"/>
          <w:bCs/>
          <w:kern w:val="44"/>
          <w:sz w:val="28"/>
          <w:szCs w:val="28"/>
          <w:lang w:eastAsia="zh-CN"/>
        </w:rPr>
        <w:t>平</w:t>
      </w:r>
      <w:r>
        <w:rPr>
          <w:rFonts w:hint="eastAsia" w:ascii="仿宋_GB2312" w:hAnsi="宋体" w:eastAsia="仿宋_GB2312" w:cs="宋体"/>
          <w:bCs/>
          <w:kern w:val="44"/>
          <w:sz w:val="28"/>
          <w:szCs w:val="28"/>
        </w:rPr>
        <w:t>台</w:t>
      </w:r>
      <w:r>
        <w:rPr>
          <w:rFonts w:ascii="仿宋_GB2312" w:hAnsi="宋体" w:eastAsia="仿宋_GB2312" w:cs="宋体"/>
          <w:bCs/>
          <w:kern w:val="44"/>
          <w:sz w:val="28"/>
          <w:szCs w:val="28"/>
        </w:rPr>
        <w:t>自动摘抄的同期数据</w:t>
      </w:r>
      <w:r>
        <w:rPr>
          <w:rFonts w:hint="eastAsia" w:ascii="仿宋_GB2312" w:hAnsi="宋体" w:eastAsia="仿宋_GB2312" w:cs="宋体"/>
          <w:bCs/>
          <w:kern w:val="44"/>
          <w:sz w:val="28"/>
          <w:szCs w:val="28"/>
        </w:rPr>
        <w:t>不允许</w:t>
      </w:r>
      <w:r>
        <w:rPr>
          <w:rFonts w:ascii="仿宋_GB2312" w:hAnsi="宋体" w:eastAsia="仿宋_GB2312" w:cs="宋体"/>
          <w:bCs/>
          <w:kern w:val="44"/>
          <w:sz w:val="28"/>
          <w:szCs w:val="28"/>
        </w:rPr>
        <w:t>修改</w:t>
      </w:r>
      <w:r>
        <w:rPr>
          <w:rFonts w:hint="eastAsia" w:ascii="仿宋_GB2312" w:hAnsi="宋体" w:eastAsia="仿宋_GB2312" w:cs="宋体"/>
          <w:bCs/>
          <w:kern w:val="44"/>
          <w:sz w:val="28"/>
          <w:szCs w:val="28"/>
        </w:rPr>
        <w:t>。</w:t>
      </w:r>
    </w:p>
    <w:p>
      <w:pPr>
        <w:pStyle w:val="6"/>
        <w:numPr>
          <w:ilvl w:val="0"/>
          <w:numId w:val="0"/>
        </w:numPr>
        <w:bidi w:val="0"/>
        <w:ind w:leftChars="0"/>
        <w:rPr>
          <w:rFonts w:hint="eastAsia"/>
          <w:lang w:val="en-US" w:eastAsia="zh-CN"/>
        </w:rPr>
      </w:pPr>
      <w:r>
        <w:rPr>
          <w:rFonts w:hint="eastAsia"/>
          <w:lang w:val="en-US" w:eastAsia="zh-CN"/>
        </w:rPr>
        <w:t>（五）本月数据</w:t>
      </w:r>
    </w:p>
    <w:p>
      <w:pPr>
        <w:pStyle w:val="35"/>
        <w:keepNext w:val="0"/>
        <w:keepLines w:val="0"/>
        <w:pageBreakBefore w:val="0"/>
        <w:widowControl w:val="0"/>
        <w:numPr>
          <w:ilvl w:val="0"/>
          <w:numId w:val="0"/>
        </w:numPr>
        <w:kinsoku/>
        <w:wordWrap/>
        <w:overflowPunct/>
        <w:topLinePunct w:val="0"/>
        <w:autoSpaceDE w:val="0"/>
        <w:autoSpaceDN w:val="0"/>
        <w:bidi w:val="0"/>
        <w:adjustRightInd/>
        <w:snapToGrid/>
        <w:spacing w:line="0" w:lineRule="atLeast"/>
        <w:ind w:firstLine="560" w:firstLineChars="200"/>
        <w:textAlignment w:val="auto"/>
        <w:rPr>
          <w:rFonts w:hint="eastAsia" w:ascii="仿宋_GB2312" w:hAnsi="宋体" w:eastAsia="仿宋_GB2312" w:cs="宋体"/>
          <w:bCs/>
          <w:kern w:val="44"/>
          <w:sz w:val="28"/>
          <w:szCs w:val="28"/>
          <w:lang w:eastAsia="zh-CN"/>
        </w:rPr>
      </w:pPr>
      <w:r>
        <w:rPr>
          <w:rFonts w:hint="eastAsia" w:ascii="仿宋_GB2312" w:hAnsi="宋体" w:eastAsia="仿宋_GB2312" w:cs="宋体"/>
          <w:bCs/>
          <w:kern w:val="44"/>
          <w:sz w:val="28"/>
          <w:szCs w:val="28"/>
        </w:rPr>
        <w:t>本月数据应仅包含当月实际销售或经营情况数据</w:t>
      </w:r>
      <w:r>
        <w:rPr>
          <w:rFonts w:hint="eastAsia" w:ascii="仿宋_GB2312" w:hAnsi="宋体" w:eastAsia="仿宋_GB2312" w:cs="宋体"/>
          <w:bCs/>
          <w:kern w:val="44"/>
          <w:sz w:val="28"/>
          <w:szCs w:val="28"/>
          <w:lang w:eastAsia="zh-CN"/>
        </w:rPr>
        <w:t>。</w:t>
      </w:r>
      <w:r>
        <w:rPr>
          <w:rFonts w:hint="eastAsia" w:ascii="仿宋_GB2312" w:hAnsi="宋体" w:eastAsia="仿宋_GB2312" w:cs="宋体"/>
          <w:bCs/>
          <w:kern w:val="44"/>
          <w:sz w:val="28"/>
          <w:szCs w:val="28"/>
        </w:rPr>
        <w:t>如遇销售退货、执法检查需调整</w:t>
      </w:r>
      <w:r>
        <w:rPr>
          <w:rFonts w:hint="eastAsia" w:ascii="仿宋_GB2312" w:hAnsi="宋体" w:eastAsia="仿宋_GB2312" w:cs="宋体"/>
          <w:b/>
          <w:bCs w:val="0"/>
          <w:kern w:val="44"/>
          <w:sz w:val="28"/>
          <w:szCs w:val="28"/>
          <w:lang w:eastAsia="zh-CN"/>
        </w:rPr>
        <w:t>往期</w:t>
      </w:r>
      <w:r>
        <w:rPr>
          <w:rFonts w:hint="eastAsia" w:ascii="仿宋_GB2312" w:hAnsi="宋体" w:eastAsia="仿宋_GB2312" w:cs="宋体"/>
          <w:bCs/>
          <w:kern w:val="44"/>
          <w:sz w:val="28"/>
          <w:szCs w:val="28"/>
        </w:rPr>
        <w:t>数据或以往数据填报错误（含预估）等情况，数据调整仅在“1-本月”数中体现，不得修改“本月”数据。</w:t>
      </w:r>
    </w:p>
    <w:p>
      <w:pPr>
        <w:pStyle w:val="6"/>
        <w:numPr>
          <w:ilvl w:val="0"/>
          <w:numId w:val="0"/>
        </w:numPr>
        <w:bidi w:val="0"/>
        <w:ind w:leftChars="0"/>
        <w:rPr>
          <w:rFonts w:hint="default"/>
          <w:lang w:val="en-US" w:eastAsia="zh-CN"/>
        </w:rPr>
      </w:pPr>
      <w:r>
        <w:rPr>
          <w:rFonts w:hint="eastAsia"/>
          <w:lang w:val="en-US" w:eastAsia="zh-CN"/>
        </w:rPr>
        <w:t>（六）服务营业额</w:t>
      </w:r>
    </w:p>
    <w:p>
      <w:pPr>
        <w:pStyle w:val="35"/>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
          <w:bCs w:val="0"/>
          <w:color w:val="FF0000"/>
          <w:kern w:val="44"/>
          <w:sz w:val="28"/>
          <w:szCs w:val="28"/>
          <w:lang w:eastAsia="zh-CN"/>
        </w:rPr>
      </w:pPr>
      <w:r>
        <w:rPr>
          <w:rFonts w:hint="eastAsia" w:ascii="仿宋_GB2312" w:hAnsi="宋体" w:eastAsia="仿宋_GB2312" w:cs="宋体"/>
          <w:bCs/>
          <w:kern w:val="44"/>
          <w:sz w:val="28"/>
          <w:szCs w:val="28"/>
          <w:lang w:eastAsia="zh-CN"/>
        </w:rPr>
        <w:t>批发和零售业报表单位，如有服务性收入，年报主营表</w:t>
      </w:r>
      <w:r>
        <w:rPr>
          <w:rFonts w:hint="eastAsia" w:ascii="仿宋_GB2312" w:hAnsi="宋体" w:eastAsia="仿宋_GB2312" w:cs="宋体"/>
          <w:b/>
          <w:bCs w:val="0"/>
          <w:color w:val="FF0000"/>
          <w:kern w:val="44"/>
          <w:sz w:val="28"/>
          <w:szCs w:val="28"/>
          <w:lang w:eastAsia="zh-CN"/>
        </w:rPr>
        <w:t>不要漏填服务营业额</w:t>
      </w:r>
      <w:bookmarkStart w:id="22" w:name="_Toc22676_WPSOffice_Level2"/>
      <w:bookmarkStart w:id="23" w:name="_Toc25298_WPSOffice_Level2"/>
      <w:bookmarkStart w:id="24" w:name="_Toc7665"/>
      <w:bookmarkStart w:id="25" w:name="_Toc29292"/>
      <w:bookmarkStart w:id="26" w:name="_Toc77841661"/>
      <w:bookmarkStart w:id="27" w:name="_Toc946_WPSOffice_Level2"/>
      <w:bookmarkStart w:id="28" w:name="_Toc11594"/>
      <w:bookmarkStart w:id="29" w:name="_Toc21285"/>
      <w:bookmarkStart w:id="30" w:name="_Toc27927"/>
      <w:r>
        <w:rPr>
          <w:rFonts w:hint="eastAsia" w:ascii="仿宋_GB2312" w:hAnsi="宋体" w:eastAsia="仿宋_GB2312" w:cs="宋体"/>
          <w:bCs/>
          <w:kern w:val="44"/>
          <w:sz w:val="28"/>
          <w:szCs w:val="28"/>
          <w:lang w:eastAsia="zh-CN"/>
        </w:rPr>
        <w:t>，也千万不要把服务性收入错填在商品销售额中。</w:t>
      </w:r>
    </w:p>
    <w:bookmarkEnd w:id="22"/>
    <w:bookmarkEnd w:id="23"/>
    <w:bookmarkEnd w:id="24"/>
    <w:bookmarkEnd w:id="25"/>
    <w:bookmarkEnd w:id="26"/>
    <w:bookmarkEnd w:id="27"/>
    <w:bookmarkEnd w:id="28"/>
    <w:bookmarkEnd w:id="29"/>
    <w:bookmarkEnd w:id="30"/>
    <w:p>
      <w:pPr>
        <w:pStyle w:val="5"/>
        <w:rPr>
          <w:rFonts w:hint="eastAsia"/>
          <w:lang w:eastAsia="zh-CN"/>
        </w:rPr>
      </w:pPr>
      <w:bookmarkStart w:id="31" w:name="_Toc1565"/>
      <w:bookmarkStart w:id="32" w:name="_Toc10957"/>
      <w:bookmarkStart w:id="33" w:name="_Toc14856"/>
      <w:bookmarkStart w:id="34" w:name="_Toc23767"/>
      <w:bookmarkStart w:id="35" w:name="_Toc9443_WPSOffice_Level2"/>
      <w:bookmarkStart w:id="36" w:name="_Toc10381_WPSOffice_Level2"/>
      <w:bookmarkStart w:id="37" w:name="_Toc14426"/>
      <w:bookmarkStart w:id="38" w:name="_Toc14443_WPSOffice_Level2"/>
      <w:r>
        <w:rPr>
          <w:rFonts w:hint="eastAsia"/>
          <w:lang w:eastAsia="zh-CN"/>
        </w:rPr>
        <w:t>三、日常工作要求</w:t>
      </w:r>
      <w:bookmarkEnd w:id="31"/>
    </w:p>
    <w:p>
      <w:pPr>
        <w:pStyle w:val="6"/>
        <w:bidi w:val="0"/>
        <w:rPr>
          <w:rFonts w:hint="eastAsia" w:eastAsia="仿宋_GB2312"/>
          <w:lang w:eastAsia="zh-CN"/>
        </w:rPr>
      </w:pPr>
      <w:r>
        <w:rPr>
          <w:rFonts w:hint="eastAsia"/>
          <w:lang w:eastAsia="zh-CN"/>
        </w:rPr>
        <w:t>（一）</w:t>
      </w:r>
      <w:bookmarkEnd w:id="32"/>
      <w:bookmarkEnd w:id="33"/>
      <w:bookmarkEnd w:id="34"/>
      <w:bookmarkEnd w:id="35"/>
      <w:bookmarkEnd w:id="36"/>
      <w:bookmarkEnd w:id="37"/>
      <w:bookmarkEnd w:id="38"/>
      <w:r>
        <w:rPr>
          <w:rFonts w:hint="eastAsia"/>
          <w:lang w:eastAsia="zh-CN"/>
        </w:rPr>
        <w:t>做好工作交接</w:t>
      </w:r>
    </w:p>
    <w:p>
      <w:pPr>
        <w:autoSpaceDE w:val="0"/>
        <w:autoSpaceDN w:val="0"/>
        <w:spacing w:line="400" w:lineRule="exact"/>
        <w:ind w:firstLine="560" w:firstLineChars="200"/>
        <w:rPr>
          <w:rFonts w:hint="eastAsia" w:ascii="仿宋_GB2312" w:eastAsia="仿宋_GB2312"/>
          <w:sz w:val="28"/>
          <w:lang w:eastAsia="zh-CN"/>
        </w:rPr>
      </w:pPr>
      <w:r>
        <w:rPr>
          <w:rFonts w:hint="eastAsia" w:ascii="仿宋_GB2312" w:eastAsia="仿宋_GB2312"/>
          <w:sz w:val="28"/>
          <w:lang w:eastAsia="zh-CN"/>
        </w:rPr>
        <w:t>统计报表工作有人员调整的情况下，务必做好工作交接，包括报表时间、注意事项、常见错误、批发额和零售额的界定、取数方法等。</w:t>
      </w:r>
    </w:p>
    <w:p>
      <w:pPr>
        <w:pStyle w:val="6"/>
        <w:bidi w:val="0"/>
        <w:rPr>
          <w:rFonts w:hint="eastAsia"/>
          <w:lang w:eastAsia="zh-CN"/>
        </w:rPr>
      </w:pPr>
      <w:bookmarkStart w:id="39" w:name="_Toc32044"/>
      <w:bookmarkStart w:id="40" w:name="_Toc5764"/>
      <w:bookmarkStart w:id="41" w:name="_Toc6242_WPSOffice_Level2"/>
      <w:bookmarkStart w:id="42" w:name="_Toc10123"/>
      <w:bookmarkStart w:id="43" w:name="_Toc17431"/>
      <w:bookmarkStart w:id="44" w:name="_Toc30057_WPSOffice_Level2"/>
      <w:bookmarkStart w:id="45" w:name="_Toc12188_WPSOffice_Level2"/>
      <w:r>
        <w:rPr>
          <w:rFonts w:hint="eastAsia"/>
          <w:lang w:eastAsia="zh-CN"/>
        </w:rPr>
        <w:t>（二）</w:t>
      </w:r>
      <w:bookmarkEnd w:id="39"/>
      <w:bookmarkEnd w:id="40"/>
      <w:bookmarkEnd w:id="41"/>
      <w:bookmarkEnd w:id="42"/>
      <w:bookmarkEnd w:id="43"/>
      <w:bookmarkEnd w:id="44"/>
      <w:bookmarkEnd w:id="45"/>
      <w:r>
        <w:rPr>
          <w:rFonts w:hint="eastAsia"/>
          <w:lang w:eastAsia="zh-CN"/>
        </w:rPr>
        <w:t>建立健全工作台账</w:t>
      </w:r>
    </w:p>
    <w:p>
      <w:pPr>
        <w:autoSpaceDE w:val="0"/>
        <w:autoSpaceDN w:val="0"/>
        <w:spacing w:line="400" w:lineRule="exact"/>
        <w:ind w:firstLine="560" w:firstLineChars="200"/>
        <w:rPr>
          <w:rFonts w:hint="eastAsia" w:ascii="仿宋_GB2312" w:eastAsia="仿宋_GB2312"/>
          <w:sz w:val="28"/>
          <w:lang w:val="zh-CN" w:eastAsia="zh-CN"/>
        </w:rPr>
      </w:pPr>
      <w:bookmarkStart w:id="46" w:name="_Toc23294_WPSOffice_Level2"/>
      <w:bookmarkStart w:id="47" w:name="_Toc31424_WPSOffice_Level2"/>
      <w:bookmarkStart w:id="48" w:name="_Toc6908"/>
      <w:bookmarkStart w:id="49" w:name="_Toc1606"/>
      <w:bookmarkStart w:id="50" w:name="_Toc14948"/>
      <w:bookmarkStart w:id="51" w:name="_Toc6035"/>
      <w:bookmarkStart w:id="52" w:name="_Toc11993_WPSOffice_Level2"/>
      <w:r>
        <w:rPr>
          <w:rFonts w:hint="eastAsia" w:ascii="仿宋_GB2312" w:eastAsia="仿宋_GB2312"/>
          <w:sz w:val="28"/>
          <w:lang w:val="zh-CN" w:eastAsia="zh-CN"/>
        </w:rPr>
        <w:t>建立健全企业统计基层基础工作，留存好相关填报依据和统计台账。</w:t>
      </w:r>
    </w:p>
    <w:p>
      <w:pPr>
        <w:pStyle w:val="6"/>
        <w:bidi w:val="0"/>
        <w:rPr>
          <w:rFonts w:hint="eastAsia"/>
          <w:lang w:val="zh-CN" w:eastAsia="zh-CN"/>
        </w:rPr>
      </w:pPr>
      <w:r>
        <w:rPr>
          <w:rFonts w:hint="eastAsia"/>
          <w:lang w:val="zh-CN" w:eastAsia="zh-CN"/>
        </w:rPr>
        <w:t>（三）</w:t>
      </w:r>
      <w:bookmarkEnd w:id="46"/>
      <w:bookmarkEnd w:id="47"/>
      <w:bookmarkEnd w:id="48"/>
      <w:bookmarkEnd w:id="49"/>
      <w:bookmarkEnd w:id="50"/>
      <w:bookmarkEnd w:id="51"/>
      <w:bookmarkEnd w:id="52"/>
      <w:r>
        <w:rPr>
          <w:rFonts w:hint="eastAsia"/>
          <w:lang w:val="zh-CN" w:eastAsia="zh-CN"/>
        </w:rPr>
        <w:t>特殊情况及时沟通</w:t>
      </w:r>
    </w:p>
    <w:p>
      <w:pPr>
        <w:autoSpaceDE w:val="0"/>
        <w:autoSpaceDN w:val="0"/>
        <w:spacing w:line="400" w:lineRule="exact"/>
        <w:ind w:firstLine="560" w:firstLineChars="200"/>
        <w:rPr>
          <w:rFonts w:hint="eastAsia" w:ascii="仿宋_GB2312" w:eastAsia="仿宋_GB2312"/>
          <w:sz w:val="28"/>
          <w:lang w:val="zh-CN" w:eastAsia="zh-CN"/>
        </w:rPr>
      </w:pPr>
      <w:r>
        <w:rPr>
          <w:rFonts w:hint="eastAsia" w:ascii="仿宋_GB2312" w:eastAsia="仿宋_GB2312"/>
          <w:sz w:val="28"/>
          <w:lang w:val="zh-CN" w:eastAsia="zh-CN"/>
        </w:rPr>
        <w:t>若企业出现合并、拆分或重组等特殊情况，请及时与我们联系。</w:t>
      </w:r>
    </w:p>
    <w:p>
      <w:pPr>
        <w:rPr>
          <w:rFonts w:hint="eastAsia" w:ascii="黑体" w:hAnsi="黑体" w:eastAsia="黑体"/>
          <w:lang w:eastAsia="zh-CN"/>
        </w:rPr>
      </w:pPr>
    </w:p>
    <w:p>
      <w:pPr>
        <w:pStyle w:val="35"/>
        <w:autoSpaceDE w:val="0"/>
        <w:autoSpaceDN w:val="0"/>
        <w:spacing w:line="400" w:lineRule="exact"/>
        <w:ind w:firstLine="560"/>
        <w:rPr>
          <w:rFonts w:ascii="仿宋_GB2312" w:hAnsi="宋体" w:eastAsia="仿宋_GB2312" w:cs="宋体"/>
          <w:b/>
          <w:bCs w:val="0"/>
          <w:kern w:val="44"/>
          <w:sz w:val="28"/>
          <w:szCs w:val="28"/>
        </w:rPr>
      </w:pPr>
      <w:r>
        <w:rPr>
          <w:rFonts w:hint="eastAsia" w:ascii="仿宋_GB2312" w:hAnsi="宋体" w:eastAsia="仿宋_GB2312" w:cs="宋体"/>
          <w:b/>
          <w:bCs w:val="0"/>
          <w:kern w:val="44"/>
          <w:sz w:val="28"/>
          <w:szCs w:val="28"/>
        </w:rPr>
        <w:t>注：本要点仅供参考，最终指标解释以《批发和零售业统计报表制度》（限额以上调查单位用）（202</w:t>
      </w:r>
      <w:r>
        <w:rPr>
          <w:rFonts w:hint="eastAsia" w:ascii="仿宋_GB2312" w:hAnsi="宋体" w:eastAsia="仿宋_GB2312" w:cs="宋体"/>
          <w:b/>
          <w:bCs w:val="0"/>
          <w:kern w:val="44"/>
          <w:sz w:val="28"/>
          <w:szCs w:val="28"/>
          <w:lang w:val="en-US" w:eastAsia="zh-CN"/>
        </w:rPr>
        <w:t>4</w:t>
      </w:r>
      <w:r>
        <w:rPr>
          <w:rFonts w:hint="eastAsia" w:ascii="仿宋_GB2312" w:hAnsi="宋体" w:eastAsia="仿宋_GB2312" w:cs="宋体"/>
          <w:b/>
          <w:bCs w:val="0"/>
          <w:kern w:val="44"/>
          <w:sz w:val="28"/>
          <w:szCs w:val="28"/>
        </w:rPr>
        <w:t>年统计年报和202</w:t>
      </w:r>
      <w:r>
        <w:rPr>
          <w:rFonts w:hint="eastAsia" w:ascii="仿宋_GB2312" w:hAnsi="宋体" w:eastAsia="仿宋_GB2312" w:cs="宋体"/>
          <w:b/>
          <w:bCs w:val="0"/>
          <w:kern w:val="44"/>
          <w:sz w:val="28"/>
          <w:szCs w:val="28"/>
          <w:lang w:val="en-US" w:eastAsia="zh-CN"/>
        </w:rPr>
        <w:t>5</w:t>
      </w:r>
      <w:r>
        <w:rPr>
          <w:rFonts w:hint="eastAsia" w:ascii="仿宋_GB2312" w:hAnsi="宋体" w:eastAsia="仿宋_GB2312" w:cs="宋体"/>
          <w:b/>
          <w:bCs w:val="0"/>
          <w:kern w:val="44"/>
          <w:sz w:val="28"/>
          <w:szCs w:val="28"/>
        </w:rPr>
        <w:t>年定期统计报表）为准。</w:t>
      </w:r>
    </w:p>
    <w:p>
      <w:pPr>
        <w:rPr>
          <w:rFonts w:hint="eastAsia" w:ascii="黑体" w:hAnsi="黑体" w:eastAsia="黑体"/>
          <w:lang w:eastAsia="zh-CN"/>
        </w:rPr>
      </w:pPr>
      <w:r>
        <w:rPr>
          <w:rFonts w:hint="eastAsia" w:ascii="黑体" w:hAnsi="黑体" w:eastAsia="黑体"/>
          <w:lang w:eastAsia="zh-CN"/>
        </w:rPr>
        <w:br w:type="page"/>
      </w:r>
    </w:p>
    <w:p>
      <w:pPr>
        <w:pStyle w:val="4"/>
      </w:pPr>
      <w:bookmarkStart w:id="53" w:name="_Toc22676_WPSOffice_Level1"/>
      <w:bookmarkStart w:id="54" w:name="_Toc25298_WPSOffice_Level1"/>
      <w:bookmarkStart w:id="55" w:name="_Toc31790"/>
      <w:bookmarkStart w:id="56" w:name="_Toc16377_WPSOffice_Level1"/>
      <w:bookmarkStart w:id="57" w:name="_Toc30949"/>
      <w:bookmarkStart w:id="58" w:name="_Toc1973"/>
      <w:bookmarkStart w:id="59" w:name="_Toc28219_WPSOffice_Level1"/>
      <w:bookmarkStart w:id="60" w:name="_Toc852"/>
      <w:bookmarkStart w:id="61" w:name="_Toc11499"/>
      <w:r>
        <w:rPr>
          <w:rFonts w:hint="eastAsia"/>
          <w:lang w:eastAsia="zh-CN"/>
        </w:rPr>
        <w:t>第一部分：制度介绍</w:t>
      </w:r>
      <w:bookmarkEnd w:id="53"/>
      <w:bookmarkEnd w:id="54"/>
      <w:bookmarkEnd w:id="55"/>
      <w:bookmarkEnd w:id="56"/>
      <w:bookmarkEnd w:id="57"/>
      <w:bookmarkEnd w:id="58"/>
      <w:bookmarkEnd w:id="59"/>
      <w:bookmarkEnd w:id="60"/>
      <w:bookmarkEnd w:id="61"/>
    </w:p>
    <w:p>
      <w:pPr>
        <w:pStyle w:val="5"/>
        <w:rPr>
          <w:rFonts w:hint="eastAsia"/>
          <w:lang w:eastAsia="zh-CN"/>
        </w:rPr>
      </w:pPr>
      <w:bookmarkStart w:id="62" w:name="_Toc20313"/>
      <w:bookmarkStart w:id="63" w:name="_Toc32537"/>
      <w:bookmarkStart w:id="64" w:name="_Toc31846"/>
      <w:bookmarkStart w:id="65" w:name="_Toc30927"/>
      <w:bookmarkStart w:id="66" w:name="_Toc5727"/>
      <w:r>
        <w:rPr>
          <w:rFonts w:hint="eastAsia"/>
          <w:lang w:eastAsia="zh-CN"/>
        </w:rPr>
        <w:t>一、年定报报表概览</w:t>
      </w:r>
      <w:bookmarkEnd w:id="62"/>
      <w:bookmarkEnd w:id="63"/>
      <w:bookmarkEnd w:id="64"/>
      <w:bookmarkEnd w:id="65"/>
      <w:bookmarkEnd w:id="66"/>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2024年年报和2025年定报期间，限额以上批发和零售业报表单位涉及的报表及报送平台（不含从业人员及工资总额、能源等相关报表）主要如下：</w:t>
      </w:r>
      <w:bookmarkStart w:id="67" w:name="_Toc19815_WPSOffice_Level2"/>
      <w:bookmarkStart w:id="68" w:name="_Toc27239"/>
      <w:bookmarkStart w:id="69" w:name="_Toc2117_WPSOffice_Level2"/>
      <w:bookmarkStart w:id="70" w:name="_Toc10478_WPSOffice_Level2"/>
      <w:bookmarkStart w:id="71" w:name="_Toc8266"/>
      <w:bookmarkStart w:id="72" w:name="_Toc14370"/>
      <w:bookmarkStart w:id="73" w:name="_Toc12087"/>
    </w:p>
    <w:tbl>
      <w:tblPr>
        <w:tblStyle w:val="30"/>
        <w:tblpPr w:leftFromText="180" w:rightFromText="180" w:vertAnchor="text" w:horzAnchor="page" w:tblpX="1540" w:tblpY="820"/>
        <w:tblOverlap w:val="never"/>
        <w:tblW w:w="9855"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081"/>
        <w:gridCol w:w="508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687"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报表频次</w:t>
            </w:r>
          </w:p>
        </w:tc>
        <w:tc>
          <w:tcPr>
            <w:tcW w:w="3081"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表号</w:t>
            </w:r>
          </w:p>
        </w:tc>
        <w:tc>
          <w:tcPr>
            <w:tcW w:w="5087"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报表名称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b/>
                <w:bCs/>
                <w:color w:val="000000"/>
                <w:sz w:val="21"/>
                <w:szCs w:val="21"/>
                <w:lang w:eastAsia="zh-CN"/>
              </w:rPr>
              <w:t>年报</w:t>
            </w: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lang w:val="en-US" w:eastAsia="zh-CN"/>
              </w:rPr>
              <w:t>101表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调查单位基本情况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108表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企业组织结构调查表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109表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信息通信技术应用和数字化转型情况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E103表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财务状况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E104-1表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批发和零售业经营情况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BJE104-2表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批发和零售业商品销售类值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BJE104-6表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分地区经营情况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E120-1表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连锁经营情况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E120-2表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连锁门店及配送中心分布情况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E107表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产业活动单位（个体经营户）情况调查表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sz w:val="21"/>
                <w:szCs w:val="21"/>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E130表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kern w:val="0"/>
                <w:sz w:val="21"/>
                <w:szCs w:val="21"/>
                <w:lang w:val="en-US" w:eastAsia="zh-CN" w:bidi="ar-SA"/>
              </w:rPr>
              <w:t>亿元以上商品交易市场成交情况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E140表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城市商业综合体情况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月报</w:t>
            </w: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BJE203-1表</w:t>
            </w:r>
            <w:r>
              <w:rPr>
                <w:rFonts w:hint="eastAsia" w:ascii="仿宋_GB2312" w:hAnsi="仿宋_GB2312" w:eastAsia="仿宋_GB2312" w:cs="仿宋_GB2312"/>
                <w:color w:val="000000"/>
                <w:sz w:val="21"/>
                <w:szCs w:val="21"/>
                <w:lang w:val="en-US" w:eastAsia="zh-CN"/>
              </w:rPr>
              <w:t>、E203表</w:t>
            </w:r>
          </w:p>
        </w:tc>
        <w:tc>
          <w:tcPr>
            <w:tcW w:w="5087"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财务状况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E204-1表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批发和零售业商品销售和库存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687"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E204-3表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批发和零售业产业活动单位（个体经营户）商品销售和库存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87"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U201、U207表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互联网平台报表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季报</w:t>
            </w: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E210表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生产经营景气状况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3081"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E204-2表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重要商品购进、销售和库存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87"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半年报</w:t>
            </w:r>
          </w:p>
        </w:tc>
        <w:tc>
          <w:tcPr>
            <w:tcW w:w="3081"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BJE204-6表</w:t>
            </w:r>
          </w:p>
        </w:tc>
        <w:tc>
          <w:tcPr>
            <w:tcW w:w="5087"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批发和零售业分地区经营情况</w:t>
            </w:r>
          </w:p>
        </w:tc>
      </w:tr>
    </w:tbl>
    <w:p>
      <w:pPr>
        <w:rPr>
          <w:rFonts w:hint="eastAsia"/>
          <w:lang w:val="en-US" w:eastAsia="zh-CN"/>
        </w:rPr>
      </w:pPr>
    </w:p>
    <w:bookmarkEnd w:id="67"/>
    <w:bookmarkEnd w:id="68"/>
    <w:bookmarkEnd w:id="69"/>
    <w:bookmarkEnd w:id="70"/>
    <w:bookmarkEnd w:id="71"/>
    <w:bookmarkEnd w:id="72"/>
    <w:bookmarkEnd w:id="73"/>
    <w:p>
      <w:pPr>
        <w:numPr>
          <w:ilvl w:val="0"/>
          <w:numId w:val="0"/>
        </w:numPr>
        <w:spacing w:line="0" w:lineRule="atLeast"/>
        <w:ind w:leftChars="200"/>
        <w:rPr>
          <w:rFonts w:hint="eastAsia" w:ascii="仿宋_GB2312" w:hAnsi="仿宋" w:eastAsia="仿宋_GB2312"/>
          <w:b/>
          <w:bCs/>
          <w:iCs/>
          <w:sz w:val="28"/>
          <w:szCs w:val="32"/>
          <w:lang w:eastAsia="zh-CN"/>
        </w:rPr>
      </w:pPr>
    </w:p>
    <w:p>
      <w:pPr>
        <w:pStyle w:val="5"/>
        <w:rPr>
          <w:rFonts w:hint="eastAsia"/>
          <w:lang w:eastAsia="zh-CN"/>
        </w:rPr>
      </w:pPr>
      <w:bookmarkStart w:id="74" w:name="_Toc24800"/>
      <w:bookmarkStart w:id="75" w:name="_Toc24611"/>
      <w:bookmarkStart w:id="76" w:name="_Toc8158"/>
      <w:bookmarkStart w:id="77" w:name="_Toc3747"/>
      <w:bookmarkStart w:id="78" w:name="_Toc15126"/>
      <w:r>
        <w:rPr>
          <w:rFonts w:hint="eastAsia"/>
          <w:lang w:eastAsia="zh-CN"/>
        </w:rPr>
        <w:t>二、报表制度变化</w:t>
      </w:r>
      <w:bookmarkEnd w:id="74"/>
      <w:bookmarkEnd w:id="75"/>
      <w:bookmarkEnd w:id="76"/>
      <w:bookmarkEnd w:id="77"/>
      <w:bookmarkEnd w:id="78"/>
    </w:p>
    <w:p>
      <w:pPr>
        <w:pStyle w:val="6"/>
        <w:rPr>
          <w:rFonts w:hint="eastAsia"/>
          <w:lang w:eastAsia="zh-CN"/>
        </w:rPr>
      </w:pPr>
      <w:bookmarkStart w:id="79" w:name="_Toc11539"/>
      <w:bookmarkStart w:id="80" w:name="_Toc28000"/>
      <w:bookmarkStart w:id="81" w:name="_Toc31638"/>
      <w:bookmarkStart w:id="82" w:name="_Toc3026"/>
      <w:bookmarkStart w:id="83" w:name="_Toc31423_WPSOffice_Level2"/>
      <w:bookmarkStart w:id="84" w:name="_Toc23878_WPSOffice_Level2"/>
      <w:bookmarkStart w:id="85" w:name="_Toc28669_WPSOffice_Level2"/>
      <w:r>
        <w:rPr>
          <w:rFonts w:hint="eastAsia"/>
          <w:lang w:eastAsia="zh-CN"/>
        </w:rPr>
        <w:t>（一）统计原则部分</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lang w:eastAsia="zh-CN"/>
        </w:rPr>
      </w:pPr>
      <w:r>
        <w:rPr>
          <w:rFonts w:hint="eastAsia" w:ascii="仿宋_GB2312" w:hAnsi="仿宋" w:eastAsia="仿宋_GB2312"/>
          <w:b/>
          <w:bCs/>
          <w:iCs/>
          <w:sz w:val="28"/>
          <w:szCs w:val="32"/>
          <w:lang w:val="en-US" w:eastAsia="zh-CN"/>
        </w:rPr>
        <w:t>新增：</w:t>
      </w:r>
      <w:r>
        <w:rPr>
          <w:rFonts w:hint="eastAsia" w:ascii="仿宋_GB2312" w:hAnsi="仿宋" w:eastAsia="仿宋_GB2312"/>
          <w:b w:val="0"/>
          <w:bCs w:val="0"/>
          <w:iCs/>
          <w:sz w:val="28"/>
          <w:szCs w:val="32"/>
          <w:lang w:val="en-US" w:eastAsia="zh-CN"/>
        </w:rPr>
        <w:t>对于同时从事线上线下经营的批发和零售业法人、个体经营户和其他行业附营的批发和零售业产业活动单位，主要经营活动所在地为其实体经营场所所在地；对于仅从事线上经营的批发和零售业法人、个体经营户和其他行业附营的批发和零售业产业活动单位，主要经营活动所在地为其线上销售实际经营所在地。</w:t>
      </w:r>
    </w:p>
    <w:p>
      <w:pPr>
        <w:pStyle w:val="6"/>
        <w:rPr>
          <w:rFonts w:hint="eastAsia"/>
          <w:lang w:eastAsia="zh-CN"/>
        </w:rPr>
      </w:pPr>
      <w:r>
        <w:rPr>
          <w:rFonts w:hint="eastAsia"/>
          <w:lang w:eastAsia="zh-CN"/>
        </w:rPr>
        <w:t>（二）年报报表制度变化</w:t>
      </w:r>
      <w:bookmarkEnd w:id="79"/>
      <w:bookmarkEnd w:id="80"/>
      <w:bookmarkEnd w:id="81"/>
      <w:bookmarkEnd w:id="82"/>
      <w:bookmarkEnd w:id="83"/>
      <w:bookmarkEnd w:id="84"/>
      <w:bookmarkEnd w:id="85"/>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
          <w:bCs/>
          <w:iCs/>
          <w:sz w:val="28"/>
          <w:szCs w:val="32"/>
          <w:lang w:val="en-US" w:eastAsia="zh-CN"/>
        </w:rPr>
        <w:t>1.表名变化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lang w:eastAsia="zh-CN"/>
        </w:rPr>
        <w:t>新增</w:t>
      </w:r>
      <w:r>
        <w:rPr>
          <w:rFonts w:hint="eastAsia" w:ascii="仿宋_GB2312" w:hAnsi="仿宋" w:eastAsia="仿宋_GB2312"/>
          <w:bCs/>
          <w:iCs/>
          <w:sz w:val="28"/>
          <w:szCs w:val="32"/>
          <w:lang w:val="en-US" w:eastAsia="zh-CN"/>
        </w:rPr>
        <w:t>108表，即原101-2表</w:t>
      </w:r>
      <w:r>
        <w:rPr>
          <w:rFonts w:hint="eastAsia" w:ascii="仿宋_GB2312" w:hAnsi="仿宋" w:eastAsia="仿宋_GB2312"/>
          <w:bCs/>
          <w:iCs/>
          <w:sz w:val="28"/>
          <w:szCs w:val="32"/>
          <w:lang w:eastAsia="zh-CN"/>
        </w:rPr>
        <w:t>。</w:t>
      </w:r>
    </w:p>
    <w:p>
      <w:pPr>
        <w:pStyle w:val="35"/>
        <w:keepNext w:val="0"/>
        <w:keepLines w:val="0"/>
        <w:pageBreakBefore w:val="0"/>
        <w:widowControl w:val="0"/>
        <w:numPr>
          <w:ilvl w:val="0"/>
          <w:numId w:val="2"/>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报表变化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（1）财务状况表（E103）</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A.删除21个指标。</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B.“应付职工薪酬（本年贷方累计发生额）”修改为“应付职工薪酬（本期贷方累计发生额）”;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C.“应交增值税（本年累计发生额）”修改为“应交增值税（本期累计发生额）”。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（2）经营情况表（E204-1、BJE104-2）</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BJE104-2表统计范围修改为：“限额以上批零业法人单位和个体经营户、非批零业法人单位附营的批零业产业活动单位”调整为“限额以上批零业法人单位”</w:t>
      </w:r>
    </w:p>
    <w:p>
      <w:pPr>
        <w:pStyle w:val="35"/>
        <w:keepNext w:val="0"/>
        <w:keepLines w:val="0"/>
        <w:pageBreakBefore w:val="0"/>
        <w:widowControl w:val="0"/>
        <w:numPr>
          <w:ilvl w:val="0"/>
          <w:numId w:val="3"/>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产业活动单位（个体经营户）情况调查表（E107）</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A.删除组织机构代码内容;</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B.“单位类别”修改为“单位类型”，并调整指标选项;</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C.“法人单位区划代码”修改为“法人单位区划代码（六位）。</w:t>
      </w:r>
    </w:p>
    <w:p>
      <w:pPr>
        <w:pStyle w:val="35"/>
        <w:keepNext w:val="0"/>
        <w:keepLines w:val="0"/>
        <w:pageBreakBefore w:val="0"/>
        <w:widowControl w:val="0"/>
        <w:numPr>
          <w:ilvl w:val="0"/>
          <w:numId w:val="3"/>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连锁报表（E120-1、E120-2）</w:t>
      </w:r>
    </w:p>
    <w:p>
      <w:pPr>
        <w:pStyle w:val="35"/>
        <w:keepNext w:val="0"/>
        <w:keepLines w:val="0"/>
        <w:pageBreakBefore w:val="0"/>
        <w:widowControl w:val="0"/>
        <w:numPr>
          <w:ilvl w:val="0"/>
          <w:numId w:val="4"/>
        </w:numPr>
        <w:kinsoku/>
        <w:wordWrap/>
        <w:overflowPunct/>
        <w:topLinePunct w:val="0"/>
        <w:autoSpaceDE/>
        <w:autoSpaceDN/>
        <w:bidi w:val="0"/>
        <w:adjustRightInd/>
        <w:snapToGrid/>
        <w:spacing w:line="0" w:lineRule="atLeast"/>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E120-1表“批发零售连锁业态（所选代码为唯一）”修改为“零售连锁业态（单选）”</w:t>
      </w:r>
    </w:p>
    <w:p>
      <w:pPr>
        <w:pStyle w:val="35"/>
        <w:keepNext w:val="0"/>
        <w:keepLines w:val="0"/>
        <w:pageBreakBefore w:val="0"/>
        <w:widowControl w:val="0"/>
        <w:numPr>
          <w:ilvl w:val="0"/>
          <w:numId w:val="4"/>
        </w:numPr>
        <w:kinsoku/>
        <w:wordWrap/>
        <w:overflowPunct/>
        <w:topLinePunct w:val="0"/>
        <w:autoSpaceDE/>
        <w:autoSpaceDN/>
        <w:bidi w:val="0"/>
        <w:adjustRightInd/>
        <w:snapToGrid/>
        <w:spacing w:line="0" w:lineRule="atLeast"/>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E120-1表删除“其中：非自有配送中心配送商品购进额”</w:t>
      </w:r>
    </w:p>
    <w:p>
      <w:pPr>
        <w:pStyle w:val="35"/>
        <w:keepNext w:val="0"/>
        <w:keepLines w:val="0"/>
        <w:pageBreakBefore w:val="0"/>
        <w:widowControl w:val="0"/>
        <w:numPr>
          <w:ilvl w:val="0"/>
          <w:numId w:val="4"/>
        </w:numPr>
        <w:kinsoku/>
        <w:wordWrap/>
        <w:overflowPunct/>
        <w:topLinePunct w:val="0"/>
        <w:autoSpaceDE/>
        <w:autoSpaceDN/>
        <w:bidi w:val="0"/>
        <w:adjustRightInd/>
        <w:snapToGrid/>
        <w:spacing w:line="0" w:lineRule="atLeast"/>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E120-1、E120-2表“上年同期”修改为“上年”</w:t>
      </w:r>
    </w:p>
    <w:p>
      <w:pPr>
        <w:pStyle w:val="35"/>
        <w:keepNext w:val="0"/>
        <w:keepLines w:val="0"/>
        <w:pageBreakBefore w:val="0"/>
        <w:widowControl w:val="0"/>
        <w:numPr>
          <w:ilvl w:val="0"/>
          <w:numId w:val="5"/>
        </w:numPr>
        <w:kinsoku/>
        <w:wordWrap/>
        <w:overflowPunct/>
        <w:topLinePunct w:val="0"/>
        <w:autoSpaceDE/>
        <w:autoSpaceDN/>
        <w:bidi w:val="0"/>
        <w:adjustRightInd/>
        <w:snapToGrid/>
        <w:spacing w:line="0" w:lineRule="atLeast"/>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市场报表（E130）</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A.“市场编码”调整为18位码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B.“营业状态”修改为“营业类型”</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C.删除所有北京增加内容</w:t>
      </w:r>
    </w:p>
    <w:p>
      <w:pPr>
        <w:pStyle w:val="35"/>
        <w:keepNext w:val="0"/>
        <w:keepLines w:val="0"/>
        <w:pageBreakBefore w:val="0"/>
        <w:widowControl w:val="0"/>
        <w:numPr>
          <w:ilvl w:val="0"/>
          <w:numId w:val="5"/>
        </w:numPr>
        <w:kinsoku/>
        <w:wordWrap/>
        <w:overflowPunct/>
        <w:topLinePunct w:val="0"/>
        <w:autoSpaceDE/>
        <w:autoSpaceDN/>
        <w:bidi w:val="0"/>
        <w:adjustRightInd/>
        <w:snapToGrid/>
        <w:spacing w:line="0" w:lineRule="atLeast"/>
        <w:textAlignment w:val="auto"/>
        <w:rPr>
          <w:rFonts w:hint="eastAsia" w:ascii="仿宋_GB2312" w:hAnsi="仿宋" w:eastAsia="仿宋_GB2312"/>
          <w:bCs/>
          <w:iCs/>
          <w:sz w:val="28"/>
          <w:szCs w:val="32"/>
          <w:lang w:val="en-US" w:eastAsia="zh-CN"/>
        </w:rPr>
      </w:pPr>
      <w:bookmarkStart w:id="86" w:name="_Toc4498_WPSOffice_Level2"/>
      <w:bookmarkStart w:id="87" w:name="_Toc7516"/>
      <w:bookmarkStart w:id="88" w:name="_Toc6911"/>
      <w:bookmarkStart w:id="89" w:name="_Toc23940"/>
      <w:bookmarkStart w:id="90" w:name="_Toc20539_WPSOffice_Level2"/>
      <w:bookmarkStart w:id="91" w:name="_Toc18599"/>
      <w:bookmarkStart w:id="92" w:name="_Toc13117_WPSOffice_Level2"/>
      <w:r>
        <w:rPr>
          <w:rFonts w:hint="eastAsia" w:ascii="仿宋_GB2312" w:hAnsi="仿宋" w:eastAsia="仿宋_GB2312"/>
          <w:bCs/>
          <w:iCs/>
          <w:sz w:val="28"/>
          <w:szCs w:val="32"/>
          <w:lang w:val="en-US" w:eastAsia="zh-CN"/>
        </w:rPr>
        <w:t>综合体报表（E140）</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A.“商业综合体代码（E01）”调整为18位码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B.“食品、饮料及烟草制品零售”修改为“食品饮料及烟草制品零售”</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C.“分支机构”修改为“产业活动单位（分支机构）”</w:t>
      </w:r>
    </w:p>
    <w:p>
      <w:pPr>
        <w:pStyle w:val="6"/>
        <w:rPr>
          <w:rFonts w:hint="eastAsia"/>
          <w:lang w:eastAsia="zh-CN"/>
        </w:rPr>
      </w:pPr>
      <w:r>
        <w:rPr>
          <w:rFonts w:hint="eastAsia"/>
          <w:lang w:eastAsia="zh-CN"/>
        </w:rPr>
        <w:t>（三）定报报表制度变化</w:t>
      </w:r>
      <w:bookmarkEnd w:id="86"/>
      <w:bookmarkEnd w:id="87"/>
      <w:bookmarkEnd w:id="88"/>
      <w:bookmarkEnd w:id="89"/>
      <w:bookmarkEnd w:id="90"/>
      <w:bookmarkEnd w:id="91"/>
      <w:bookmarkEnd w:id="92"/>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1.取消报表</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原E231表取消。</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2.指标变化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（1）财务状况表</w:t>
      </w:r>
      <w:r>
        <w:rPr>
          <w:rFonts w:hint="default" w:ascii="仿宋_GB2312" w:hAnsi="仿宋" w:eastAsia="仿宋_GB2312"/>
          <w:bCs/>
          <w:iCs/>
          <w:sz w:val="28"/>
          <w:szCs w:val="32"/>
          <w:lang w:val="en-US" w:eastAsia="zh-CN"/>
        </w:rPr>
        <w:t>（E203、BJE203-1）</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“应交增值税（本年累计发生额）”修改为“应交增值税（本期累计发生额）”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（2）经营情况表</w:t>
      </w:r>
      <w:r>
        <w:rPr>
          <w:rFonts w:hint="default" w:ascii="仿宋_GB2312" w:hAnsi="仿宋" w:eastAsia="仿宋_GB2312"/>
          <w:bCs/>
          <w:iCs/>
          <w:sz w:val="28"/>
          <w:szCs w:val="32"/>
          <w:lang w:val="en-US" w:eastAsia="zh-CN"/>
        </w:rPr>
        <w:t>（E204-1、E204-3</w:t>
      </w:r>
      <w:r>
        <w:rPr>
          <w:rFonts w:hint="eastAsia" w:ascii="仿宋_GB2312" w:hAnsi="仿宋" w:eastAsia="仿宋_GB2312"/>
          <w:bCs/>
          <w:iCs/>
          <w:sz w:val="28"/>
          <w:szCs w:val="32"/>
          <w:lang w:val="en-US" w:eastAsia="zh-CN"/>
        </w:rPr>
        <w:t>、E204-2</w:t>
      </w:r>
      <w:r>
        <w:rPr>
          <w:rFonts w:hint="default" w:ascii="仿宋_GB2312" w:hAnsi="仿宋" w:eastAsia="仿宋_GB2312"/>
          <w:bCs/>
          <w:iCs/>
          <w:sz w:val="28"/>
          <w:szCs w:val="32"/>
          <w:lang w:val="en-US" w:eastAsia="zh-CN"/>
        </w:rPr>
        <w:t>）</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A.E204-2表统计范围修改为：“限额以上批零业法人单位和个体经营户、非批零业法人单位附营的批零业产业活动单位”调整为“限额以上批零业法人单位”;</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B.E204-2表删除“酒类”下列的“白酒”“啤酒”“葡萄酒”“黄酒”等所有分项；</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C.E204-1、E204-3表“上年同期”修改为“上年”</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（3）景气状况表（E210）</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A.“56贵企业下一步生产经营计划？”指标新增选项</w:t>
      </w:r>
    </w:p>
    <w:p>
      <w:pPr>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B.新增“56-2贵企业计划在外省市新设立的子公司对原有业务的影响？”</w:t>
      </w:r>
    </w:p>
    <w:p>
      <w:pPr>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br w:type="page"/>
      </w:r>
    </w:p>
    <w:p>
      <w:pPr>
        <w:pStyle w:val="4"/>
      </w:pPr>
      <w:bookmarkStart w:id="93" w:name="_Toc15105"/>
      <w:bookmarkStart w:id="94" w:name="_Toc23612"/>
      <w:bookmarkStart w:id="95" w:name="_Toc946_WPSOffice_Level1"/>
      <w:bookmarkStart w:id="96" w:name="_Toc5047_WPSOffice_Level1"/>
      <w:bookmarkStart w:id="97" w:name="_Toc31531"/>
      <w:bookmarkStart w:id="98" w:name="_Toc7946"/>
      <w:bookmarkStart w:id="99" w:name="_Toc14443_WPSOffice_Level1"/>
      <w:bookmarkStart w:id="100" w:name="_Toc9443_WPSOffice_Level1"/>
      <w:bookmarkStart w:id="101" w:name="_Toc31145"/>
      <w:r>
        <w:rPr>
          <w:rFonts w:hint="eastAsia"/>
        </w:rPr>
        <w:t>第</w:t>
      </w:r>
      <w:r>
        <w:rPr>
          <w:rFonts w:hint="eastAsia"/>
          <w:lang w:eastAsia="zh-CN"/>
        </w:rPr>
        <w:t>二</w:t>
      </w:r>
      <w:r>
        <w:rPr>
          <w:rFonts w:hint="eastAsia"/>
        </w:rPr>
        <w:t>部分：年报培训要点</w:t>
      </w:r>
      <w:bookmarkEnd w:id="93"/>
      <w:bookmarkEnd w:id="94"/>
      <w:bookmarkEnd w:id="95"/>
      <w:bookmarkEnd w:id="96"/>
      <w:bookmarkEnd w:id="97"/>
      <w:bookmarkEnd w:id="98"/>
      <w:bookmarkEnd w:id="99"/>
      <w:bookmarkEnd w:id="100"/>
      <w:bookmarkEnd w:id="101"/>
      <w:bookmarkStart w:id="102" w:name="_Toc31108"/>
      <w:bookmarkStart w:id="103" w:name="_Toc372558081"/>
    </w:p>
    <w:bookmarkEnd w:id="102"/>
    <w:bookmarkEnd w:id="103"/>
    <w:p>
      <w:pPr>
        <w:pStyle w:val="5"/>
        <w:rPr>
          <w:rFonts w:hint="eastAsia"/>
        </w:rPr>
      </w:pPr>
      <w:bookmarkStart w:id="104" w:name="_Toc635"/>
      <w:bookmarkStart w:id="105" w:name="_Toc31207"/>
      <w:bookmarkStart w:id="106" w:name="_Toc27874"/>
      <w:bookmarkStart w:id="107" w:name="_Toc10406"/>
      <w:bookmarkStart w:id="108" w:name="_Toc11317_WPSOffice_Level2"/>
      <w:bookmarkStart w:id="109" w:name="_Toc11805"/>
      <w:bookmarkStart w:id="110" w:name="_Toc25495_WPSOffice_Level2"/>
      <w:bookmarkStart w:id="111" w:name="_Toc29550_WPSOffice_Level2"/>
      <w:bookmarkStart w:id="112" w:name="_Toc2044"/>
      <w:r>
        <w:rPr>
          <w:rFonts w:hint="eastAsia"/>
          <w:lang w:eastAsia="zh-CN"/>
        </w:rPr>
        <w:t>一、基本单位情况（表号</w:t>
      </w:r>
      <w:r>
        <w:rPr>
          <w:rFonts w:hint="eastAsia"/>
          <w:lang w:val="en-US" w:eastAsia="zh-CN"/>
        </w:rPr>
        <w:t>:101-1、108表</w:t>
      </w:r>
      <w:r>
        <w:rPr>
          <w:rFonts w:hint="eastAsia"/>
          <w:lang w:eastAsia="zh-CN"/>
        </w:rPr>
        <w:t>）</w:t>
      </w:r>
      <w:bookmarkEnd w:id="104"/>
      <w:bookmarkEnd w:id="105"/>
      <w:bookmarkEnd w:id="106"/>
      <w:bookmarkEnd w:id="107"/>
      <w:bookmarkEnd w:id="108"/>
      <w:bookmarkEnd w:id="109"/>
      <w:bookmarkEnd w:id="110"/>
      <w:bookmarkEnd w:id="111"/>
      <w:bookmarkEnd w:id="112"/>
    </w:p>
    <w:p>
      <w:pPr>
        <w:pStyle w:val="6"/>
        <w:bidi w:val="0"/>
        <w:rPr>
          <w:rFonts w:hint="eastAsia"/>
        </w:rPr>
      </w:pPr>
      <w:bookmarkStart w:id="113" w:name="_Toc1170"/>
      <w:bookmarkStart w:id="114" w:name="_Toc599"/>
      <w:bookmarkStart w:id="115" w:name="_Toc29828"/>
      <w:bookmarkStart w:id="116" w:name="_Toc5112"/>
      <w:r>
        <w:rPr>
          <w:rFonts w:hint="eastAsia"/>
          <w:lang w:eastAsia="zh-CN"/>
        </w:rPr>
        <w:t>（一）报表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企业组织结构调查表（108表），由原来的法人单位所属产业活动单位情况修改而来。</w:t>
      </w:r>
    </w:p>
    <w:p>
      <w:pPr>
        <w:pStyle w:val="6"/>
        <w:bidi w:val="0"/>
        <w:rPr>
          <w:rFonts w:hint="eastAsia"/>
          <w:lang w:eastAsia="zh-CN"/>
        </w:rPr>
      </w:pPr>
      <w:r>
        <w:rPr>
          <w:rFonts w:hint="eastAsia"/>
          <w:lang w:eastAsia="zh-CN"/>
        </w:rPr>
        <w:t>（二）</w:t>
      </w: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101-1表为限额以上批发和零售业、限额以上住宿和餐饮业法人单位填报，法人单位包含下属全部产业活动单位数据。</w:t>
      </w:r>
    </w:p>
    <w:p>
      <w:pPr>
        <w:pStyle w:val="6"/>
        <w:numPr>
          <w:ilvl w:val="0"/>
          <w:numId w:val="0"/>
        </w:numPr>
        <w:bidi w:val="0"/>
        <w:rPr>
          <w:rFonts w:hint="eastAsia"/>
          <w:lang w:val="en-US" w:eastAsia="zh-CN"/>
        </w:rPr>
      </w:pPr>
      <w:r>
        <w:rPr>
          <w:rFonts w:hint="eastAsia"/>
          <w:lang w:eastAsia="zh-CN"/>
        </w:rPr>
        <w:t>（三）重点及易错指标讲解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28"/>
          <w:lang w:val="en-US" w:eastAsia="zh-CN"/>
        </w:rPr>
      </w:pPr>
      <w:r>
        <w:rPr>
          <w:rFonts w:hint="eastAsia" w:ascii="仿宋_GB2312" w:hAnsi="仿宋" w:eastAsia="仿宋_GB2312"/>
          <w:b/>
          <w:bCs w:val="0"/>
          <w:iCs/>
          <w:sz w:val="28"/>
          <w:szCs w:val="28"/>
          <w:lang w:val="en-US" w:eastAsia="zh-CN"/>
        </w:rPr>
        <w:t>1、“经营形式”（ES1）</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A.“连锁总店（总部）”一项，仅连锁企业名单中的企业可选；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B. 填报连锁报表企业必须选择“连锁总店（总部）”一项；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C.选择“2连锁总店（总部） 3连锁直营店 4连锁加盟店”，则“连锁品牌（商标或商号名称）必须填写。</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28"/>
          <w:lang w:val="en-US" w:eastAsia="zh-CN"/>
        </w:rPr>
      </w:pPr>
      <w:r>
        <w:rPr>
          <w:rFonts w:hint="eastAsia" w:ascii="仿宋_GB2312" w:hAnsi="仿宋" w:eastAsia="仿宋_GB2312"/>
          <w:b/>
          <w:bCs w:val="0"/>
          <w:iCs/>
          <w:sz w:val="28"/>
          <w:szCs w:val="28"/>
          <w:lang w:val="en-US" w:eastAsia="zh-CN"/>
        </w:rPr>
        <w:t>2、“零售业态”（E02）</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A.仅限零售业单位填报；</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B.若网上零售比重超过50%，且主要在网上零售某类商品，建议优先选择专业C.店或品牌专卖店，第二个业态可选2010；</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D.品牌专卖店：销售同一品牌；</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E.专业店：销售同一类商品（加油站属于专业店）；</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F.集合店：多种类、多品牌;</w:t>
      </w:r>
    </w:p>
    <w:p>
      <w:pPr>
        <w:pStyle w:val="35"/>
        <w:numPr>
          <w:ilvl w:val="0"/>
          <w:numId w:val="0"/>
        </w:numPr>
        <w:spacing w:line="0" w:lineRule="atLeast"/>
        <w:jc w:val="center"/>
        <w:rPr>
          <w:rFonts w:ascii="仿宋_GB2312" w:hAnsi="仿宋" w:eastAsia="仿宋_GB2312"/>
          <w:bCs/>
          <w:iCs/>
          <w:sz w:val="28"/>
          <w:szCs w:val="32"/>
        </w:rPr>
      </w:pPr>
      <w:r>
        <w:rPr>
          <w:rFonts w:hint="eastAsia" w:ascii="仿宋_GB2312" w:hAnsi="仿宋" w:eastAsia="仿宋_GB2312"/>
          <w:bCs/>
          <w:iCs/>
          <w:sz w:val="28"/>
          <w:szCs w:val="32"/>
        </w:rPr>
        <w:t>行业代码与零售业态对照表</w:t>
      </w:r>
    </w:p>
    <w:tbl>
      <w:tblPr>
        <w:tblStyle w:val="29"/>
        <w:tblW w:w="7229" w:type="dxa"/>
        <w:tblInd w:w="959"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467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51"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行业代码</w:t>
            </w:r>
          </w:p>
        </w:tc>
        <w:tc>
          <w:tcPr>
            <w:tcW w:w="4678"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零售业态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51"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5211</w:t>
            </w:r>
          </w:p>
        </w:tc>
        <w:tc>
          <w:tcPr>
            <w:tcW w:w="4678"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1050百货店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51"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5212</w:t>
            </w:r>
          </w:p>
        </w:tc>
        <w:tc>
          <w:tcPr>
            <w:tcW w:w="4678"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1020超市、1040仓储会员店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51"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5213</w:t>
            </w:r>
          </w:p>
        </w:tc>
        <w:tc>
          <w:tcPr>
            <w:tcW w:w="4678"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1010便利店；1030折扣店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551"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5219</w:t>
            </w:r>
          </w:p>
        </w:tc>
        <w:tc>
          <w:tcPr>
            <w:tcW w:w="4678" w:type="dxa"/>
            <w:shd w:val="clear" w:color="auto" w:fill="auto"/>
            <w:vAlign w:val="center"/>
          </w:tcPr>
          <w:p>
            <w:pPr>
              <w:pStyle w:val="35"/>
              <w:ind w:firstLine="0" w:firstLineChars="0"/>
              <w:jc w:val="center"/>
              <w:rPr>
                <w:rFonts w:ascii="宋体" w:hAnsi="宋体"/>
                <w:bCs/>
                <w:iCs/>
                <w:szCs w:val="21"/>
              </w:rPr>
            </w:pPr>
            <w:r>
              <w:rPr>
                <w:rFonts w:hint="eastAsia" w:ascii="宋体" w:hAnsi="宋体"/>
                <w:bCs/>
                <w:iCs/>
                <w:szCs w:val="21"/>
              </w:rPr>
              <w:t>1010食杂店</w:t>
            </w:r>
          </w:p>
        </w:tc>
      </w:tr>
    </w:tbl>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28"/>
          <w:lang w:val="en-US" w:eastAsia="zh-CN"/>
        </w:rPr>
      </w:pPr>
      <w:r>
        <w:rPr>
          <w:rFonts w:hint="eastAsia" w:ascii="仿宋_GB2312" w:hAnsi="仿宋" w:eastAsia="仿宋_GB2312"/>
          <w:bCs/>
          <w:iCs/>
          <w:sz w:val="28"/>
          <w:szCs w:val="28"/>
          <w:lang w:val="en-US" w:eastAsia="zh-CN"/>
        </w:rPr>
        <w:t>G.可多选，最多不超过3个（按零售额所占比重由大到小填）。</w:t>
      </w:r>
    </w:p>
    <w:p>
      <w:pPr>
        <w:pStyle w:val="35"/>
        <w:spacing w:line="0" w:lineRule="atLeast"/>
        <w:ind w:firstLine="560"/>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3、登记注册统计类别表</w:t>
      </w:r>
    </w:p>
    <w:tbl>
      <w:tblPr>
        <w:tblStyle w:val="29"/>
        <w:tblW w:w="8352" w:type="dxa"/>
        <w:tblCellSpacing w:w="0" w:type="dxa"/>
        <w:tblInd w:w="6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41"/>
        <w:gridCol w:w="3672"/>
        <w:gridCol w:w="926"/>
        <w:gridCol w:w="3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78"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代码</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市场主体统计类别</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代码</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市场主体统计类别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100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内资企业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港澳台投资企业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210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1"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国有独资公司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220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1"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112</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私营有限责任公司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230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港澳台投资合伙企业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3"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119</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290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其他港澳台投资企业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3"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外商投资企业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私营股份有限公司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310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129</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320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非公司企业法人</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330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外商投资合伙企业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全民所有制企业（国有企业）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390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其他外商投资企业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8"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132</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集体所有制企业（集体企业）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400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农民专业合作社（联合社）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5"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133</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股份合作企业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500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个体工商户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7"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134</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联营企业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900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其他市场主体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5"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140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个人独资企业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150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合伙企业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190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其他内资企业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p>
        </w:tc>
      </w:tr>
    </w:tbl>
    <w:p>
      <w:pPr>
        <w:pStyle w:val="35"/>
        <w:numPr>
          <w:ilvl w:val="0"/>
          <w:numId w:val="0"/>
        </w:numPr>
        <w:spacing w:line="0" w:lineRule="atLeast"/>
        <w:rPr>
          <w:rFonts w:hint="eastAsia" w:ascii="仿宋_GB2312" w:hAnsi="仿宋" w:eastAsia="仿宋_GB2312"/>
          <w:b/>
          <w:bCs/>
          <w:iCs/>
          <w:sz w:val="28"/>
          <w:szCs w:val="32"/>
          <w:lang w:eastAsia="zh-CN"/>
        </w:rPr>
      </w:pPr>
    </w:p>
    <w:p>
      <w:pPr>
        <w:pStyle w:val="6"/>
        <w:bidi w:val="0"/>
        <w:rPr>
          <w:rFonts w:hint="eastAsia" w:ascii="仿宋_GB2312" w:hAnsi="仿宋" w:eastAsia="仿宋_GB2312" w:cs="Times New Roman"/>
          <w:b/>
          <w:bCs w:val="0"/>
          <w:iCs/>
          <w:sz w:val="28"/>
          <w:szCs w:val="28"/>
          <w:lang w:val="en-US" w:eastAsia="zh-CN"/>
        </w:rPr>
      </w:pPr>
      <w:r>
        <w:rPr>
          <w:rFonts w:hint="eastAsia"/>
          <w:lang w:eastAsia="zh-CN"/>
        </w:rPr>
        <w:t>（四）注意事项</w:t>
      </w: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default" w:ascii="仿宋_GB2312" w:hAnsi="仿宋" w:eastAsia="仿宋_GB2312" w:cs="Times New Roman"/>
          <w:b/>
          <w:bCs w:val="0"/>
          <w:iCs/>
          <w:sz w:val="28"/>
          <w:szCs w:val="28"/>
          <w:lang w:val="en-US" w:eastAsia="zh-CN"/>
        </w:rPr>
      </w:pPr>
      <w:r>
        <w:rPr>
          <w:rFonts w:hint="eastAsia" w:ascii="仿宋_GB2312" w:hAnsi="仿宋" w:eastAsia="仿宋_GB2312" w:cs="Times New Roman"/>
          <w:b/>
          <w:bCs w:val="0"/>
          <w:iCs/>
          <w:sz w:val="28"/>
          <w:szCs w:val="28"/>
          <w:lang w:val="en-US" w:eastAsia="zh-CN"/>
        </w:rPr>
        <w:t>1.101-1</w:t>
      </w: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eastAsia" w:ascii="仿宋_GB2312" w:hAnsi="仿宋" w:eastAsia="仿宋_GB2312" w:cs="Times New Roman"/>
          <w:b w:val="0"/>
          <w:bCs/>
          <w:iCs/>
          <w:sz w:val="28"/>
          <w:szCs w:val="28"/>
          <w:lang w:val="en-US" w:eastAsia="zh-CN"/>
        </w:rPr>
      </w:pPr>
      <w:r>
        <w:rPr>
          <w:rFonts w:hint="eastAsia" w:ascii="仿宋_GB2312" w:hAnsi="仿宋" w:eastAsia="仿宋_GB2312" w:cs="Times New Roman"/>
          <w:b w:val="0"/>
          <w:bCs/>
          <w:iCs/>
          <w:sz w:val="28"/>
          <w:szCs w:val="28"/>
          <w:lang w:val="en-US" w:eastAsia="zh-CN"/>
        </w:rPr>
        <w:t>（1）105指标：单位所在地原则上应为</w:t>
      </w:r>
      <w:r>
        <w:rPr>
          <w:rFonts w:hint="eastAsia" w:ascii="仿宋_GB2312" w:hAnsi="仿宋" w:eastAsia="仿宋_GB2312" w:cs="Times New Roman"/>
          <w:b/>
          <w:bCs w:val="0"/>
          <w:iCs/>
          <w:color w:val="FF0000"/>
          <w:sz w:val="28"/>
          <w:szCs w:val="28"/>
          <w:shd w:val="clear" w:color="auto" w:fill="auto"/>
          <w:lang w:val="en-US" w:eastAsia="zh-CN"/>
        </w:rPr>
        <w:t>朝阳区地址</w:t>
      </w:r>
      <w:r>
        <w:rPr>
          <w:rFonts w:hint="eastAsia" w:ascii="仿宋_GB2312" w:hAnsi="仿宋" w:eastAsia="仿宋_GB2312" w:cs="Times New Roman"/>
          <w:b w:val="0"/>
          <w:bCs/>
          <w:iCs/>
          <w:sz w:val="28"/>
          <w:szCs w:val="28"/>
          <w:lang w:val="en-US" w:eastAsia="zh-CN"/>
        </w:rPr>
        <w:t>，</w:t>
      </w:r>
      <w:r>
        <w:rPr>
          <w:rFonts w:hint="eastAsia" w:ascii="仿宋_GB2312" w:hAnsi="仿宋" w:eastAsia="仿宋_GB2312" w:cs="Times New Roman"/>
          <w:b/>
          <w:bCs w:val="0"/>
          <w:iCs/>
          <w:color w:val="FF0000"/>
          <w:sz w:val="28"/>
          <w:szCs w:val="28"/>
          <w:lang w:val="en-US" w:eastAsia="zh-CN"/>
        </w:rPr>
        <w:t>地址和区划代码要一致</w:t>
      </w:r>
      <w:r>
        <w:rPr>
          <w:rFonts w:hint="eastAsia" w:ascii="仿宋_GB2312" w:hAnsi="仿宋" w:eastAsia="仿宋_GB2312" w:cs="Times New Roman"/>
          <w:b w:val="0"/>
          <w:bCs/>
          <w:iCs/>
          <w:sz w:val="28"/>
          <w:szCs w:val="28"/>
          <w:lang w:val="en-US" w:eastAsia="zh-CN"/>
        </w:rPr>
        <w:t>，要求</w:t>
      </w:r>
      <w:r>
        <w:rPr>
          <w:rFonts w:hint="eastAsia" w:ascii="仿宋_GB2312" w:hAnsi="仿宋" w:eastAsia="仿宋_GB2312" w:cs="Times New Roman"/>
          <w:b/>
          <w:bCs w:val="0"/>
          <w:iCs/>
          <w:color w:val="FF0000"/>
          <w:sz w:val="28"/>
          <w:szCs w:val="28"/>
          <w:lang w:val="en-US" w:eastAsia="zh-CN"/>
        </w:rPr>
        <w:t>经营地、名录所在地及数据处理地一</w:t>
      </w:r>
      <w:r>
        <w:rPr>
          <w:rFonts w:hint="eastAsia" w:ascii="仿宋_GB2312" w:hAnsi="仿宋" w:eastAsia="仿宋_GB2312" w:cs="Times New Roman"/>
          <w:b w:val="0"/>
          <w:bCs/>
          <w:iCs/>
          <w:sz w:val="28"/>
          <w:szCs w:val="28"/>
          <w:lang w:val="en-US" w:eastAsia="zh-CN"/>
        </w:rPr>
        <w:t>致！</w:t>
      </w: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（2）主要业务活动：填写为“动词+名词”或者“名词+动词”形式。行业代码为批发，主营业务活动应包含“批发”；行业代码为零售，主营业务活动应包含“零售”。</w:t>
      </w: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（3）</w:t>
      </w:r>
      <w:r>
        <w:rPr>
          <w:rFonts w:hint="eastAsia" w:ascii="仿宋_GB2312" w:hAnsi="仿宋" w:eastAsia="仿宋_GB2312" w:cs="Times New Roman"/>
          <w:b/>
          <w:bCs w:val="0"/>
          <w:iCs/>
          <w:color w:val="FF0000"/>
          <w:sz w:val="28"/>
          <w:szCs w:val="28"/>
          <w:lang w:val="en-US" w:eastAsia="zh-CN"/>
        </w:rPr>
        <w:t>零售业态</w:t>
      </w:r>
      <w:r>
        <w:rPr>
          <w:rFonts w:hint="eastAsia" w:ascii="仿宋_GB2312" w:hAnsi="仿宋" w:eastAsia="仿宋_GB2312" w:cs="Times New Roman"/>
          <w:bCs/>
          <w:iCs/>
          <w:sz w:val="28"/>
          <w:szCs w:val="28"/>
          <w:lang w:val="en-US" w:eastAsia="zh-CN"/>
        </w:rPr>
        <w:t>仅限零售业填写，有三个填三个，要按实现零售额由大到小填报，不能重复、不能跳格写，零售业态要和行业代码匹配。</w:t>
      </w: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eastAsia" w:ascii="仿宋_GB2312" w:hAnsi="仿宋" w:eastAsia="仿宋_GB2312" w:cs="Times New Roman"/>
          <w:b/>
          <w:bCs w:val="0"/>
          <w:i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default" w:ascii="仿宋_GB2312" w:hAnsi="仿宋" w:eastAsia="仿宋_GB2312" w:cs="Times New Roman"/>
          <w:b/>
          <w:bCs w:val="0"/>
          <w:iCs/>
          <w:sz w:val="28"/>
          <w:szCs w:val="28"/>
          <w:lang w:val="en-US" w:eastAsia="zh-CN"/>
        </w:rPr>
      </w:pPr>
      <w:r>
        <w:rPr>
          <w:rFonts w:hint="eastAsia" w:ascii="仿宋_GB2312" w:hAnsi="仿宋" w:eastAsia="仿宋_GB2312" w:cs="Times New Roman"/>
          <w:b/>
          <w:bCs w:val="0"/>
          <w:iCs/>
          <w:sz w:val="28"/>
          <w:szCs w:val="28"/>
          <w:lang w:val="en-US" w:eastAsia="zh-CN"/>
        </w:rPr>
        <w:t>2.108</w:t>
      </w:r>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（1）产业活动单位本部</w:t>
      </w:r>
      <w:r>
        <w:rPr>
          <w:rFonts w:hint="eastAsia" w:ascii="仿宋_GB2312" w:hAnsi="仿宋" w:eastAsia="仿宋_GB2312" w:cs="Times New Roman"/>
          <w:bCs/>
          <w:iCs/>
          <w:color w:val="FF0000"/>
          <w:sz w:val="28"/>
          <w:szCs w:val="28"/>
          <w:lang w:val="en-US" w:eastAsia="zh-CN"/>
        </w:rPr>
        <w:t>单位详细名称</w:t>
      </w:r>
      <w:r>
        <w:rPr>
          <w:rFonts w:hint="eastAsia" w:ascii="仿宋_GB2312" w:hAnsi="仿宋" w:eastAsia="仿宋_GB2312" w:cs="Times New Roman"/>
          <w:bCs/>
          <w:iCs/>
          <w:sz w:val="28"/>
          <w:szCs w:val="28"/>
          <w:lang w:val="en-US" w:eastAsia="zh-CN"/>
        </w:rPr>
        <w:t>应填写为</w:t>
      </w:r>
      <w:r>
        <w:rPr>
          <w:rFonts w:hint="eastAsia" w:ascii="仿宋_GB2312" w:hAnsi="仿宋" w:eastAsia="仿宋_GB2312" w:cs="Times New Roman"/>
          <w:bCs/>
          <w:iCs/>
          <w:color w:val="FF0000"/>
          <w:sz w:val="28"/>
          <w:szCs w:val="28"/>
          <w:lang w:val="en-US" w:eastAsia="zh-CN"/>
        </w:rPr>
        <w:t>法人单位名称”+“（本部）”</w:t>
      </w:r>
      <w:r>
        <w:rPr>
          <w:rFonts w:hint="eastAsia" w:ascii="仿宋_GB2312" w:hAnsi="仿宋" w:eastAsia="仿宋_GB2312" w:cs="Times New Roman"/>
          <w:bCs/>
          <w:iCs/>
          <w:sz w:val="28"/>
          <w:szCs w:val="28"/>
          <w:lang w:val="en-US" w:eastAsia="zh-CN"/>
        </w:rPr>
        <w:t>，如</w:t>
      </w:r>
      <w:r>
        <w:rPr>
          <w:rFonts w:hint="eastAsia" w:ascii="仿宋_GB2312" w:hAnsi="仿宋" w:eastAsia="仿宋_GB2312" w:cs="Times New Roman"/>
          <w:b/>
          <w:bCs w:val="0"/>
          <w:iCs/>
          <w:color w:val="auto"/>
          <w:sz w:val="28"/>
          <w:szCs w:val="28"/>
          <w:lang w:val="en-US" w:eastAsia="zh-CN"/>
        </w:rPr>
        <w:t>北京屈臣氏个人用品连锁商店有限公司（本部）</w:t>
      </w:r>
      <w:r>
        <w:rPr>
          <w:rFonts w:hint="eastAsia" w:ascii="仿宋_GB2312" w:hAnsi="仿宋" w:eastAsia="仿宋_GB2312" w:cs="Times New Roman"/>
          <w:bCs/>
          <w:iCs/>
          <w:sz w:val="28"/>
          <w:szCs w:val="28"/>
          <w:lang w:val="en-US" w:eastAsia="zh-CN"/>
        </w:rPr>
        <w:t>，注意括号格式为中文半角。</w:t>
      </w:r>
    </w:p>
    <w:p>
      <w:pPr>
        <w:pStyle w:val="35"/>
        <w:keepNext w:val="0"/>
        <w:keepLines w:val="0"/>
        <w:pageBreakBefore w:val="0"/>
        <w:widowControl w:val="0"/>
        <w:kinsoku/>
        <w:wordWrap/>
        <w:overflowPunct/>
        <w:topLinePunct w:val="0"/>
        <w:autoSpaceDE/>
        <w:autoSpaceDN/>
        <w:bidi w:val="0"/>
        <w:snapToGrid/>
        <w:spacing w:line="0" w:lineRule="atLeast"/>
        <w:ind w:left="0" w:leftChars="0" w:firstLine="560" w:firstLineChars="200"/>
        <w:rPr>
          <w:rFonts w:hint="default" w:ascii="仿宋_GB2312" w:hAnsi="仿宋" w:eastAsia="仿宋_GB2312" w:cs="Times New Roman"/>
          <w:bCs/>
          <w:iCs/>
          <w:sz w:val="28"/>
          <w:szCs w:val="32"/>
          <w:lang w:val="en-US" w:eastAsia="zh-CN"/>
        </w:rPr>
      </w:pPr>
      <w:r>
        <w:rPr>
          <w:rFonts w:hint="eastAsia" w:ascii="仿宋_GB2312" w:hAnsi="仿宋" w:eastAsia="仿宋_GB2312" w:cs="Times New Roman"/>
          <w:bCs/>
          <w:iCs/>
          <w:sz w:val="28"/>
          <w:szCs w:val="32"/>
          <w:lang w:val="en-US" w:eastAsia="zh-CN"/>
        </w:rPr>
        <w:t>（2）关注行业代码与经营性单位收入、非经营性支出等指标。经营性单位收入不应出现极值，计量单位为千元，不要错填为元或万元。</w:t>
      </w:r>
    </w:p>
    <w:p>
      <w:pPr>
        <w:pStyle w:val="35"/>
        <w:keepNext w:val="0"/>
        <w:keepLines w:val="0"/>
        <w:pageBreakBefore w:val="0"/>
        <w:widowControl w:val="0"/>
        <w:kinsoku/>
        <w:wordWrap/>
        <w:overflowPunct/>
        <w:topLinePunct w:val="0"/>
        <w:autoSpaceDE/>
        <w:autoSpaceDN/>
        <w:bidi w:val="0"/>
        <w:snapToGrid/>
        <w:spacing w:line="0" w:lineRule="atLeast"/>
        <w:ind w:left="0" w:leftChars="0" w:firstLine="560" w:firstLineChars="200"/>
        <w:rPr>
          <w:rFonts w:hint="eastAsia" w:ascii="仿宋_GB2312" w:hAnsi="仿宋" w:eastAsia="仿宋_GB2312" w:cs="Times New Roman"/>
          <w:bCs/>
          <w:iCs/>
          <w:sz w:val="28"/>
          <w:szCs w:val="32"/>
          <w:lang w:val="en-US" w:eastAsia="zh-CN"/>
        </w:rPr>
      </w:pPr>
      <w:r>
        <w:rPr>
          <w:rFonts w:hint="eastAsia" w:ascii="仿宋_GB2312" w:hAnsi="仿宋" w:eastAsia="仿宋_GB2312" w:cs="Times New Roman"/>
          <w:bCs/>
          <w:iCs/>
          <w:sz w:val="28"/>
          <w:szCs w:val="32"/>
          <w:lang w:val="en-US" w:eastAsia="zh-CN"/>
        </w:rPr>
        <w:t>（3）经营性单位收入与非经营性单位支出（主要是行政事业单位填写）是互斥指标，不能同时填写。作为商业企业来说，非经营性单位支出一般不填写。</w:t>
      </w:r>
      <w:bookmarkEnd w:id="113"/>
      <w:bookmarkEnd w:id="114"/>
      <w:bookmarkEnd w:id="115"/>
      <w:bookmarkEnd w:id="116"/>
    </w:p>
    <w:p>
      <w:pPr>
        <w:keepNext w:val="0"/>
        <w:keepLines w:val="0"/>
        <w:pageBreakBefore w:val="0"/>
        <w:widowControl w:val="0"/>
        <w:numPr>
          <w:ilvl w:val="0"/>
          <w:numId w:val="0"/>
        </w:numPr>
        <w:kinsoku/>
        <w:wordWrap/>
        <w:overflowPunct/>
        <w:topLinePunct w:val="0"/>
        <w:autoSpaceDE/>
        <w:autoSpaceDN/>
        <w:bidi w:val="0"/>
        <w:snapToGrid/>
        <w:spacing w:line="0" w:lineRule="atLeast"/>
        <w:ind w:firstLine="560" w:firstLineChars="200"/>
        <w:rPr>
          <w:rFonts w:hint="default"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32"/>
          <w:lang w:val="en-US" w:eastAsia="zh-CN"/>
        </w:rPr>
        <w:t>（4）</w:t>
      </w:r>
      <w:r>
        <w:rPr>
          <w:rFonts w:hint="eastAsia" w:ascii="仿宋_GB2312" w:hAnsi="仿宋" w:eastAsia="仿宋_GB2312" w:cs="Times New Roman"/>
          <w:bCs/>
          <w:iCs/>
          <w:sz w:val="28"/>
          <w:szCs w:val="28"/>
          <w:lang w:val="en-US" w:eastAsia="zh-CN"/>
        </w:rPr>
        <w:t>一般来说，108表中的分支机构数量不应多于104-6表销售网点个数，商业分支（行业代码前缀51、52、61、62）经营性单位收入之和与104-6表销售额相对应，不应小于财务表中的营业收入。</w:t>
      </w:r>
    </w:p>
    <w:p/>
    <w:p>
      <w:pPr>
        <w:pStyle w:val="5"/>
        <w:rPr>
          <w:rFonts w:hint="eastAsia"/>
        </w:rPr>
      </w:pPr>
      <w:bookmarkStart w:id="117" w:name="_Toc4988"/>
      <w:bookmarkStart w:id="118" w:name="_Toc6134"/>
      <w:bookmarkStart w:id="119" w:name="_Toc832_WPSOffice_Level2"/>
      <w:bookmarkStart w:id="120" w:name="_Toc9143"/>
      <w:bookmarkStart w:id="121" w:name="_Toc11102"/>
      <w:bookmarkStart w:id="122" w:name="_Toc31073_WPSOffice_Level2"/>
      <w:bookmarkStart w:id="123" w:name="_Toc18053"/>
      <w:bookmarkStart w:id="124" w:name="_Toc19076_WPSOffice_Level2"/>
      <w:bookmarkStart w:id="125" w:name="_Toc20045"/>
      <w:r>
        <w:rPr>
          <w:rFonts w:hint="eastAsia"/>
          <w:lang w:eastAsia="zh-CN"/>
        </w:rPr>
        <w:t>二、财务状况（</w:t>
      </w:r>
      <w:r>
        <w:rPr>
          <w:rFonts w:hint="eastAsia"/>
          <w:lang w:val="en-US" w:eastAsia="zh-CN"/>
        </w:rPr>
        <w:t>E103</w:t>
      </w:r>
      <w:r>
        <w:rPr>
          <w:rFonts w:hint="eastAsia"/>
          <w:lang w:eastAsia="zh-CN"/>
        </w:rPr>
        <w:t>）</w:t>
      </w:r>
      <w:bookmarkEnd w:id="117"/>
      <w:bookmarkEnd w:id="118"/>
      <w:bookmarkEnd w:id="119"/>
      <w:bookmarkEnd w:id="120"/>
      <w:bookmarkEnd w:id="121"/>
      <w:bookmarkEnd w:id="122"/>
      <w:bookmarkEnd w:id="123"/>
      <w:bookmarkEnd w:id="124"/>
      <w:bookmarkEnd w:id="125"/>
    </w:p>
    <w:p>
      <w:pPr>
        <w:pStyle w:val="6"/>
        <w:bidi w:val="0"/>
        <w:rPr>
          <w:rFonts w:hint="eastAsia"/>
        </w:rPr>
      </w:pPr>
      <w:bookmarkStart w:id="126" w:name="_Toc24726"/>
      <w:bookmarkStart w:id="127" w:name="_Toc15539"/>
      <w:bookmarkStart w:id="128" w:name="_Toc111"/>
      <w:bookmarkStart w:id="129" w:name="_Toc22201"/>
      <w:r>
        <w:rPr>
          <w:rFonts w:hint="eastAsia"/>
          <w:lang w:eastAsia="zh-CN"/>
        </w:rPr>
        <w:t>（一）报表</w:t>
      </w:r>
      <w:r>
        <w:rPr>
          <w:rFonts w:hint="eastAsia"/>
        </w:rPr>
        <w:t>变化</w:t>
      </w:r>
      <w:bookmarkEnd w:id="126"/>
      <w:bookmarkEnd w:id="127"/>
      <w:bookmarkEnd w:id="128"/>
      <w:bookmarkEnd w:id="129"/>
    </w:p>
    <w:p>
      <w:pPr>
        <w:spacing w:line="0" w:lineRule="atLeast"/>
        <w:ind w:firstLine="560" w:firstLineChars="200"/>
        <w:rPr>
          <w:rFonts w:hint="eastAsia" w:ascii="仿宋_GB2312" w:hAnsi="仿宋" w:eastAsia="仿宋_GB2312"/>
          <w:iCs/>
          <w:sz w:val="28"/>
          <w:szCs w:val="32"/>
          <w:lang w:eastAsia="zh-CN"/>
        </w:rPr>
      </w:pPr>
      <w:r>
        <w:rPr>
          <w:rFonts w:hint="eastAsia" w:ascii="仿宋_GB2312" w:hAnsi="仿宋" w:eastAsia="仿宋_GB2312"/>
          <w:iCs/>
          <w:sz w:val="28"/>
          <w:szCs w:val="32"/>
          <w:lang w:eastAsia="zh-CN"/>
        </w:rPr>
        <w:t>E103：删除21个第五次全国经济普查时新增单位的指标。</w:t>
      </w:r>
    </w:p>
    <w:p>
      <w:pPr>
        <w:spacing w:line="0" w:lineRule="atLeast"/>
        <w:ind w:firstLine="560" w:firstLineChars="200"/>
        <w:rPr>
          <w:rFonts w:hint="eastAsia" w:ascii="仿宋_GB2312" w:hAnsi="仿宋" w:eastAsia="仿宋_GB2312"/>
          <w:iCs/>
          <w:sz w:val="28"/>
          <w:szCs w:val="32"/>
          <w:lang w:eastAsia="zh-CN"/>
        </w:rPr>
      </w:pPr>
      <w:r>
        <w:rPr>
          <w:rFonts w:hint="eastAsia" w:ascii="仿宋_GB2312" w:hAnsi="仿宋" w:eastAsia="仿宋_GB2312"/>
          <w:iCs/>
          <w:sz w:val="28"/>
          <w:szCs w:val="32"/>
          <w:lang w:eastAsia="zh-CN"/>
        </w:rPr>
        <w:t>E103：“应付职工薪酬（本年贷方累计发生额）”修改为“应付职工薪酬（本</w:t>
      </w:r>
      <w:r>
        <w:rPr>
          <w:rFonts w:hint="eastAsia" w:ascii="仿宋_GB2312" w:hAnsi="仿宋" w:eastAsia="仿宋_GB2312"/>
          <w:iCs/>
          <w:color w:val="FF0000"/>
          <w:sz w:val="28"/>
          <w:szCs w:val="32"/>
          <w:lang w:eastAsia="zh-CN"/>
        </w:rPr>
        <w:t>期</w:t>
      </w:r>
      <w:r>
        <w:rPr>
          <w:rFonts w:hint="eastAsia" w:ascii="仿宋_GB2312" w:hAnsi="仿宋" w:eastAsia="仿宋_GB2312"/>
          <w:iCs/>
          <w:sz w:val="28"/>
          <w:szCs w:val="32"/>
          <w:lang w:eastAsia="zh-CN"/>
        </w:rPr>
        <w:t>贷方累计发生额）”，指标含义不变</w:t>
      </w:r>
    </w:p>
    <w:p>
      <w:pPr>
        <w:spacing w:line="0" w:lineRule="atLeast"/>
        <w:ind w:firstLine="560" w:firstLineChars="200"/>
        <w:rPr>
          <w:rFonts w:hint="default" w:ascii="仿宋_GB2312" w:hAnsi="仿宋" w:eastAsia="仿宋_GB2312"/>
          <w:iCs/>
          <w:sz w:val="28"/>
          <w:szCs w:val="32"/>
          <w:lang w:val="en-US" w:eastAsia="zh-CN"/>
        </w:rPr>
      </w:pPr>
      <w:r>
        <w:rPr>
          <w:rFonts w:hint="eastAsia" w:ascii="仿宋_GB2312" w:hAnsi="仿宋" w:eastAsia="仿宋_GB2312"/>
          <w:iCs/>
          <w:sz w:val="28"/>
          <w:szCs w:val="32"/>
          <w:lang w:eastAsia="zh-CN"/>
        </w:rPr>
        <w:t>E103、E203、BJE203-1：“应交增值税（本年累计发生额）”修改为“应交增值税（本</w:t>
      </w:r>
      <w:r>
        <w:rPr>
          <w:rFonts w:hint="eastAsia" w:ascii="仿宋_GB2312" w:hAnsi="仿宋" w:eastAsia="仿宋_GB2312"/>
          <w:iCs/>
          <w:color w:val="FF0000"/>
          <w:sz w:val="28"/>
          <w:szCs w:val="32"/>
          <w:lang w:eastAsia="zh-CN"/>
        </w:rPr>
        <w:t>期</w:t>
      </w:r>
      <w:r>
        <w:rPr>
          <w:rFonts w:hint="eastAsia" w:ascii="仿宋_GB2312" w:hAnsi="仿宋" w:eastAsia="仿宋_GB2312"/>
          <w:iCs/>
          <w:sz w:val="28"/>
          <w:szCs w:val="32"/>
          <w:lang w:eastAsia="zh-CN"/>
        </w:rPr>
        <w:t>累计发生额）”，指标含义不变</w:t>
      </w:r>
    </w:p>
    <w:p>
      <w:pPr>
        <w:pStyle w:val="6"/>
        <w:bidi w:val="0"/>
        <w:rPr>
          <w:rFonts w:hint="eastAsia"/>
          <w:lang w:eastAsia="zh-CN"/>
        </w:rPr>
      </w:pPr>
      <w:bookmarkStart w:id="130" w:name="_Toc21012"/>
      <w:bookmarkStart w:id="131" w:name="_Toc32555"/>
      <w:bookmarkStart w:id="132" w:name="_Toc17123"/>
      <w:bookmarkStart w:id="133" w:name="_Toc3702"/>
      <w:r>
        <w:rPr>
          <w:rFonts w:hint="eastAsia"/>
          <w:lang w:eastAsia="zh-CN"/>
        </w:rPr>
        <w:t>（二）</w:t>
      </w:r>
      <w:r>
        <w:rPr>
          <w:rFonts w:hint="eastAsia"/>
        </w:rPr>
        <w:t>填报口径</w:t>
      </w:r>
      <w:r>
        <w:rPr>
          <w:rFonts w:hint="eastAsia"/>
          <w:lang w:eastAsia="zh-CN"/>
        </w:rPr>
        <w:t>和填报范围</w:t>
      </w:r>
      <w:bookmarkEnd w:id="130"/>
      <w:bookmarkEnd w:id="131"/>
      <w:bookmarkEnd w:id="132"/>
      <w:bookmarkEnd w:id="133"/>
    </w:p>
    <w:p>
      <w:pPr>
        <w:spacing w:line="0" w:lineRule="atLeast"/>
        <w:ind w:firstLine="560" w:firstLineChars="200"/>
        <w:rPr>
          <w:rFonts w:hint="eastAsia" w:ascii="仿宋_GB2312" w:hAnsi="仿宋" w:eastAsia="仿宋_GB2312"/>
          <w:iCs/>
          <w:sz w:val="28"/>
          <w:szCs w:val="32"/>
          <w:lang w:eastAsia="zh-CN"/>
        </w:rPr>
      </w:pPr>
      <w:r>
        <w:rPr>
          <w:rFonts w:hint="eastAsia" w:ascii="仿宋_GB2312" w:hAnsi="仿宋" w:eastAsia="仿宋_GB2312"/>
          <w:iCs/>
          <w:sz w:val="28"/>
          <w:szCs w:val="32"/>
          <w:lang w:eastAsia="zh-CN"/>
        </w:rPr>
        <w:t>法人单位填报的数据中应包括本法人单位所属的全部产业活动单位的数据，不应包括其他法人单位的数据。</w:t>
      </w:r>
    </w:p>
    <w:p>
      <w:pPr>
        <w:spacing w:line="0" w:lineRule="atLeast"/>
        <w:ind w:firstLine="560" w:firstLineChars="200"/>
        <w:rPr>
          <w:rFonts w:hint="eastAsia" w:ascii="仿宋_GB2312" w:hAnsi="仿宋" w:eastAsia="仿宋_GB2312"/>
          <w:iCs/>
          <w:sz w:val="28"/>
          <w:szCs w:val="32"/>
          <w:lang w:eastAsia="zh-CN"/>
        </w:rPr>
      </w:pPr>
      <w:r>
        <w:rPr>
          <w:rFonts w:hint="eastAsia" w:ascii="仿宋_GB2312" w:hAnsi="仿宋" w:eastAsia="仿宋_GB2312"/>
          <w:iCs/>
          <w:sz w:val="28"/>
          <w:szCs w:val="32"/>
          <w:lang w:eastAsia="zh-CN"/>
        </w:rPr>
        <w:t>应该包含所有</w:t>
      </w:r>
      <w:r>
        <w:rPr>
          <w:rFonts w:hint="eastAsia" w:ascii="仿宋_GB2312" w:hAnsi="仿宋" w:eastAsia="仿宋_GB2312"/>
          <w:b/>
          <w:bCs/>
          <w:iCs/>
          <w:color w:val="FF0000"/>
          <w:sz w:val="28"/>
          <w:szCs w:val="32"/>
          <w:lang w:eastAsia="zh-CN"/>
        </w:rPr>
        <w:t>分公司</w:t>
      </w:r>
      <w:r>
        <w:rPr>
          <w:rFonts w:hint="eastAsia" w:ascii="仿宋_GB2312" w:hAnsi="仿宋" w:eastAsia="仿宋_GB2312"/>
          <w:iCs/>
          <w:sz w:val="28"/>
          <w:szCs w:val="32"/>
          <w:lang w:eastAsia="zh-CN"/>
        </w:rPr>
        <w:t>的数据，不应该包含任何</w:t>
      </w:r>
      <w:r>
        <w:rPr>
          <w:rFonts w:hint="eastAsia" w:ascii="仿宋_GB2312" w:hAnsi="仿宋" w:eastAsia="仿宋_GB2312"/>
          <w:b/>
          <w:bCs/>
          <w:iCs/>
          <w:color w:val="FF0000"/>
          <w:sz w:val="28"/>
          <w:szCs w:val="32"/>
          <w:lang w:eastAsia="zh-CN"/>
        </w:rPr>
        <w:t>子公司</w:t>
      </w:r>
      <w:r>
        <w:rPr>
          <w:rFonts w:hint="eastAsia" w:ascii="仿宋_GB2312" w:hAnsi="仿宋" w:eastAsia="仿宋_GB2312"/>
          <w:iCs/>
          <w:sz w:val="28"/>
          <w:szCs w:val="32"/>
          <w:lang w:eastAsia="zh-CN"/>
        </w:rPr>
        <w:t>数据。</w:t>
      </w:r>
    </w:p>
    <w:p>
      <w:pPr>
        <w:spacing w:line="0" w:lineRule="atLeast"/>
        <w:ind w:firstLine="560" w:firstLineChars="200"/>
        <w:rPr>
          <w:rFonts w:hint="eastAsia" w:ascii="仿宋_GB2312" w:hAnsi="仿宋" w:eastAsia="仿宋_GB2312"/>
          <w:iCs/>
          <w:sz w:val="28"/>
          <w:szCs w:val="32"/>
          <w:lang w:eastAsia="zh-CN"/>
        </w:rPr>
      </w:pPr>
      <w:r>
        <w:rPr>
          <w:rFonts w:hint="eastAsia" w:ascii="仿宋_GB2312" w:hAnsi="仿宋" w:eastAsia="仿宋_GB2312"/>
          <w:iCs/>
          <w:sz w:val="28"/>
          <w:szCs w:val="32"/>
          <w:lang w:eastAsia="zh-CN"/>
        </w:rPr>
        <w:t>如下属分公司已</w:t>
      </w:r>
      <w:r>
        <w:rPr>
          <w:rFonts w:hint="eastAsia" w:ascii="仿宋_GB2312" w:hAnsi="仿宋" w:eastAsia="仿宋_GB2312"/>
          <w:b/>
          <w:bCs/>
          <w:iCs/>
          <w:color w:val="FF0000"/>
          <w:sz w:val="28"/>
          <w:szCs w:val="32"/>
          <w:lang w:eastAsia="zh-CN"/>
        </w:rPr>
        <w:t>视同法人</w:t>
      </w:r>
      <w:r>
        <w:rPr>
          <w:rFonts w:hint="eastAsia" w:ascii="仿宋_GB2312" w:hAnsi="仿宋" w:eastAsia="仿宋_GB2312"/>
          <w:iCs/>
          <w:sz w:val="28"/>
          <w:szCs w:val="32"/>
          <w:lang w:eastAsia="zh-CN"/>
        </w:rPr>
        <w:t>，则法人单位不应该包含视同法人的产业活动单位数据。</w:t>
      </w:r>
    </w:p>
    <w:p>
      <w:pPr>
        <w:pStyle w:val="6"/>
        <w:bidi w:val="0"/>
      </w:pPr>
      <w:bookmarkStart w:id="134" w:name="_Toc10473"/>
      <w:bookmarkStart w:id="135" w:name="_Toc16138"/>
      <w:bookmarkStart w:id="136" w:name="_Toc29758"/>
      <w:bookmarkStart w:id="137" w:name="_Toc31037"/>
      <w:r>
        <w:rPr>
          <w:rFonts w:hint="eastAsia"/>
          <w:lang w:eastAsia="zh-CN"/>
        </w:rPr>
        <w:t>（三）重点指标讲解</w:t>
      </w:r>
      <w:bookmarkEnd w:id="134"/>
      <w:bookmarkEnd w:id="135"/>
      <w:bookmarkEnd w:id="136"/>
      <w:bookmarkEnd w:id="137"/>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Cs/>
          <w:iCs/>
          <w:sz w:val="28"/>
          <w:szCs w:val="28"/>
        </w:rPr>
      </w:pPr>
      <w:r>
        <w:rPr>
          <w:rFonts w:hint="eastAsia" w:ascii="仿宋_GB2312" w:hAnsi="仿宋" w:eastAsia="仿宋_GB2312"/>
          <w:b/>
          <w:iCs/>
          <w:sz w:val="28"/>
          <w:szCs w:val="28"/>
          <w:lang w:val="en-US" w:eastAsia="zh-CN"/>
        </w:rPr>
        <w:t>1.</w:t>
      </w:r>
      <w:r>
        <w:rPr>
          <w:rFonts w:hint="eastAsia" w:ascii="仿宋_GB2312" w:hAnsi="仿宋" w:eastAsia="仿宋_GB2312"/>
          <w:b/>
          <w:iCs/>
          <w:sz w:val="28"/>
          <w:szCs w:val="28"/>
        </w:rPr>
        <w:t>应交增值税（本期累计发生额）：</w:t>
      </w:r>
      <w:r>
        <w:rPr>
          <w:rFonts w:hint="eastAsia" w:ascii="仿宋_GB2312" w:hAnsi="仿宋" w:eastAsia="仿宋_GB2312"/>
          <w:bCs/>
          <w:iCs/>
          <w:sz w:val="28"/>
          <w:szCs w:val="28"/>
        </w:rPr>
        <w:t>指按照税法规定，以销售货物、服务、无形资产、不动产或提供加工、修理修配劳务的增值额和货物进口金额为计税依据而课征的一种流转税。填报本指标时，应按权责发生制核算企业本期应负担的增值税，有两种计算方法，可选其一，</w:t>
      </w:r>
      <w:r>
        <w:rPr>
          <w:rFonts w:hint="eastAsia" w:ascii="仿宋_GB2312" w:hAnsi="仿宋" w:eastAsia="仿宋_GB2312"/>
          <w:b/>
          <w:i/>
          <w:sz w:val="28"/>
          <w:szCs w:val="28"/>
          <w:u w:val="single"/>
        </w:rPr>
        <w:t>一旦确定，原则上不得更改。</w:t>
      </w:r>
    </w:p>
    <w:p>
      <w:pPr>
        <w:pStyle w:val="35"/>
        <w:keepNext w:val="0"/>
        <w:keepLines w:val="0"/>
        <w:pageBreakBefore w:val="0"/>
        <w:widowControl w:val="0"/>
        <w:numPr>
          <w:ilvl w:val="0"/>
          <w:numId w:val="6"/>
        </w:numPr>
        <w:kinsoku/>
        <w:wordWrap/>
        <w:overflowPunct/>
        <w:topLinePunct w:val="0"/>
        <w:autoSpaceDE/>
        <w:autoSpaceDN/>
        <w:bidi w:val="0"/>
        <w:adjustRightInd/>
        <w:spacing w:line="400" w:lineRule="exact"/>
        <w:ind w:left="840" w:leftChars="0" w:hanging="420" w:firstLineChars="0"/>
        <w:textAlignment w:val="auto"/>
        <w:rPr>
          <w:rFonts w:ascii="仿宋_GB2312" w:hAnsi="仿宋" w:eastAsia="仿宋_GB2312"/>
          <w:bCs/>
          <w:iCs/>
          <w:sz w:val="28"/>
          <w:szCs w:val="28"/>
        </w:rPr>
      </w:pPr>
      <w:r>
        <w:rPr>
          <w:rFonts w:hint="eastAsia" w:ascii="仿宋_GB2312" w:hAnsi="仿宋" w:eastAsia="仿宋_GB2312"/>
          <w:b/>
          <w:iCs/>
          <w:sz w:val="28"/>
          <w:szCs w:val="28"/>
        </w:rPr>
        <w:t>方法一：</w:t>
      </w:r>
    </w:p>
    <w:p>
      <w:pPr>
        <w:pStyle w:val="35"/>
        <w:keepNext w:val="0"/>
        <w:keepLines w:val="0"/>
        <w:pageBreakBefore w:val="0"/>
        <w:widowControl w:val="0"/>
        <w:numPr>
          <w:ilvl w:val="0"/>
          <w:numId w:val="0"/>
        </w:numPr>
        <w:kinsoku/>
        <w:wordWrap/>
        <w:overflowPunct/>
        <w:topLinePunct w:val="0"/>
        <w:autoSpaceDE/>
        <w:autoSpaceDN/>
        <w:bidi w:val="0"/>
        <w:adjustRightInd/>
        <w:spacing w:line="400" w:lineRule="exact"/>
        <w:ind w:firstLine="560" w:firstLineChars="200"/>
        <w:textAlignment w:val="auto"/>
        <w:rPr>
          <w:rFonts w:ascii="仿宋_GB2312" w:hAnsi="仿宋" w:eastAsia="仿宋_GB2312"/>
          <w:bCs/>
          <w:iCs/>
          <w:sz w:val="28"/>
          <w:szCs w:val="28"/>
        </w:rPr>
      </w:pPr>
      <w:r>
        <w:rPr>
          <w:rFonts w:hint="eastAsia" w:ascii="仿宋_GB2312" w:hAnsi="仿宋" w:eastAsia="仿宋_GB2312"/>
          <w:bCs/>
          <w:iCs/>
          <w:sz w:val="28"/>
          <w:szCs w:val="28"/>
        </w:rPr>
        <w:t>根据本期会计科目“销项税额”、“进项税额转出”、“出口退税”、“简易计税”年初至期末贷方累计发生额，“进项税额”、“出口抵减内销产品应纳税额”、“减免税款”年初至期末借方累计发生额，取值后按照下述公式计算填报：</w:t>
      </w:r>
    </w:p>
    <w:p>
      <w:pPr>
        <w:pStyle w:val="35"/>
        <w:keepNext w:val="0"/>
        <w:keepLines w:val="0"/>
        <w:pageBreakBefore w:val="0"/>
        <w:widowControl w:val="0"/>
        <w:kinsoku/>
        <w:wordWrap/>
        <w:overflowPunct/>
        <w:topLinePunct w:val="0"/>
        <w:autoSpaceDE/>
        <w:autoSpaceDN/>
        <w:bidi w:val="0"/>
        <w:adjustRightInd/>
        <w:spacing w:line="400" w:lineRule="exact"/>
        <w:ind w:left="400" w:leftChars="0" w:firstLine="560"/>
        <w:textAlignment w:val="auto"/>
        <w:rPr>
          <w:rFonts w:ascii="仿宋_GB2312" w:hAnsi="仿宋" w:eastAsia="仿宋_GB2312"/>
          <w:b/>
          <w:bCs w:val="0"/>
          <w:iCs/>
          <w:sz w:val="28"/>
          <w:szCs w:val="28"/>
        </w:rPr>
      </w:pPr>
      <w:r>
        <w:rPr>
          <w:rFonts w:hint="eastAsia" w:ascii="仿宋_GB2312" w:hAnsi="仿宋" w:eastAsia="仿宋_GB2312"/>
          <w:b/>
          <w:bCs w:val="0"/>
          <w:iCs/>
          <w:sz w:val="28"/>
          <w:szCs w:val="28"/>
        </w:rPr>
        <w:t>应交增值税（本期累计发生额）=销项税额－（进项税额－进项税额转出）－出口抵减内销产品应纳税额－减免税款+出口退税+</w:t>
      </w:r>
      <w:r>
        <w:rPr>
          <w:rFonts w:hint="eastAsia" w:ascii="仿宋_GB2312" w:hAnsi="仿宋" w:eastAsia="仿宋_GB2312"/>
          <w:b/>
          <w:bCs w:val="0"/>
          <w:iCs/>
          <w:color w:val="FF0000"/>
          <w:sz w:val="28"/>
          <w:szCs w:val="28"/>
          <w:u w:val="single"/>
        </w:rPr>
        <w:t>简易计税</w:t>
      </w:r>
    </w:p>
    <w:p>
      <w:pPr>
        <w:pStyle w:val="35"/>
        <w:keepNext w:val="0"/>
        <w:keepLines w:val="0"/>
        <w:pageBreakBefore w:val="0"/>
        <w:widowControl w:val="0"/>
        <w:numPr>
          <w:ilvl w:val="0"/>
          <w:numId w:val="6"/>
        </w:numPr>
        <w:kinsoku/>
        <w:wordWrap/>
        <w:overflowPunct/>
        <w:topLinePunct w:val="0"/>
        <w:autoSpaceDE/>
        <w:autoSpaceDN/>
        <w:bidi w:val="0"/>
        <w:adjustRightInd/>
        <w:spacing w:line="400" w:lineRule="exact"/>
        <w:ind w:left="840" w:leftChars="0" w:hanging="420" w:firstLineChars="0"/>
        <w:textAlignment w:val="auto"/>
        <w:rPr>
          <w:rFonts w:ascii="仿宋_GB2312" w:hAnsi="仿宋" w:eastAsia="仿宋_GB2312"/>
          <w:bCs/>
          <w:iCs/>
          <w:sz w:val="28"/>
          <w:szCs w:val="28"/>
        </w:rPr>
      </w:pPr>
      <w:r>
        <w:rPr>
          <w:rFonts w:hint="eastAsia" w:ascii="仿宋_GB2312" w:hAnsi="仿宋" w:eastAsia="仿宋_GB2312"/>
          <w:b/>
          <w:iCs/>
          <w:sz w:val="28"/>
          <w:szCs w:val="28"/>
        </w:rPr>
        <w:t>方法二：</w:t>
      </w:r>
    </w:p>
    <w:p>
      <w:pPr>
        <w:pStyle w:val="35"/>
        <w:keepNext w:val="0"/>
        <w:keepLines w:val="0"/>
        <w:pageBreakBefore w:val="0"/>
        <w:widowControl w:val="0"/>
        <w:numPr>
          <w:ilvl w:val="0"/>
          <w:numId w:val="0"/>
        </w:numPr>
        <w:kinsoku/>
        <w:wordWrap/>
        <w:overflowPunct/>
        <w:topLinePunct w:val="0"/>
        <w:autoSpaceDE/>
        <w:autoSpaceDN/>
        <w:bidi w:val="0"/>
        <w:adjustRightInd/>
        <w:spacing w:line="400" w:lineRule="exact"/>
        <w:ind w:firstLine="560" w:firstLineChars="200"/>
        <w:textAlignment w:val="auto"/>
        <w:rPr>
          <w:rFonts w:hint="eastAsia" w:ascii="仿宋_GB2312" w:hAnsi="仿宋" w:eastAsia="仿宋_GB2312"/>
          <w:bCs/>
          <w:iCs/>
          <w:sz w:val="28"/>
          <w:szCs w:val="28"/>
        </w:rPr>
      </w:pPr>
      <w:r>
        <w:rPr>
          <w:rFonts w:hint="eastAsia" w:ascii="仿宋_GB2312" w:hAnsi="仿宋" w:eastAsia="仿宋_GB2312"/>
          <w:bCs/>
          <w:iCs/>
          <w:sz w:val="28"/>
          <w:szCs w:val="28"/>
          <w:lang w:eastAsia="zh-CN"/>
        </w:rPr>
        <w:t>（</w:t>
      </w:r>
      <w:r>
        <w:rPr>
          <w:rFonts w:hint="eastAsia" w:ascii="仿宋_GB2312" w:hAnsi="仿宋" w:eastAsia="仿宋_GB2312"/>
          <w:bCs/>
          <w:iCs/>
          <w:sz w:val="28"/>
          <w:szCs w:val="28"/>
          <w:lang w:val="en-US" w:eastAsia="zh-CN"/>
        </w:rPr>
        <w:t>1</w:t>
      </w:r>
      <w:r>
        <w:rPr>
          <w:rFonts w:hint="eastAsia" w:ascii="仿宋_GB2312" w:hAnsi="仿宋" w:eastAsia="仿宋_GB2312"/>
          <w:bCs/>
          <w:iCs/>
          <w:sz w:val="28"/>
          <w:szCs w:val="28"/>
          <w:lang w:eastAsia="zh-CN"/>
        </w:rPr>
        <w:t>）</w:t>
      </w:r>
      <w:r>
        <w:rPr>
          <w:rFonts w:hint="eastAsia" w:ascii="仿宋_GB2312" w:hAnsi="仿宋" w:eastAsia="仿宋_GB2312"/>
          <w:bCs/>
          <w:iCs/>
          <w:sz w:val="28"/>
          <w:szCs w:val="28"/>
        </w:rPr>
        <w:t>根据本期《增值税及附加税费申报表（一般纳税人适用）》（以“国家税务总局公告2021年第20号”版式为例）主表“销项税额”（第11栏）、“进项税额”（第12栏）、“进项税额转出”（第14栏）、“免、抵、退应退税额”（第15栏）、“简易计税办法计算的应纳税额”（第21栏）、“按简易计税办法计算的纳税检查应补缴税额”（第22栏）、“应纳税额减征额”（第23栏）栏目“一般项目”列中“本年累计”列，各期附表4“税额抵减情况表”（第6行第2列减第3列）“本期发生额”-“本期调减额”的本期累计数（政策有效期内，符合加计抵减条件的企业填报），按照下述公式计算填报：</w:t>
      </w:r>
    </w:p>
    <w:p>
      <w:pPr>
        <w:pStyle w:val="35"/>
        <w:keepNext w:val="0"/>
        <w:keepLines w:val="0"/>
        <w:pageBreakBefore w:val="0"/>
        <w:widowControl w:val="0"/>
        <w:numPr>
          <w:ilvl w:val="0"/>
          <w:numId w:val="0"/>
        </w:numPr>
        <w:kinsoku/>
        <w:wordWrap/>
        <w:overflowPunct/>
        <w:topLinePunct w:val="0"/>
        <w:autoSpaceDE/>
        <w:autoSpaceDN/>
        <w:bidi w:val="0"/>
        <w:adjustRightInd/>
        <w:spacing w:line="400" w:lineRule="exact"/>
        <w:ind w:firstLine="560" w:firstLineChars="200"/>
        <w:textAlignment w:val="auto"/>
        <w:rPr>
          <w:rFonts w:hint="eastAsia" w:ascii="仿宋_GB2312" w:hAnsi="仿宋" w:eastAsia="仿宋_GB2312"/>
          <w:b/>
          <w:bCs w:val="0"/>
          <w:iCs/>
          <w:color w:val="FF0000"/>
          <w:sz w:val="28"/>
          <w:szCs w:val="28"/>
        </w:rPr>
      </w:pPr>
      <w:r>
        <w:rPr>
          <w:rFonts w:hint="eastAsia" w:ascii="仿宋_GB2312" w:hAnsi="仿宋" w:eastAsia="仿宋_GB2312"/>
          <w:b/>
          <w:bCs w:val="0"/>
          <w:iCs/>
          <w:sz w:val="28"/>
          <w:szCs w:val="28"/>
        </w:rPr>
        <w:t>应交增值税（本期累计发生额）=销项税额－（进项税额－进项税额转出－免、抵、退应退税额）+简易计税办法计算的应纳税额+按简易计税办法计算的纳税检查应补缴税额－应纳税额减征额</w:t>
      </w:r>
      <w:r>
        <w:rPr>
          <w:rFonts w:hint="eastAsia" w:ascii="仿宋_GB2312" w:hAnsi="仿宋" w:eastAsia="仿宋_GB2312"/>
          <w:b/>
          <w:bCs w:val="0"/>
          <w:iCs/>
          <w:color w:val="FF0000"/>
          <w:sz w:val="28"/>
          <w:szCs w:val="28"/>
        </w:rPr>
        <w:t>-加计抵减额</w:t>
      </w:r>
    </w:p>
    <w:p>
      <w:pPr>
        <w:pStyle w:val="35"/>
        <w:keepNext w:val="0"/>
        <w:keepLines w:val="0"/>
        <w:pageBreakBefore w:val="0"/>
        <w:widowControl w:val="0"/>
        <w:numPr>
          <w:ilvl w:val="0"/>
          <w:numId w:val="0"/>
        </w:numPr>
        <w:kinsoku/>
        <w:wordWrap/>
        <w:overflowPunct/>
        <w:topLinePunct w:val="0"/>
        <w:autoSpaceDE/>
        <w:autoSpaceDN/>
        <w:bidi w:val="0"/>
        <w:adjustRightInd/>
        <w:spacing w:line="400" w:lineRule="exact"/>
        <w:ind w:firstLine="560" w:firstLineChars="200"/>
        <w:textAlignment w:val="auto"/>
        <w:rPr>
          <w:rFonts w:hint="eastAsia" w:ascii="仿宋_GB2312" w:hAnsi="仿宋" w:eastAsia="仿宋_GB2312"/>
          <w:bCs/>
          <w:iCs/>
          <w:sz w:val="28"/>
          <w:szCs w:val="28"/>
        </w:rPr>
      </w:pPr>
      <w:r>
        <w:rPr>
          <w:rFonts w:hint="eastAsia" w:ascii="仿宋_GB2312" w:hAnsi="仿宋" w:eastAsia="仿宋_GB2312"/>
          <w:bCs/>
          <w:iCs/>
          <w:sz w:val="28"/>
          <w:szCs w:val="28"/>
          <w:lang w:eastAsia="zh-CN"/>
        </w:rPr>
        <w:t>（</w:t>
      </w:r>
      <w:r>
        <w:rPr>
          <w:rFonts w:hint="eastAsia" w:ascii="仿宋_GB2312" w:hAnsi="仿宋" w:eastAsia="仿宋_GB2312"/>
          <w:bCs/>
          <w:iCs/>
          <w:sz w:val="28"/>
          <w:szCs w:val="28"/>
          <w:lang w:val="en-US" w:eastAsia="zh-CN"/>
        </w:rPr>
        <w:t>2</w:t>
      </w:r>
      <w:r>
        <w:rPr>
          <w:rFonts w:hint="eastAsia" w:ascii="仿宋_GB2312" w:hAnsi="仿宋" w:eastAsia="仿宋_GB2312"/>
          <w:bCs/>
          <w:iCs/>
          <w:sz w:val="28"/>
          <w:szCs w:val="28"/>
          <w:lang w:eastAsia="zh-CN"/>
        </w:rPr>
        <w:t>）小规模纳税人：</w:t>
      </w:r>
      <w:r>
        <w:rPr>
          <w:rFonts w:hint="eastAsia" w:ascii="仿宋_GB2312" w:hAnsi="仿宋" w:eastAsia="仿宋_GB2312"/>
          <w:bCs/>
          <w:iCs/>
          <w:sz w:val="28"/>
          <w:szCs w:val="28"/>
        </w:rPr>
        <w:t>月销售额超过10万元或季度销售额超过30万元：适用3%征收率的应税销售收入减按1%征收率征收增值税的，应将减按1%征收率征收增值税的销售额填写在《增值税及附加税费申报表（小规模纳税人适用）》“应征增值税不含税销售额（3%征收率）”相应栏次，按销售额的2%计算的减征额填写在“本期应纳税额减征额”及《增值税减免税申报明细表》减税项目相应栏次 ，此时统计应交增值税指标时，应取</w:t>
      </w:r>
      <w:r>
        <w:rPr>
          <w:rFonts w:hint="eastAsia" w:ascii="仿宋_GB2312" w:hAnsi="仿宋" w:eastAsia="仿宋_GB2312"/>
          <w:b/>
          <w:bCs w:val="0"/>
          <w:iCs/>
          <w:color w:val="FF0000"/>
          <w:sz w:val="28"/>
          <w:szCs w:val="28"/>
        </w:rPr>
        <w:t>“本期应纳税额”的本年累计数</w:t>
      </w:r>
      <w:r>
        <w:rPr>
          <w:rFonts w:hint="eastAsia" w:ascii="仿宋_GB2312" w:hAnsi="仿宋" w:eastAsia="仿宋_GB2312"/>
          <w:b/>
          <w:bCs w:val="0"/>
          <w:iCs/>
          <w:sz w:val="28"/>
          <w:szCs w:val="28"/>
        </w:rPr>
        <w:t>，即按1%征收率计算的应纳税额的本年累计数</w:t>
      </w:r>
      <w:r>
        <w:rPr>
          <w:rFonts w:hint="eastAsia" w:ascii="仿宋_GB2312" w:hAnsi="仿宋" w:eastAsia="仿宋_GB2312"/>
          <w:bCs/>
          <w:iCs/>
          <w:sz w:val="28"/>
          <w:szCs w:val="28"/>
        </w:rPr>
        <w:t>，而非“应纳税额合计”的本年累计数。</w:t>
      </w:r>
    </w:p>
    <w:p>
      <w:pPr>
        <w:pStyle w:val="35"/>
        <w:keepNext w:val="0"/>
        <w:keepLines w:val="0"/>
        <w:pageBreakBefore w:val="0"/>
        <w:widowControl w:val="0"/>
        <w:numPr>
          <w:ilvl w:val="0"/>
          <w:numId w:val="6"/>
        </w:numPr>
        <w:kinsoku/>
        <w:wordWrap/>
        <w:overflowPunct/>
        <w:topLinePunct w:val="0"/>
        <w:autoSpaceDE/>
        <w:autoSpaceDN/>
        <w:bidi w:val="0"/>
        <w:adjustRightInd/>
        <w:spacing w:line="400" w:lineRule="exact"/>
        <w:ind w:left="840" w:leftChars="0" w:hanging="420" w:firstLineChars="0"/>
        <w:textAlignment w:val="auto"/>
        <w:rPr>
          <w:rFonts w:ascii="仿宋_GB2312" w:hAnsi="仿宋" w:eastAsia="仿宋_GB2312"/>
          <w:bCs/>
          <w:iCs/>
          <w:sz w:val="28"/>
          <w:szCs w:val="28"/>
        </w:rPr>
      </w:pPr>
      <w:r>
        <w:rPr>
          <w:rFonts w:hint="eastAsia" w:ascii="仿宋_GB2312" w:hAnsi="仿宋" w:eastAsia="仿宋_GB2312"/>
          <w:bCs/>
          <w:iCs/>
          <w:sz w:val="28"/>
          <w:szCs w:val="28"/>
        </w:rPr>
        <w:t>计算方法说明及填报要求：</w:t>
      </w:r>
    </w:p>
    <w:p>
      <w:pPr>
        <w:pStyle w:val="35"/>
        <w:keepNext w:val="0"/>
        <w:keepLines w:val="0"/>
        <w:pageBreakBefore w:val="0"/>
        <w:widowControl w:val="0"/>
        <w:kinsoku/>
        <w:wordWrap/>
        <w:overflowPunct/>
        <w:topLinePunct w:val="0"/>
        <w:autoSpaceDE/>
        <w:autoSpaceDN/>
        <w:bidi w:val="0"/>
        <w:adjustRightInd/>
        <w:spacing w:line="400" w:lineRule="exact"/>
        <w:ind w:firstLine="560"/>
        <w:textAlignment w:val="auto"/>
        <w:rPr>
          <w:rFonts w:ascii="仿宋_GB2312" w:hAnsi="仿宋" w:eastAsia="仿宋_GB2312"/>
          <w:bCs/>
          <w:iCs/>
          <w:sz w:val="28"/>
          <w:szCs w:val="28"/>
        </w:rPr>
      </w:pPr>
      <w:r>
        <w:rPr>
          <w:rFonts w:hint="eastAsia" w:ascii="仿宋_GB2312" w:hAnsi="仿宋" w:eastAsia="仿宋_GB2312"/>
          <w:bCs/>
          <w:iCs/>
          <w:sz w:val="28"/>
          <w:szCs w:val="28"/>
        </w:rPr>
        <w:t>（1）计算公式均体现</w:t>
      </w:r>
      <w:r>
        <w:rPr>
          <w:rFonts w:hint="eastAsia" w:ascii="仿宋_GB2312" w:hAnsi="仿宋" w:eastAsia="仿宋_GB2312"/>
          <w:b/>
          <w:bCs w:val="0"/>
          <w:iCs/>
          <w:sz w:val="28"/>
          <w:szCs w:val="28"/>
        </w:rPr>
        <w:t>权责发生制</w:t>
      </w:r>
      <w:r>
        <w:rPr>
          <w:rFonts w:hint="eastAsia" w:ascii="仿宋_GB2312" w:hAnsi="仿宋" w:eastAsia="仿宋_GB2312"/>
          <w:bCs/>
          <w:iCs/>
          <w:sz w:val="28"/>
          <w:szCs w:val="28"/>
        </w:rPr>
        <w:t>，本期发生的进项税额全部参与计算，相当于不设置留抵，同时也不抵扣会计账簿或增值税纳税申报表中上年年末留抵的进项税额，</w:t>
      </w:r>
      <w:r>
        <w:rPr>
          <w:rFonts w:hint="eastAsia" w:ascii="仿宋_GB2312" w:hAnsi="仿宋" w:eastAsia="仿宋_GB2312"/>
          <w:b/>
          <w:bCs w:val="0"/>
          <w:iCs/>
          <w:sz w:val="28"/>
          <w:szCs w:val="28"/>
        </w:rPr>
        <w:t>公式计算结果可以为负数</w:t>
      </w:r>
      <w:r>
        <w:rPr>
          <w:rFonts w:hint="eastAsia" w:ascii="仿宋_GB2312" w:hAnsi="仿宋" w:eastAsia="仿宋_GB2312"/>
          <w:bCs/>
          <w:iCs/>
          <w:sz w:val="28"/>
          <w:szCs w:val="28"/>
        </w:rPr>
        <w:t>。</w:t>
      </w:r>
    </w:p>
    <w:p>
      <w:pPr>
        <w:pStyle w:val="35"/>
        <w:keepNext w:val="0"/>
        <w:keepLines w:val="0"/>
        <w:pageBreakBefore w:val="0"/>
        <w:widowControl w:val="0"/>
        <w:kinsoku/>
        <w:wordWrap/>
        <w:overflowPunct/>
        <w:topLinePunct w:val="0"/>
        <w:autoSpaceDE/>
        <w:autoSpaceDN/>
        <w:bidi w:val="0"/>
        <w:adjustRightInd/>
        <w:spacing w:line="400" w:lineRule="exact"/>
        <w:ind w:firstLine="560"/>
        <w:textAlignment w:val="auto"/>
        <w:rPr>
          <w:rFonts w:hint="eastAsia" w:ascii="仿宋_GB2312" w:hAnsi="仿宋" w:eastAsia="仿宋_GB2312"/>
          <w:bCs/>
          <w:iCs/>
          <w:sz w:val="28"/>
          <w:szCs w:val="28"/>
        </w:rPr>
      </w:pPr>
      <w:r>
        <w:rPr>
          <w:rFonts w:hint="eastAsia" w:ascii="仿宋_GB2312" w:hAnsi="仿宋" w:eastAsia="仿宋_GB2312"/>
          <w:bCs/>
          <w:iCs/>
          <w:sz w:val="28"/>
          <w:szCs w:val="28"/>
        </w:rPr>
        <w:t>（2）按照公式计算本指标后，不应再加增值税减免税额，因为这部分价值不再形成企业缴纳义务。</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hint="eastAsia" w:ascii="仿宋_GB2312" w:hAnsi="仿宋" w:eastAsia="仿宋_GB2312"/>
          <w:bCs/>
          <w:iCs/>
          <w:sz w:val="28"/>
          <w:szCs w:val="28"/>
        </w:rPr>
      </w:pPr>
      <w:r>
        <w:rPr>
          <w:rFonts w:hint="eastAsia" w:ascii="仿宋_GB2312" w:hAnsi="仿宋" w:eastAsia="仿宋_GB2312"/>
          <w:b/>
          <w:bCs/>
          <w:iCs/>
          <w:sz w:val="28"/>
          <w:szCs w:val="28"/>
          <w:lang w:val="en-US" w:eastAsia="zh-CN"/>
        </w:rPr>
        <w:t>2.</w:t>
      </w:r>
      <w:r>
        <w:rPr>
          <w:rFonts w:hint="eastAsia" w:ascii="仿宋_GB2312" w:hAnsi="仿宋" w:eastAsia="仿宋_GB2312"/>
          <w:b/>
          <w:bCs/>
          <w:iCs/>
          <w:sz w:val="28"/>
          <w:szCs w:val="28"/>
        </w:rPr>
        <w:t>应付职工薪酬</w:t>
      </w:r>
      <w:r>
        <w:rPr>
          <w:rFonts w:hint="eastAsia" w:ascii="仿宋_GB2312" w:hAnsi="仿宋" w:eastAsia="仿宋_GB2312"/>
          <w:bCs/>
          <w:iCs/>
          <w:sz w:val="28"/>
          <w:szCs w:val="28"/>
        </w:rPr>
        <w:t>：指企业为获得职工提供的服务或解除劳动关系而给予的各种形式的报酬或补偿。包括职工工资、奖金、津贴和补贴，职工福利费，医疗保险费、养老保险费、失业保险费、工伤保险费和生育保险费等社会保险费，住房公积金，工会经费和职工教育经费，带薪缺勤，利润分享计划，非货币性福利，辞退福利和其他为获得职工提供的服务而给予的报酬或补偿。其中，社会保险和住房公积金应包括单位和个人负担部分。</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hint="eastAsia" w:ascii="仿宋_GB2312" w:hAnsi="仿宋" w:eastAsia="仿宋_GB2312"/>
          <w:bCs/>
          <w:iCs/>
          <w:sz w:val="28"/>
          <w:szCs w:val="28"/>
          <w:lang w:eastAsia="zh-CN"/>
        </w:rPr>
      </w:pPr>
      <w:r>
        <w:rPr>
          <w:rFonts w:hint="eastAsia" w:ascii="仿宋_GB2312" w:hAnsi="仿宋" w:eastAsia="仿宋_GB2312"/>
          <w:bCs/>
          <w:iCs/>
          <w:sz w:val="28"/>
          <w:szCs w:val="28"/>
        </w:rPr>
        <w:t>填报时强调科目完成性原则，按照指标解释中的内容合并汇总进行填报，一般只做“加法”，不做“减法”。例：如一些改制的国企，离退休人员的工资也包含在薪酬或相关科目里，填报时不需要剔除</w:t>
      </w:r>
      <w:r>
        <w:rPr>
          <w:rFonts w:hint="eastAsia" w:ascii="仿宋_GB2312" w:hAnsi="仿宋" w:eastAsia="仿宋_GB2312"/>
          <w:bCs/>
          <w:iCs/>
          <w:sz w:val="28"/>
          <w:szCs w:val="28"/>
          <w:lang w:eastAsia="zh-CN"/>
        </w:rPr>
        <w:t>。请注意，</w:t>
      </w:r>
      <w:r>
        <w:rPr>
          <w:rFonts w:hint="eastAsia" w:ascii="仿宋_GB2312" w:hAnsi="仿宋" w:eastAsia="仿宋_GB2312"/>
          <w:bCs/>
          <w:iCs/>
          <w:sz w:val="28"/>
          <w:szCs w:val="28"/>
        </w:rPr>
        <w:t>社保、住房公积金等包含公司和个人缴纳两部分</w:t>
      </w:r>
      <w:r>
        <w:rPr>
          <w:rFonts w:hint="eastAsia" w:ascii="仿宋_GB2312" w:hAnsi="仿宋" w:eastAsia="仿宋_GB2312"/>
          <w:bCs/>
          <w:iCs/>
          <w:sz w:val="28"/>
          <w:szCs w:val="28"/>
          <w:lang w:eastAsia="zh-CN"/>
        </w:rPr>
        <w:t>；此外，外籍、港澳台人员的薪酬也应包含在内。</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hint="eastAsia" w:ascii="仿宋_GB2312" w:hAnsi="仿宋" w:eastAsia="仿宋_GB2312"/>
          <w:bCs/>
          <w:iCs/>
          <w:sz w:val="28"/>
          <w:szCs w:val="28"/>
        </w:rPr>
      </w:pPr>
      <w:r>
        <w:rPr>
          <w:rFonts w:hint="eastAsia" w:ascii="仿宋_GB2312" w:hAnsi="仿宋" w:eastAsia="仿宋_GB2312"/>
          <w:bCs/>
          <w:iCs/>
          <w:sz w:val="28"/>
          <w:szCs w:val="28"/>
        </w:rPr>
        <w:t>“应付职工薪酬”应</w:t>
      </w:r>
      <w:r>
        <w:rPr>
          <w:rFonts w:hint="eastAsia" w:ascii="仿宋_GB2312" w:hAnsi="仿宋" w:eastAsia="仿宋_GB2312"/>
          <w:b/>
          <w:bCs w:val="0"/>
          <w:iCs/>
          <w:sz w:val="28"/>
          <w:szCs w:val="28"/>
        </w:rPr>
        <w:t>包含“劳务派遣人员薪酬”</w:t>
      </w:r>
      <w:r>
        <w:rPr>
          <w:rFonts w:hint="eastAsia" w:ascii="仿宋_GB2312" w:hAnsi="仿宋" w:eastAsia="仿宋_GB2312"/>
          <w:bCs/>
          <w:iCs/>
          <w:sz w:val="28"/>
          <w:szCs w:val="28"/>
        </w:rPr>
        <w:t>。如果企业没有劳务派遣人员或“应付职工薪酬”会计科目核算范围已包含“劳务派遣人员薪酬”，但不设置明细科目单独核算，而是按类别拆分，分别计入“应付职工薪酬”会计科目下的工资、奖金、津贴和补贴、福利费等明细科目，执行企业会计准则或《小企业会计准则》的企业，根据财务报告“应付职工薪酬列示”合计项本期增加额，或会计“应付职工薪酬”科目本期贷方累计发生额填报；执行其他企业会计制度的企业或“应付职工薪酬”科目内容与统计口径不一致的，需按统计口径归并填报。如果企业“应付职工薪酬”会计科目的核算范围不包含“劳务派遣人员薪酬”，则应加“劳务派遣人员薪酬”后填报“应付职工薪酬”统计指标。“劳务派遣人员薪酬”</w:t>
      </w:r>
      <w:r>
        <w:rPr>
          <w:rFonts w:hint="eastAsia" w:ascii="仿宋_GB2312" w:hAnsi="仿宋" w:eastAsia="仿宋_GB2312"/>
          <w:b/>
          <w:bCs w:val="0"/>
          <w:iCs/>
          <w:sz w:val="28"/>
          <w:szCs w:val="28"/>
        </w:rPr>
        <w:t>不含因使用劳务派遣人员而支付的管理费用和其他用工成本。</w:t>
      </w:r>
      <w:r>
        <w:rPr>
          <w:rFonts w:hint="eastAsia" w:ascii="仿宋_GB2312" w:hAnsi="仿宋" w:eastAsia="仿宋_GB2312"/>
          <w:bCs/>
          <w:iCs/>
          <w:sz w:val="28"/>
          <w:szCs w:val="28"/>
        </w:rPr>
        <w:t>劳务派遣人员的薪酬不包含支付给派遣公司的管理费和其他用工成本，“劳务外包人员薪酬”由劳务承包方（派出方）统计并填报。</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
          <w:bCs/>
          <w:i/>
          <w:sz w:val="28"/>
          <w:szCs w:val="28"/>
          <w:u w:val="single"/>
        </w:rPr>
      </w:pPr>
      <w:r>
        <w:rPr>
          <w:rFonts w:hint="eastAsia" w:ascii="仿宋_GB2312" w:hAnsi="仿宋" w:eastAsia="仿宋_GB2312"/>
          <w:b/>
          <w:bCs/>
          <w:iCs/>
          <w:sz w:val="28"/>
          <w:szCs w:val="28"/>
          <w:lang w:val="en-US" w:eastAsia="zh-CN"/>
        </w:rPr>
        <w:t>3.</w:t>
      </w:r>
      <w:r>
        <w:rPr>
          <w:rFonts w:hint="eastAsia" w:ascii="仿宋_GB2312" w:hAnsi="仿宋" w:eastAsia="仿宋_GB2312"/>
          <w:b/>
          <w:bCs/>
          <w:iCs/>
          <w:sz w:val="28"/>
          <w:szCs w:val="28"/>
        </w:rPr>
        <w:t>从事批零、住餐从业人员平均人数</w:t>
      </w:r>
      <w:r>
        <w:rPr>
          <w:rFonts w:ascii="仿宋_GB2312" w:hAnsi="仿宋" w:eastAsia="仿宋_GB2312"/>
          <w:b/>
          <w:bCs/>
          <w:iCs/>
          <w:sz w:val="28"/>
          <w:szCs w:val="28"/>
        </w:rPr>
        <w:t>：</w:t>
      </w:r>
      <w:r>
        <w:rPr>
          <w:rFonts w:hint="eastAsia" w:ascii="仿宋_GB2312" w:hAnsi="仿宋" w:eastAsia="仿宋_GB2312"/>
          <w:bCs/>
          <w:iCs/>
          <w:sz w:val="28"/>
          <w:szCs w:val="28"/>
        </w:rPr>
        <w:t>按照“谁用工谁统计”，</w:t>
      </w:r>
      <w:r>
        <w:rPr>
          <w:rFonts w:hint="eastAsia" w:ascii="仿宋_GB2312" w:hAnsi="仿宋" w:eastAsia="仿宋_GB2312"/>
          <w:b/>
          <w:bCs/>
          <w:iCs/>
          <w:sz w:val="28"/>
          <w:szCs w:val="28"/>
        </w:rPr>
        <w:t>包括：</w:t>
      </w:r>
      <w:r>
        <w:rPr>
          <w:rFonts w:hint="eastAsia" w:ascii="仿宋_GB2312" w:hAnsi="仿宋" w:eastAsia="仿宋_GB2312"/>
          <w:bCs/>
          <w:iCs/>
          <w:sz w:val="28"/>
          <w:szCs w:val="28"/>
        </w:rPr>
        <w:t>正式人员+劳务派遣人员+其他从业人员（包含非全日制、退休返聘、兼职、领取报酬或补贴的打工学生、外籍和港澳台人员）；</w:t>
      </w:r>
      <w:r>
        <w:rPr>
          <w:rFonts w:hint="eastAsia" w:ascii="仿宋_GB2312" w:hAnsi="仿宋" w:eastAsia="仿宋_GB2312"/>
          <w:b/>
          <w:bCs/>
          <w:iCs/>
          <w:sz w:val="28"/>
          <w:szCs w:val="28"/>
        </w:rPr>
        <w:t>不包括：</w:t>
      </w:r>
      <w:r>
        <w:rPr>
          <w:rFonts w:hint="eastAsia" w:ascii="仿宋_GB2312" w:hAnsi="仿宋" w:eastAsia="仿宋_GB2312"/>
          <w:iCs/>
          <w:sz w:val="28"/>
          <w:szCs w:val="28"/>
        </w:rPr>
        <w:t>在本企业领取工资、股息、红利但未参加商业活动的人员（如离休人员、退休人员、不参与经营的股东），医疗、教育等为企业提供社会性服务活动的人员；离开本单位仍保留劳动关系，并定期领取生活费的人员（如长期病休人员）；不领工资的各类实习生；劳务外包人员，如：外包的保安或保洁、施工建筑工人、因政策派遣改外包的人员。</w:t>
      </w:r>
      <w:r>
        <w:rPr>
          <w:rFonts w:hint="eastAsia" w:ascii="仿宋_GB2312" w:hAnsi="仿宋" w:eastAsia="仿宋_GB2312"/>
          <w:b/>
          <w:bCs/>
          <w:i/>
          <w:color w:val="FF0000"/>
          <w:sz w:val="28"/>
          <w:szCs w:val="28"/>
          <w:u w:val="single"/>
        </w:rPr>
        <w:t>注意：在年内新成立的单位年平均人数计算方法为：从实际开工之月起到年底的月平均人数相加除以12个月。</w:t>
      </w:r>
    </w:p>
    <w:p>
      <w:pPr>
        <w:pStyle w:val="35"/>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仿宋" w:eastAsia="仿宋_GB2312"/>
          <w:b/>
          <w:i/>
          <w:sz w:val="28"/>
          <w:szCs w:val="28"/>
          <w:u w:val="single"/>
        </w:rPr>
      </w:pPr>
      <w:r>
        <w:rPr>
          <w:rFonts w:hint="eastAsia" w:ascii="仿宋_GB2312" w:hAnsi="仿宋" w:eastAsia="仿宋_GB2312"/>
          <w:b/>
          <w:bCs/>
          <w:iCs/>
          <w:sz w:val="28"/>
          <w:szCs w:val="28"/>
          <w:lang w:val="en-US" w:eastAsia="zh-CN"/>
        </w:rPr>
        <w:t>4.</w:t>
      </w:r>
      <w:r>
        <w:rPr>
          <w:rFonts w:hint="eastAsia" w:ascii="仿宋_GB2312" w:hAnsi="仿宋" w:eastAsia="仿宋_GB2312"/>
          <w:b/>
          <w:bCs/>
          <w:iCs/>
          <w:sz w:val="28"/>
          <w:szCs w:val="28"/>
        </w:rPr>
        <w:t>年初存货</w:t>
      </w:r>
      <w:r>
        <w:rPr>
          <w:rFonts w:hint="eastAsia" w:ascii="仿宋_GB2312" w:hAnsi="仿宋" w:eastAsia="仿宋_GB2312"/>
          <w:bCs/>
          <w:iCs/>
          <w:sz w:val="28"/>
          <w:szCs w:val="28"/>
        </w:rPr>
        <w:t>：202</w:t>
      </w:r>
      <w:r>
        <w:rPr>
          <w:rFonts w:hint="eastAsia" w:ascii="仿宋_GB2312" w:hAnsi="仿宋" w:eastAsia="仿宋_GB2312"/>
          <w:bCs/>
          <w:iCs/>
          <w:sz w:val="28"/>
          <w:szCs w:val="28"/>
          <w:lang w:val="en-US" w:eastAsia="zh-CN"/>
        </w:rPr>
        <w:t>4</w:t>
      </w:r>
      <w:r>
        <w:rPr>
          <w:rFonts w:hint="eastAsia" w:ascii="仿宋_GB2312" w:hAnsi="仿宋" w:eastAsia="仿宋_GB2312"/>
          <w:bCs/>
          <w:iCs/>
          <w:sz w:val="28"/>
          <w:szCs w:val="28"/>
        </w:rPr>
        <w:t>年1月1日时点数，根据会计“资产负债表”中“存货”项目的年初余额数填报。</w:t>
      </w:r>
      <w:r>
        <w:rPr>
          <w:rFonts w:hint="eastAsia" w:ascii="仿宋_GB2312" w:hAnsi="仿宋" w:eastAsia="仿宋_GB2312"/>
          <w:b/>
          <w:i/>
          <w:color w:val="FF0000"/>
          <w:sz w:val="28"/>
          <w:szCs w:val="28"/>
          <w:u w:val="single"/>
        </w:rPr>
        <w:t>无形资产不能算存货。</w:t>
      </w:r>
    </w:p>
    <w:p>
      <w:pPr>
        <w:pStyle w:val="35"/>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5.</w:t>
      </w:r>
      <w:r>
        <w:rPr>
          <w:rFonts w:hint="eastAsia" w:ascii="仿宋_GB2312" w:hAnsi="仿宋" w:eastAsia="仿宋_GB2312"/>
          <w:b/>
          <w:bCs/>
          <w:iCs/>
          <w:sz w:val="28"/>
          <w:szCs w:val="28"/>
        </w:rPr>
        <w:t>存货</w:t>
      </w:r>
      <w:r>
        <w:rPr>
          <w:rFonts w:hint="eastAsia" w:ascii="仿宋_GB2312" w:hAnsi="仿宋" w:eastAsia="仿宋_GB2312"/>
          <w:bCs/>
          <w:iCs/>
          <w:sz w:val="28"/>
          <w:szCs w:val="28"/>
        </w:rPr>
        <w:t>：202</w:t>
      </w:r>
      <w:r>
        <w:rPr>
          <w:rFonts w:hint="eastAsia" w:ascii="仿宋_GB2312" w:hAnsi="仿宋" w:eastAsia="仿宋_GB2312"/>
          <w:bCs/>
          <w:iCs/>
          <w:sz w:val="28"/>
          <w:szCs w:val="28"/>
          <w:lang w:val="en-US" w:eastAsia="zh-CN"/>
        </w:rPr>
        <w:t>4</w:t>
      </w:r>
      <w:r>
        <w:rPr>
          <w:rFonts w:hint="eastAsia" w:ascii="仿宋_GB2312" w:hAnsi="仿宋" w:eastAsia="仿宋_GB2312"/>
          <w:bCs/>
          <w:iCs/>
          <w:sz w:val="28"/>
          <w:szCs w:val="28"/>
        </w:rPr>
        <w:t>年12月31日时点数，根据会计“资产负债表”中“存货”项目的期末余额数填报。</w:t>
      </w:r>
      <w:r>
        <w:rPr>
          <w:rFonts w:hint="eastAsia" w:ascii="仿宋_GB2312" w:hAnsi="仿宋" w:eastAsia="仿宋_GB2312"/>
          <w:b/>
          <w:i/>
          <w:color w:val="FF0000"/>
          <w:sz w:val="28"/>
          <w:szCs w:val="28"/>
          <w:u w:val="single"/>
        </w:rPr>
        <w:t>无形资产不能算存货。</w:t>
      </w:r>
    </w:p>
    <w:p>
      <w:pPr>
        <w:pStyle w:val="35"/>
        <w:keepNext w:val="0"/>
        <w:keepLines w:val="0"/>
        <w:pageBreakBefore w:val="0"/>
        <w:widowControl w:val="0"/>
        <w:kinsoku/>
        <w:wordWrap/>
        <w:overflowPunct/>
        <w:topLinePunct w:val="0"/>
        <w:autoSpaceDE/>
        <w:autoSpaceDN/>
        <w:bidi w:val="0"/>
        <w:adjustRightInd/>
        <w:snapToGrid/>
        <w:spacing w:line="400" w:lineRule="exact"/>
        <w:ind w:left="0" w:leftChars="0" w:firstLine="562"/>
        <w:textAlignment w:val="auto"/>
        <w:rPr>
          <w:rFonts w:ascii="仿宋_GB2312" w:hAnsi="仿宋" w:eastAsia="仿宋_GB2312"/>
          <w:b/>
          <w:i/>
          <w:sz w:val="28"/>
          <w:szCs w:val="28"/>
          <w:u w:val="single"/>
        </w:rPr>
      </w:pPr>
      <w:r>
        <w:rPr>
          <w:rFonts w:hint="eastAsia" w:ascii="仿宋_GB2312" w:hAnsi="仿宋" w:eastAsia="仿宋_GB2312"/>
          <w:b/>
          <w:iCs/>
          <w:sz w:val="28"/>
          <w:szCs w:val="28"/>
          <w:lang w:val="en-US" w:eastAsia="zh-CN"/>
        </w:rPr>
        <w:t>6.</w:t>
      </w:r>
      <w:r>
        <w:rPr>
          <w:rFonts w:hint="eastAsia" w:ascii="仿宋_GB2312" w:hAnsi="仿宋" w:eastAsia="仿宋_GB2312"/>
          <w:b/>
          <w:iCs/>
          <w:sz w:val="28"/>
          <w:szCs w:val="28"/>
        </w:rPr>
        <w:t>房屋和构筑物：</w:t>
      </w:r>
      <w:r>
        <w:rPr>
          <w:rFonts w:hint="eastAsia" w:ascii="仿宋_GB2312" w:hAnsi="仿宋" w:eastAsia="仿宋_GB2312"/>
          <w:bCs/>
          <w:iCs/>
          <w:sz w:val="28"/>
          <w:szCs w:val="28"/>
        </w:rPr>
        <w:t>指产权属于本企业的所有房屋和构筑物，包括办公楼、仓库、宿舍等，</w:t>
      </w:r>
      <w:r>
        <w:rPr>
          <w:rFonts w:hint="eastAsia" w:ascii="仿宋_GB2312" w:hAnsi="仿宋" w:eastAsia="仿宋_GB2312"/>
          <w:b/>
          <w:i/>
          <w:color w:val="FF0000"/>
          <w:sz w:val="28"/>
          <w:szCs w:val="28"/>
          <w:u w:val="single"/>
        </w:rPr>
        <w:t>经营租赁租入的办公场所不算。</w:t>
      </w:r>
    </w:p>
    <w:p>
      <w:pPr>
        <w:pStyle w:val="35"/>
        <w:keepNext w:val="0"/>
        <w:keepLines w:val="0"/>
        <w:pageBreakBefore w:val="0"/>
        <w:widowControl w:val="0"/>
        <w:kinsoku/>
        <w:wordWrap/>
        <w:overflowPunct/>
        <w:topLinePunct w:val="0"/>
        <w:autoSpaceDE/>
        <w:autoSpaceDN/>
        <w:bidi w:val="0"/>
        <w:adjustRightInd/>
        <w:snapToGrid/>
        <w:spacing w:line="400" w:lineRule="exact"/>
        <w:ind w:left="0" w:leftChars="0" w:firstLine="562"/>
        <w:textAlignment w:val="auto"/>
        <w:rPr>
          <w:rFonts w:ascii="仿宋_GB2312" w:hAnsi="仿宋" w:eastAsia="仿宋_GB2312"/>
          <w:b/>
          <w:i/>
          <w:sz w:val="28"/>
          <w:szCs w:val="28"/>
          <w:u w:val="single"/>
        </w:rPr>
      </w:pPr>
      <w:r>
        <w:rPr>
          <w:rFonts w:hint="eastAsia" w:ascii="仿宋_GB2312" w:hAnsi="仿宋" w:eastAsia="仿宋_GB2312"/>
          <w:b/>
          <w:bCs/>
          <w:iCs/>
          <w:sz w:val="28"/>
          <w:szCs w:val="28"/>
          <w:lang w:val="en-US" w:eastAsia="zh-CN"/>
        </w:rPr>
        <w:t>7.</w:t>
      </w:r>
      <w:r>
        <w:rPr>
          <w:rFonts w:hint="eastAsia" w:ascii="仿宋_GB2312" w:hAnsi="仿宋" w:eastAsia="仿宋_GB2312"/>
          <w:b/>
          <w:bCs/>
          <w:iCs/>
          <w:sz w:val="28"/>
          <w:szCs w:val="28"/>
        </w:rPr>
        <w:t>机器设备：</w:t>
      </w:r>
      <w:r>
        <w:rPr>
          <w:rFonts w:hint="eastAsia" w:ascii="仿宋_GB2312" w:hAnsi="仿宋" w:eastAsia="仿宋_GB2312"/>
          <w:bCs/>
          <w:iCs/>
          <w:sz w:val="28"/>
          <w:szCs w:val="28"/>
        </w:rPr>
        <w:t>指为生产商品、提供劳务、出租或经营管理持有的各种机器、设备。包括办公设备，打印机、复印机、电脑等，</w:t>
      </w:r>
      <w:r>
        <w:rPr>
          <w:rFonts w:hint="eastAsia" w:ascii="仿宋_GB2312" w:hAnsi="仿宋" w:eastAsia="仿宋_GB2312"/>
          <w:b/>
          <w:i/>
          <w:color w:val="FF0000"/>
          <w:sz w:val="28"/>
          <w:szCs w:val="28"/>
          <w:u w:val="single"/>
        </w:rPr>
        <w:t>办公设备漏填现象较多，需要注意不要漏填。</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8.</w:t>
      </w:r>
      <w:r>
        <w:rPr>
          <w:rFonts w:hint="eastAsia" w:ascii="仿宋_GB2312" w:hAnsi="仿宋" w:eastAsia="仿宋_GB2312"/>
          <w:b/>
          <w:bCs/>
          <w:iCs/>
          <w:sz w:val="28"/>
          <w:szCs w:val="28"/>
        </w:rPr>
        <w:t>本年折旧</w:t>
      </w:r>
      <w:r>
        <w:rPr>
          <w:rFonts w:hint="eastAsia" w:ascii="仿宋_GB2312" w:hAnsi="仿宋" w:eastAsia="仿宋_GB2312"/>
          <w:bCs/>
          <w:iCs/>
          <w:sz w:val="28"/>
          <w:szCs w:val="28"/>
        </w:rPr>
        <w:t>：指企业在报告期内提取的固定资产折旧合计数。可根据会计“累计折旧”科目的本期贷方累计发生额填报；或者，可根据会计“财务状况变动表”中“固定资产折旧”项的数值填报。若企业执行2001年《企业会计制度》，可以根据会计核算中《资产减值准备、投资及固定资产情况表》内“当年计提的固定资产折旧总额”项本年增加数填报。</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b/>
          <w:i/>
          <w:sz w:val="28"/>
          <w:szCs w:val="28"/>
          <w:u w:val="single"/>
        </w:rPr>
      </w:pPr>
      <w:r>
        <w:rPr>
          <w:rFonts w:hint="eastAsia" w:ascii="仿宋_GB2312" w:hAnsi="仿宋" w:eastAsia="仿宋_GB2312"/>
          <w:b/>
          <w:bCs/>
          <w:iCs/>
          <w:sz w:val="28"/>
          <w:szCs w:val="28"/>
          <w:lang w:val="en-US" w:eastAsia="zh-CN"/>
        </w:rPr>
        <w:t>9.</w:t>
      </w:r>
      <w:r>
        <w:rPr>
          <w:rFonts w:hint="eastAsia" w:ascii="仿宋_GB2312" w:hAnsi="仿宋" w:eastAsia="仿宋_GB2312"/>
          <w:b/>
          <w:bCs/>
          <w:iCs/>
          <w:sz w:val="28"/>
          <w:szCs w:val="28"/>
        </w:rPr>
        <w:t>财务费用</w:t>
      </w:r>
      <w:r>
        <w:rPr>
          <w:rFonts w:ascii="仿宋_GB2312" w:hAnsi="仿宋" w:eastAsia="仿宋_GB2312"/>
          <w:b/>
          <w:bCs/>
          <w:iCs/>
          <w:sz w:val="28"/>
          <w:szCs w:val="28"/>
        </w:rPr>
        <w:t>：</w:t>
      </w:r>
      <w:r>
        <w:rPr>
          <w:rFonts w:hint="eastAsia" w:ascii="仿宋_GB2312" w:hAnsi="仿宋" w:eastAsia="仿宋_GB2312"/>
          <w:bCs/>
          <w:iCs/>
          <w:sz w:val="28"/>
          <w:szCs w:val="28"/>
        </w:rPr>
        <w:t>根据会计“利润表”中“财务费用”项目的本年累计数填报，</w:t>
      </w:r>
      <w:r>
        <w:rPr>
          <w:rFonts w:hint="eastAsia" w:ascii="仿宋_GB2312" w:hAnsi="仿宋" w:eastAsia="仿宋_GB2312"/>
          <w:b/>
          <w:i/>
          <w:sz w:val="28"/>
          <w:szCs w:val="28"/>
          <w:u w:val="single"/>
        </w:rPr>
        <w:t>既可为正数，又可为负数。</w:t>
      </w:r>
    </w:p>
    <w:p>
      <w:pPr>
        <w:pStyle w:val="35"/>
        <w:keepNext w:val="0"/>
        <w:keepLines w:val="0"/>
        <w:pageBreakBefore w:val="0"/>
        <w:widowControl w:val="0"/>
        <w:kinsoku/>
        <w:wordWrap/>
        <w:overflowPunct/>
        <w:topLinePunct w:val="0"/>
        <w:autoSpaceDE/>
        <w:autoSpaceDN/>
        <w:bidi w:val="0"/>
        <w:adjustRightInd/>
        <w:spacing w:line="400" w:lineRule="exact"/>
        <w:ind w:firstLine="562"/>
        <w:textAlignment w:val="auto"/>
        <w:rPr>
          <w:rFonts w:ascii="仿宋_GB2312" w:hAnsi="仿宋" w:eastAsia="仿宋_GB2312"/>
          <w:iCs/>
          <w:sz w:val="28"/>
          <w:szCs w:val="28"/>
        </w:rPr>
      </w:pPr>
      <w:r>
        <w:rPr>
          <w:rFonts w:hint="eastAsia" w:ascii="仿宋_GB2312" w:hAnsi="仿宋" w:eastAsia="仿宋_GB2312"/>
          <w:b/>
          <w:bCs/>
          <w:iCs/>
          <w:sz w:val="28"/>
          <w:szCs w:val="28"/>
          <w:lang w:val="en-US" w:eastAsia="zh-CN"/>
        </w:rPr>
        <w:t>10.</w:t>
      </w:r>
      <w:r>
        <w:rPr>
          <w:rFonts w:hint="eastAsia" w:ascii="仿宋_GB2312" w:hAnsi="仿宋" w:eastAsia="仿宋_GB2312"/>
          <w:b/>
          <w:bCs/>
          <w:iCs/>
          <w:sz w:val="28"/>
          <w:szCs w:val="28"/>
        </w:rPr>
        <w:t>利息收入</w:t>
      </w:r>
      <w:r>
        <w:rPr>
          <w:rFonts w:ascii="仿宋_GB2312" w:hAnsi="仿宋" w:eastAsia="仿宋_GB2312"/>
          <w:b/>
          <w:bCs/>
          <w:iCs/>
          <w:sz w:val="28"/>
          <w:szCs w:val="28"/>
        </w:rPr>
        <w:t>：</w:t>
      </w:r>
      <w:r>
        <w:rPr>
          <w:rFonts w:hint="eastAsia" w:ascii="仿宋_GB2312" w:hAnsi="仿宋" w:eastAsia="仿宋_GB2312"/>
          <w:iCs/>
          <w:sz w:val="28"/>
          <w:szCs w:val="28"/>
        </w:rPr>
        <w:t>若企业或者同时设置利息收入和利息费用两个科目，利息收入填实际发生额，即正数发生额（财务费用项下利息收入企业用负数或者红字表示）；若企业只设立利息费用科目，零星的利息收入在利息费用里核算，利息收入填0，利息费用项填利息费用-利息收入的净额数，可以出现负数，不过解释应该只有一种，即本年利息费用小于利息收入；若企业只设利息收入，利息收入-利息费用若为正数，将此数填写到利息收入科目，若为负数，将此数的绝对值填到利息费用科目。</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11.</w:t>
      </w:r>
      <w:r>
        <w:rPr>
          <w:rFonts w:hint="eastAsia" w:ascii="仿宋_GB2312" w:hAnsi="仿宋" w:eastAsia="仿宋_GB2312"/>
          <w:b/>
          <w:bCs/>
          <w:iCs/>
          <w:sz w:val="28"/>
          <w:szCs w:val="28"/>
        </w:rPr>
        <w:t>营业利润：</w:t>
      </w:r>
      <w:r>
        <w:rPr>
          <w:rFonts w:hint="eastAsia" w:ascii="仿宋_GB2312" w:hAnsi="仿宋" w:eastAsia="仿宋_GB2312"/>
          <w:bCs/>
          <w:iCs/>
          <w:sz w:val="28"/>
          <w:szCs w:val="28"/>
        </w:rPr>
        <w:t>指企业从事生产经营活动所取得的利润。执行企业会计准则或《小企业会计准则》的企业，根据会计“利润表”中“营业利润”项目的本年累计数填报；执行其他企业会计制度的企业，根据会计“损益表”中“营业利润”项目、“投资收益”项目的本年累计数之和填报。</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_GB2312" w:hAnsi="仿宋" w:eastAsia="仿宋_GB2312"/>
          <w:bCs/>
          <w:iCs/>
          <w:sz w:val="28"/>
          <w:szCs w:val="28"/>
          <w:lang w:eastAsia="zh-CN"/>
        </w:rPr>
      </w:pPr>
      <w:r>
        <w:rPr>
          <w:rFonts w:hint="eastAsia" w:ascii="仿宋_GB2312" w:hAnsi="仿宋" w:eastAsia="仿宋_GB2312"/>
          <w:bCs/>
          <w:iCs/>
          <w:sz w:val="28"/>
          <w:szCs w:val="28"/>
        </w:rPr>
        <w:t>联网直报平台上，《企业会计准则》的营业利润审核公式为：营业利润=营业收入-营业成本-税金及附加-销售费用-管理费用-财务费用-研发费用+资产减值损失+信用减值损失+公允价值变动收益+净敞口套期收益+投资收益+资产处置收益+其他收益</w:t>
      </w:r>
      <w:r>
        <w:rPr>
          <w:rFonts w:hint="eastAsia" w:ascii="仿宋_GB2312" w:hAnsi="仿宋" w:eastAsia="仿宋_GB2312"/>
          <w:bCs/>
          <w:iCs/>
          <w:sz w:val="28"/>
          <w:szCs w:val="28"/>
          <w:lang w:eastAsia="zh-CN"/>
        </w:rPr>
        <w:t>。《小企业会计准则》和《企业会计制度》</w:t>
      </w:r>
      <w:r>
        <w:rPr>
          <w:rFonts w:hint="eastAsia" w:ascii="仿宋_GB2312" w:hAnsi="仿宋" w:eastAsia="仿宋_GB2312"/>
          <w:bCs/>
          <w:iCs/>
          <w:sz w:val="28"/>
          <w:szCs w:val="28"/>
        </w:rPr>
        <w:t>的营业利润审核公式为</w:t>
      </w:r>
      <w:r>
        <w:rPr>
          <w:rFonts w:hint="eastAsia" w:ascii="仿宋_GB2312" w:hAnsi="仿宋" w:eastAsia="仿宋_GB2312"/>
          <w:bCs/>
          <w:iCs/>
          <w:sz w:val="28"/>
          <w:szCs w:val="28"/>
          <w:lang w:eastAsia="zh-CN"/>
        </w:rPr>
        <w:t>：营业利润=营业收入-营业成本-税金及附加-销售费用-管理费用-财务费用+投资收益。</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ascii="仿宋_GB2312" w:hAnsi="仿宋" w:eastAsia="仿宋_GB2312"/>
          <w:bCs/>
          <w:iCs/>
          <w:sz w:val="28"/>
          <w:szCs w:val="28"/>
        </w:rPr>
      </w:pPr>
      <w:r>
        <w:rPr>
          <w:rFonts w:hint="eastAsia" w:ascii="仿宋_GB2312" w:hAnsi="仿宋" w:eastAsia="仿宋_GB2312"/>
          <w:b/>
          <w:bCs/>
          <w:iCs/>
          <w:sz w:val="28"/>
          <w:szCs w:val="28"/>
          <w:lang w:val="en-US" w:eastAsia="zh-CN"/>
        </w:rPr>
        <w:t>12.</w:t>
      </w:r>
      <w:r>
        <w:rPr>
          <w:rFonts w:hint="eastAsia" w:ascii="仿宋_GB2312" w:hAnsi="仿宋" w:eastAsia="仿宋_GB2312"/>
          <w:b/>
          <w:bCs/>
          <w:iCs/>
          <w:sz w:val="28"/>
          <w:szCs w:val="28"/>
        </w:rPr>
        <w:t>营业外收入</w:t>
      </w:r>
      <w:r>
        <w:rPr>
          <w:rFonts w:ascii="仿宋_GB2312" w:hAnsi="仿宋" w:eastAsia="仿宋_GB2312"/>
          <w:bCs/>
          <w:iCs/>
          <w:sz w:val="28"/>
          <w:szCs w:val="28"/>
        </w:rPr>
        <w:t>：</w:t>
      </w:r>
      <w:r>
        <w:rPr>
          <w:rFonts w:hint="eastAsia" w:ascii="仿宋_GB2312" w:hAnsi="仿宋" w:eastAsia="仿宋_GB2312"/>
          <w:bCs/>
          <w:iCs/>
          <w:sz w:val="28"/>
          <w:szCs w:val="28"/>
        </w:rPr>
        <w:t>指企业发生的除营业利润以外的收益，主要包括与企业日常活动无关的政府补助、盘盈利得、捐赠利得等。执行企业会计准则或《小企业会计准则》的企业，根据会计“利润表”中“营业外收入”项目的本年累计数填报；执行其他企业会计制度的企业， 根据会计“损益表”中“营业外收入”项目、“补贴收入”项目的本年累计数之和填报。</w:t>
      </w:r>
    </w:p>
    <w:p>
      <w:pPr>
        <w:pStyle w:val="35"/>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仿宋" w:eastAsia="仿宋_GB2312"/>
          <w:bCs/>
          <w:iCs/>
          <w:sz w:val="28"/>
          <w:szCs w:val="32"/>
        </w:rPr>
      </w:pPr>
      <w:r>
        <w:rPr>
          <w:rFonts w:hint="eastAsia" w:ascii="仿宋_GB2312" w:hAnsi="仿宋" w:eastAsia="仿宋_GB2312"/>
          <w:b/>
          <w:iCs/>
          <w:sz w:val="28"/>
          <w:szCs w:val="28"/>
          <w:lang w:val="en-US" w:eastAsia="zh-CN"/>
        </w:rPr>
        <w:t>13.</w:t>
      </w:r>
      <w:r>
        <w:rPr>
          <w:rFonts w:hint="eastAsia" w:ascii="仿宋_GB2312" w:hAnsi="仿宋" w:eastAsia="仿宋_GB2312"/>
          <w:b/>
          <w:iCs/>
          <w:sz w:val="28"/>
          <w:szCs w:val="28"/>
        </w:rPr>
        <w:t>其他业务利润：</w:t>
      </w:r>
      <w:r>
        <w:rPr>
          <w:rFonts w:hint="eastAsia" w:ascii="仿宋_GB2312" w:hAnsi="仿宋" w:eastAsia="仿宋_GB2312"/>
          <w:bCs/>
          <w:iCs/>
          <w:sz w:val="28"/>
          <w:szCs w:val="28"/>
        </w:rPr>
        <w:t>指企业经营除主要业务以外的其他业务实现的利润。根据会计“其他业务收入”科目的本年各月贷方余额（结转前）之和减“其他业务成本”科目的本年各月借方余额（结转前）之和填报。</w:t>
      </w:r>
      <w:r>
        <w:rPr>
          <w:rFonts w:hint="eastAsia" w:ascii="仿宋_GB2312" w:hAnsi="仿宋" w:eastAsia="仿宋_GB2312"/>
          <w:b/>
          <w:i/>
          <w:sz w:val="28"/>
          <w:szCs w:val="28"/>
          <w:u w:val="single"/>
        </w:rPr>
        <w:t>如果未设置该科目，则填0。</w:t>
      </w:r>
    </w:p>
    <w:p>
      <w:pPr>
        <w:pStyle w:val="6"/>
        <w:bidi w:val="0"/>
        <w:rPr>
          <w:rFonts w:hint="eastAsia"/>
          <w:lang w:eastAsia="zh-CN"/>
        </w:rPr>
      </w:pPr>
      <w:bookmarkStart w:id="138" w:name="_Toc23747"/>
      <w:bookmarkStart w:id="139" w:name="_Toc26032"/>
      <w:bookmarkStart w:id="140" w:name="_Toc21078"/>
      <w:bookmarkStart w:id="141" w:name="_Toc5511"/>
      <w:r>
        <w:rPr>
          <w:rFonts w:hint="eastAsia"/>
          <w:lang w:eastAsia="zh-CN"/>
        </w:rPr>
        <w:t>（四）常见问题及处理办法</w:t>
      </w:r>
      <w:bookmarkEnd w:id="138"/>
      <w:bookmarkEnd w:id="139"/>
      <w:bookmarkEnd w:id="140"/>
      <w:bookmarkEnd w:id="141"/>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1.法人单位填报的数据能否包含视同法人单位的数据？</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lang w:eastAsia="zh-CN"/>
        </w:rPr>
      </w:pPr>
      <w:r>
        <w:rPr>
          <w:rFonts w:hint="eastAsia" w:ascii="仿宋_GB2312" w:hAnsi="仿宋_GB2312" w:eastAsia="仿宋_GB2312" w:cs="仿宋_GB2312"/>
          <w:sz w:val="28"/>
          <w:szCs w:val="28"/>
          <w:lang w:eastAsia="zh-CN"/>
        </w:rPr>
        <w:t>不能。财务表填报口径为法人口径，法人单位填报的数据中包括本法人单位所属的全部产业活动单位的数据。若所属产业活动单位已作为视同法人单位，则该视同法人单位不再属于本法人单位所属的产业活动单位。</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2.出口企业如何计算应交增值税？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出口企业为满足增值税纳税申报的需要，在会计上一般会将内销和出口的业务分开核算，目的在于将内销和出口商品对应的增值税明确区分开，便于准确核算应交增值税和出口退税。出口商品对应的进项税不体现在增值税纳税申报表主表上，要通过</w:t>
      </w:r>
      <w:r>
        <w:rPr>
          <w:rFonts w:hint="eastAsia" w:ascii="仿宋_GB2312" w:hAnsi="仿宋_GB2312" w:eastAsia="仿宋_GB2312" w:cs="仿宋_GB2312"/>
          <w:b/>
          <w:bCs/>
          <w:sz w:val="28"/>
          <w:szCs w:val="28"/>
          <w:lang w:eastAsia="zh-CN"/>
        </w:rPr>
        <w:t>会计科目“应交增值税”的二级科目</w:t>
      </w:r>
      <w:r>
        <w:rPr>
          <w:rFonts w:hint="eastAsia" w:ascii="仿宋_GB2312" w:hAnsi="仿宋_GB2312" w:eastAsia="仿宋_GB2312" w:cs="仿宋_GB2312"/>
          <w:sz w:val="28"/>
          <w:szCs w:val="28"/>
          <w:lang w:eastAsia="zh-CN"/>
        </w:rPr>
        <w:t>去查找，故应首选</w:t>
      </w:r>
      <w:r>
        <w:rPr>
          <w:rFonts w:hint="eastAsia" w:ascii="仿宋_GB2312" w:hAnsi="仿宋_GB2312" w:eastAsia="仿宋_GB2312" w:cs="仿宋_GB2312"/>
          <w:b/>
          <w:bCs/>
          <w:sz w:val="28"/>
          <w:szCs w:val="28"/>
          <w:lang w:eastAsia="zh-CN"/>
        </w:rPr>
        <w:t>方法一</w:t>
      </w:r>
      <w:r>
        <w:rPr>
          <w:rFonts w:hint="eastAsia" w:ascii="仿宋_GB2312" w:hAnsi="仿宋_GB2312" w:eastAsia="仿宋_GB2312" w:cs="仿宋_GB2312"/>
          <w:sz w:val="28"/>
          <w:szCs w:val="28"/>
          <w:lang w:eastAsia="zh-CN"/>
        </w:rPr>
        <w:t>使用财务会计中的相关科目进行计算填报。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3.财务表中的管理费用是否包含研发费用？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管理费用中</w:t>
      </w:r>
      <w:r>
        <w:rPr>
          <w:rFonts w:hint="default" w:ascii="仿宋_GB2312" w:hAnsi="仿宋_GB2312" w:eastAsia="仿宋_GB2312" w:cs="仿宋_GB2312"/>
          <w:b/>
          <w:bCs/>
          <w:sz w:val="28"/>
          <w:szCs w:val="28"/>
          <w:lang w:val="en-US" w:eastAsia="zh-CN"/>
        </w:rPr>
        <w:t>不能</w:t>
      </w:r>
      <w:r>
        <w:rPr>
          <w:rFonts w:hint="default" w:ascii="仿宋_GB2312" w:hAnsi="仿宋_GB2312" w:eastAsia="仿宋_GB2312" w:cs="仿宋_GB2312"/>
          <w:sz w:val="28"/>
          <w:szCs w:val="28"/>
          <w:lang w:val="en-US" w:eastAsia="zh-CN"/>
        </w:rPr>
        <w:t>包含研发费用</w:t>
      </w:r>
      <w:r>
        <w:rPr>
          <w:rFonts w:hint="eastAsia" w:ascii="仿宋_GB2312" w:hAnsi="仿宋_GB2312" w:eastAsia="仿宋_GB2312" w:cs="仿宋_GB2312"/>
          <w:sz w:val="28"/>
          <w:szCs w:val="28"/>
          <w:lang w:val="en-US" w:eastAsia="zh-CN"/>
        </w:rPr>
        <w:t>。执行企业会计准则的企业，财务表中的管理费用已经不含研发费用，直接摘抄本年累计数即可。执行小企业会计准则的企业，须将会计”利润表“中的管理费用本年累计数减去研究费用后填报管理费用。执行其他企业会计制度的企业以及未执行《财会通知》的企业，通过分析管理费用明细账，将研发费用从管理费用中扣除后填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4.累计折旧与本年折旧应如何填写？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累计折旧可以从资产负债表中直接取数填报，而本年折旧</w:t>
      </w:r>
      <w:r>
        <w:rPr>
          <w:rFonts w:hint="eastAsia" w:ascii="仿宋_GB2312" w:hAnsi="仿宋_GB2312" w:eastAsia="仿宋_GB2312" w:cs="仿宋_GB2312"/>
          <w:sz w:val="28"/>
          <w:szCs w:val="28"/>
          <w:lang w:val="en-US" w:eastAsia="zh-CN"/>
        </w:rPr>
        <w:t>是累计折旧的贷方本年发生数，</w:t>
      </w:r>
      <w:r>
        <w:rPr>
          <w:rFonts w:hint="default" w:ascii="仿宋_GB2312" w:hAnsi="仿宋_GB2312" w:eastAsia="仿宋_GB2312" w:cs="仿宋_GB2312"/>
          <w:sz w:val="28"/>
          <w:szCs w:val="28"/>
          <w:lang w:val="en-US" w:eastAsia="zh-CN"/>
        </w:rPr>
        <w:t>不能直接取数</w:t>
      </w:r>
      <w:r>
        <w:rPr>
          <w:rFonts w:hint="eastAsia" w:ascii="仿宋_GB2312" w:hAnsi="仿宋_GB2312" w:eastAsia="仿宋_GB2312" w:cs="仿宋_GB2312"/>
          <w:sz w:val="28"/>
          <w:szCs w:val="28"/>
          <w:lang w:val="en-US" w:eastAsia="zh-CN"/>
        </w:rPr>
        <w:t>。本年折旧是报告期内的累计数，固定资产清理、报废时</w:t>
      </w:r>
      <w:r>
        <w:rPr>
          <w:rFonts w:hint="eastAsia" w:ascii="仿宋_GB2312" w:hAnsi="仿宋_GB2312" w:eastAsia="仿宋_GB2312" w:cs="仿宋_GB2312"/>
          <w:b/>
          <w:bCs/>
          <w:sz w:val="28"/>
          <w:szCs w:val="28"/>
          <w:lang w:val="en-US" w:eastAsia="zh-CN"/>
        </w:rPr>
        <w:t>不冲减</w:t>
      </w:r>
      <w:r>
        <w:rPr>
          <w:rFonts w:hint="eastAsia" w:ascii="仿宋_GB2312" w:hAnsi="仿宋_GB2312" w:eastAsia="仿宋_GB2312" w:cs="仿宋_GB2312"/>
          <w:sz w:val="28"/>
          <w:szCs w:val="28"/>
          <w:lang w:val="en-US" w:eastAsia="zh-CN"/>
        </w:rPr>
        <w:t>，所以企业的累计折旧小于本年折旧是正常的，写清楚审核提示的说明即可。注意，请勿用累计折旧的期末数减期初数倒挤出本年折旧。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5.若企业资产负债表中没有设置存货科目，财务表中的存货如何填写？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存货应填净额数(扣除存货跌价准备)。存货指标属于明细账分析类指标，企业即便没有设置存货科目，也要根据存货制度解释和单位明细账分析填列。注意，无形资产不能算存货。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6.固定资产净值和固定资产净额的区别是什么？</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固定资产净值=固定资产原价-固定资产累计折旧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lang w:val="en-US" w:eastAsia="zh-CN"/>
        </w:rPr>
      </w:pPr>
      <w:r>
        <w:rPr>
          <w:rFonts w:hint="default" w:ascii="仿宋_GB2312" w:hAnsi="仿宋_GB2312" w:eastAsia="仿宋_GB2312" w:cs="仿宋_GB2312"/>
          <w:sz w:val="28"/>
          <w:szCs w:val="28"/>
          <w:lang w:val="en-US" w:eastAsia="zh-CN"/>
        </w:rPr>
        <w:t>固定资产净额=固定资产原价-固定资产累计折旧-</w:t>
      </w:r>
      <w:r>
        <w:rPr>
          <w:rFonts w:hint="default" w:ascii="仿宋_GB2312" w:hAnsi="仿宋_GB2312" w:eastAsia="仿宋_GB2312" w:cs="仿宋_GB2312"/>
          <w:b/>
          <w:bCs/>
          <w:sz w:val="28"/>
          <w:szCs w:val="28"/>
          <w:lang w:val="en-US" w:eastAsia="zh-CN"/>
        </w:rPr>
        <w:t>固定资产减值准备</w:t>
      </w:r>
    </w:p>
    <w:p>
      <w:pPr>
        <w:pStyle w:val="5"/>
        <w:rPr>
          <w:rFonts w:hint="eastAsia"/>
        </w:rPr>
      </w:pPr>
      <w:bookmarkStart w:id="142" w:name="_Toc21895"/>
      <w:bookmarkStart w:id="143" w:name="_Toc31023"/>
      <w:r>
        <w:rPr>
          <w:rFonts w:hint="eastAsia"/>
          <w:lang w:eastAsia="zh-CN"/>
        </w:rPr>
        <w:t>三、批发和零售业经营情况（E</w:t>
      </w:r>
      <w:r>
        <w:rPr>
          <w:rFonts w:hint="eastAsia"/>
          <w:lang w:val="en-US" w:eastAsia="zh-CN"/>
        </w:rPr>
        <w:t>104-1</w:t>
      </w:r>
      <w:r>
        <w:rPr>
          <w:rFonts w:hint="eastAsia"/>
          <w:lang w:eastAsia="zh-CN"/>
        </w:rPr>
        <w:t>、BJE104-2表）</w:t>
      </w:r>
      <w:bookmarkEnd w:id="142"/>
      <w:bookmarkEnd w:id="143"/>
    </w:p>
    <w:p>
      <w:pPr>
        <w:pStyle w:val="6"/>
        <w:rPr>
          <w:rFonts w:hint="eastAsia"/>
          <w:lang w:eastAsia="zh-CN"/>
        </w:rPr>
      </w:pPr>
      <w:r>
        <w:rPr>
          <w:rFonts w:hint="eastAsia"/>
          <w:lang w:eastAsia="zh-CN"/>
        </w:rPr>
        <w:t>（一）报表变化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Cs/>
          <w:iCs/>
          <w:sz w:val="28"/>
          <w:szCs w:val="28"/>
          <w:highlight w:val="none"/>
          <w:lang w:val="en-US" w:eastAsia="zh-CN"/>
        </w:rPr>
      </w:pPr>
      <w:r>
        <w:rPr>
          <w:rFonts w:hint="eastAsia" w:ascii="仿宋_GB2312" w:hAnsi="仿宋" w:eastAsia="仿宋_GB2312"/>
          <w:bCs/>
          <w:iCs/>
          <w:sz w:val="28"/>
          <w:szCs w:val="28"/>
          <w:highlight w:val="none"/>
          <w:lang w:val="en-US" w:eastAsia="zh-CN"/>
        </w:rPr>
        <w:t>1.商品购进额：指从本单位以外的单位和个人购进（包括从国外直接进口）作为转卖或加工后转卖的商品金额（含增值税），</w:t>
      </w:r>
      <w:r>
        <w:rPr>
          <w:rFonts w:hint="eastAsia" w:ascii="仿宋_GB2312" w:hAnsi="仿宋" w:eastAsia="仿宋_GB2312"/>
          <w:b/>
          <w:bCs w:val="0"/>
          <w:iCs/>
          <w:sz w:val="28"/>
          <w:szCs w:val="28"/>
          <w:highlight w:val="none"/>
          <w:lang w:val="en-US" w:eastAsia="zh-CN"/>
        </w:rPr>
        <w:t>以及从本单位购进并开具增值税发票的商品金额</w:t>
      </w:r>
      <w:r>
        <w:rPr>
          <w:rFonts w:hint="eastAsia" w:ascii="仿宋_GB2312" w:hAnsi="仿宋" w:eastAsia="仿宋_GB2312"/>
          <w:bCs/>
          <w:iCs/>
          <w:sz w:val="28"/>
          <w:szCs w:val="28"/>
          <w:highlight w:val="none"/>
          <w:lang w:val="en-US" w:eastAsia="zh-CN"/>
        </w:rPr>
        <w:t>。本指标反映批发和零售业单位从国内外市场上购进商品的总价。</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Cs/>
          <w:iCs/>
          <w:sz w:val="28"/>
          <w:szCs w:val="28"/>
          <w:highlight w:val="none"/>
          <w:lang w:val="en-US" w:eastAsia="zh-CN"/>
        </w:rPr>
      </w:pPr>
      <w:r>
        <w:rPr>
          <w:rFonts w:hint="eastAsia" w:ascii="仿宋_GB2312" w:hAnsi="仿宋" w:eastAsia="仿宋_GB2312"/>
          <w:bCs/>
          <w:iCs/>
          <w:sz w:val="28"/>
          <w:szCs w:val="28"/>
          <w:highlight w:val="none"/>
          <w:lang w:val="en-US" w:eastAsia="zh-CN"/>
        </w:rPr>
        <w:t>2.商品销售是指商品已经售出、商品所有权已经转移给买方后，以收到货款或取得收取货款的证据时确认商品销售，</w:t>
      </w:r>
      <w:r>
        <w:rPr>
          <w:rFonts w:hint="eastAsia" w:ascii="仿宋_GB2312" w:hAnsi="仿宋" w:eastAsia="仿宋_GB2312"/>
          <w:b/>
          <w:bCs w:val="0"/>
          <w:iCs/>
          <w:sz w:val="28"/>
          <w:szCs w:val="28"/>
          <w:highlight w:val="none"/>
          <w:lang w:val="en-US" w:eastAsia="zh-CN"/>
        </w:rPr>
        <w:t>而非以开具增值税发票作为确认条件</w:t>
      </w:r>
      <w:r>
        <w:rPr>
          <w:rFonts w:hint="eastAsia" w:ascii="仿宋_GB2312" w:hAnsi="仿宋" w:eastAsia="仿宋_GB2312"/>
          <w:bCs/>
          <w:iCs/>
          <w:sz w:val="28"/>
          <w:szCs w:val="28"/>
          <w:highlight w:val="none"/>
          <w:lang w:val="en-US" w:eastAsia="zh-CN"/>
        </w:rPr>
        <w:t>。</w:t>
      </w:r>
    </w:p>
    <w:p>
      <w:pPr>
        <w:pStyle w:val="6"/>
        <w:rPr>
          <w:rFonts w:hint="eastAsia"/>
          <w:lang w:eastAsia="zh-CN"/>
        </w:rPr>
      </w:pPr>
      <w:r>
        <w:rPr>
          <w:rFonts w:hint="eastAsia"/>
          <w:lang w:eastAsia="zh-CN"/>
        </w:rPr>
        <w:t>（二）</w:t>
      </w: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lang w:val="en-US" w:eastAsia="zh-CN"/>
        </w:rPr>
      </w:pPr>
      <w:r>
        <w:rPr>
          <w:rFonts w:hint="eastAsia" w:ascii="仿宋_GB2312" w:hAnsi="仿宋" w:eastAsia="仿宋_GB2312"/>
          <w:bCs/>
          <w:iCs/>
          <w:sz w:val="28"/>
          <w:szCs w:val="28"/>
          <w:lang w:val="en-US" w:eastAsia="zh-CN"/>
        </w:rPr>
        <w:t>辖区内限额以上批发和零售业法人单位，</w:t>
      </w:r>
      <w:r>
        <w:rPr>
          <w:rFonts w:hint="eastAsia" w:ascii="仿宋_GB2312" w:hAnsi="仿宋" w:eastAsia="仿宋_GB2312"/>
          <w:b w:val="0"/>
          <w:bCs/>
          <w:iCs/>
          <w:sz w:val="28"/>
          <w:szCs w:val="28"/>
          <w:u w:val="single"/>
          <w:lang w:val="en-US" w:eastAsia="zh-CN"/>
        </w:rPr>
        <w:t>包含下属全部同行业产业活动单位数据。</w:t>
      </w:r>
    </w:p>
    <w:p>
      <w:pPr>
        <w:pStyle w:val="6"/>
        <w:rPr>
          <w:rFonts w:hint="eastAsia"/>
          <w:lang w:val="en-US" w:eastAsia="zh-CN"/>
        </w:rPr>
      </w:pPr>
      <w:r>
        <w:rPr>
          <w:rFonts w:hint="eastAsia"/>
          <w:lang w:eastAsia="zh-CN"/>
        </w:rPr>
        <w:t>（三）重点及易错指标讲解</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1.</w:t>
      </w:r>
      <w:r>
        <w:rPr>
          <w:rFonts w:hint="eastAsia" w:ascii="仿宋_GB2312" w:hAnsi="仿宋" w:eastAsia="仿宋_GB2312"/>
          <w:bCs/>
          <w:iCs/>
          <w:sz w:val="28"/>
          <w:szCs w:val="28"/>
          <w:highlight w:val="none"/>
        </w:rPr>
        <w:t>报表中所有</w:t>
      </w:r>
      <w:r>
        <w:rPr>
          <w:rFonts w:hint="eastAsia" w:ascii="仿宋_GB2312" w:hAnsi="仿宋" w:eastAsia="仿宋_GB2312"/>
          <w:bCs/>
          <w:iCs/>
          <w:sz w:val="28"/>
          <w:szCs w:val="28"/>
          <w:highlight w:val="none"/>
          <w:lang w:eastAsia="zh-CN"/>
        </w:rPr>
        <w:t>带“额”的</w:t>
      </w:r>
      <w:r>
        <w:rPr>
          <w:rFonts w:hint="eastAsia" w:ascii="仿宋_GB2312" w:hAnsi="仿宋" w:eastAsia="仿宋_GB2312"/>
          <w:bCs/>
          <w:iCs/>
          <w:sz w:val="28"/>
          <w:szCs w:val="28"/>
          <w:highlight w:val="none"/>
        </w:rPr>
        <w:t>指标</w:t>
      </w:r>
      <w:r>
        <w:rPr>
          <w:rFonts w:hint="eastAsia" w:ascii="仿宋_GB2312" w:hAnsi="仿宋" w:eastAsia="仿宋_GB2312"/>
          <w:bCs/>
          <w:iCs/>
          <w:sz w:val="28"/>
          <w:szCs w:val="28"/>
          <w:highlight w:val="none"/>
          <w:lang w:eastAsia="zh-CN"/>
        </w:rPr>
        <w:t>均应该包</w:t>
      </w:r>
      <w:r>
        <w:rPr>
          <w:rFonts w:hint="eastAsia" w:ascii="仿宋_GB2312" w:hAnsi="仿宋" w:eastAsia="仿宋_GB2312"/>
          <w:bCs/>
          <w:iCs/>
          <w:sz w:val="28"/>
          <w:szCs w:val="28"/>
          <w:highlight w:val="none"/>
        </w:rPr>
        <w:t>含增值税（除了图书、农产品和出口三类免税单位外，通常情况下</w:t>
      </w:r>
      <w:r>
        <w:rPr>
          <w:rFonts w:hint="eastAsia" w:ascii="仿宋_GB2312" w:hAnsi="仿宋" w:eastAsia="仿宋_GB2312"/>
          <w:bCs/>
          <w:iCs/>
          <w:sz w:val="28"/>
          <w:szCs w:val="28"/>
          <w:highlight w:val="none"/>
          <w:lang w:eastAsia="zh-CN"/>
        </w:rPr>
        <w:t>商品</w:t>
      </w:r>
      <w:r>
        <w:rPr>
          <w:rFonts w:hint="eastAsia" w:ascii="仿宋_GB2312" w:hAnsi="仿宋" w:eastAsia="仿宋_GB2312"/>
          <w:bCs/>
          <w:iCs/>
          <w:sz w:val="28"/>
          <w:szCs w:val="28"/>
          <w:highlight w:val="none"/>
        </w:rPr>
        <w:t>销售额不应等于营业收入、期末商品库存额不等于存货）。</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2.</w:t>
      </w:r>
      <w:r>
        <w:rPr>
          <w:rFonts w:hint="eastAsia" w:ascii="仿宋_GB2312" w:hAnsi="仿宋" w:eastAsia="仿宋_GB2312"/>
          <w:bCs/>
          <w:iCs/>
          <w:sz w:val="28"/>
          <w:szCs w:val="28"/>
          <w:highlight w:val="none"/>
        </w:rPr>
        <w:t>计量单位</w:t>
      </w:r>
      <w:r>
        <w:rPr>
          <w:rFonts w:hint="eastAsia" w:ascii="仿宋_GB2312" w:hAnsi="仿宋" w:eastAsia="仿宋_GB2312"/>
          <w:bCs/>
          <w:iCs/>
          <w:sz w:val="28"/>
          <w:szCs w:val="28"/>
          <w:highlight w:val="none"/>
          <w:lang w:eastAsia="zh-CN"/>
        </w:rPr>
        <w:t>绝大部分为“</w:t>
      </w:r>
      <w:r>
        <w:rPr>
          <w:rFonts w:hint="eastAsia" w:ascii="仿宋_GB2312" w:hAnsi="仿宋" w:eastAsia="仿宋_GB2312"/>
          <w:bCs/>
          <w:iCs/>
          <w:sz w:val="28"/>
          <w:szCs w:val="28"/>
          <w:highlight w:val="none"/>
        </w:rPr>
        <w:t>千元</w:t>
      </w:r>
      <w:r>
        <w:rPr>
          <w:rFonts w:hint="eastAsia" w:ascii="仿宋_GB2312" w:hAnsi="仿宋" w:eastAsia="仿宋_GB2312"/>
          <w:bCs/>
          <w:iCs/>
          <w:sz w:val="28"/>
          <w:szCs w:val="28"/>
          <w:highlight w:val="none"/>
          <w:lang w:eastAsia="zh-CN"/>
        </w:rPr>
        <w:t>”（具体以报表内计量单位为准），注意计量单位转换，不能出现极大值。</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3.</w:t>
      </w:r>
      <w:r>
        <w:rPr>
          <w:rFonts w:hint="eastAsia" w:ascii="仿宋_GB2312" w:hAnsi="仿宋" w:eastAsia="仿宋_GB2312"/>
          <w:bCs/>
          <w:iCs/>
          <w:sz w:val="28"/>
          <w:szCs w:val="28"/>
          <w:highlight w:val="none"/>
        </w:rPr>
        <w:t>E104-1、BJE104-2表内所有指标</w:t>
      </w:r>
      <w:r>
        <w:rPr>
          <w:rFonts w:hint="eastAsia" w:ascii="仿宋_GB2312" w:hAnsi="仿宋" w:eastAsia="仿宋_GB2312"/>
          <w:bCs/>
          <w:iCs/>
          <w:sz w:val="28"/>
          <w:szCs w:val="28"/>
          <w:highlight w:val="none"/>
          <w:lang w:eastAsia="zh-CN"/>
        </w:rPr>
        <w:t>均应</w:t>
      </w:r>
      <w:r>
        <w:rPr>
          <w:rFonts w:hint="eastAsia" w:ascii="仿宋_GB2312" w:hAnsi="仿宋" w:eastAsia="仿宋_GB2312"/>
          <w:bCs/>
          <w:iCs/>
          <w:sz w:val="28"/>
          <w:szCs w:val="28"/>
          <w:highlight w:val="none"/>
        </w:rPr>
        <w:t>大于等于0。</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4.</w:t>
      </w:r>
      <w:r>
        <w:rPr>
          <w:rFonts w:hint="eastAsia" w:ascii="仿宋_GB2312" w:hAnsi="仿宋" w:eastAsia="仿宋_GB2312"/>
          <w:b w:val="0"/>
          <w:bCs/>
          <w:iCs/>
          <w:sz w:val="28"/>
          <w:szCs w:val="28"/>
          <w:highlight w:val="none"/>
        </w:rPr>
        <w:t>批发额占销售额比重大于50%</w:t>
      </w:r>
      <w:r>
        <w:rPr>
          <w:rFonts w:hint="eastAsia" w:ascii="仿宋_GB2312" w:hAnsi="仿宋" w:eastAsia="仿宋_GB2312"/>
          <w:b w:val="0"/>
          <w:bCs/>
          <w:iCs/>
          <w:sz w:val="28"/>
          <w:szCs w:val="28"/>
          <w:highlight w:val="none"/>
          <w:lang w:eastAsia="zh-CN"/>
        </w:rPr>
        <w:t>通常为批发业单位（行业代码51开头）；零售额占销售额比重大于50%通常为零售业单位（行业代码52开头）。</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5.</w:t>
      </w:r>
      <w:r>
        <w:rPr>
          <w:rFonts w:hint="eastAsia" w:ascii="仿宋_GB2312" w:hAnsi="仿宋" w:eastAsia="仿宋_GB2312"/>
          <w:b w:val="0"/>
          <w:bCs/>
          <w:iCs/>
          <w:sz w:val="28"/>
          <w:szCs w:val="28"/>
          <w:highlight w:val="none"/>
        </w:rPr>
        <w:t>“商品</w:t>
      </w:r>
      <w:r>
        <w:rPr>
          <w:rFonts w:ascii="仿宋_GB2312" w:hAnsi="仿宋" w:eastAsia="仿宋_GB2312"/>
          <w:b w:val="0"/>
          <w:bCs/>
          <w:iCs/>
          <w:sz w:val="28"/>
          <w:szCs w:val="28"/>
          <w:highlight w:val="none"/>
        </w:rPr>
        <w:t>销售额</w:t>
      </w:r>
      <w:r>
        <w:rPr>
          <w:rFonts w:hint="eastAsia"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lang w:eastAsia="zh-CN"/>
        </w:rPr>
        <w:t>（含其中项）、</w:t>
      </w:r>
      <w:r>
        <w:rPr>
          <w:rFonts w:hint="eastAsia" w:ascii="仿宋_GB2312" w:hAnsi="仿宋" w:eastAsia="仿宋_GB2312"/>
          <w:b w:val="0"/>
          <w:bCs/>
          <w:iCs/>
          <w:sz w:val="28"/>
          <w:szCs w:val="28"/>
          <w:highlight w:val="none"/>
        </w:rPr>
        <w:t>“商品购进额”</w:t>
      </w:r>
      <w:r>
        <w:rPr>
          <w:rFonts w:hint="eastAsia" w:ascii="仿宋_GB2312" w:hAnsi="仿宋" w:eastAsia="仿宋_GB2312"/>
          <w:b w:val="0"/>
          <w:bCs/>
          <w:iCs/>
          <w:sz w:val="28"/>
          <w:szCs w:val="28"/>
          <w:highlight w:val="none"/>
          <w:lang w:eastAsia="zh-CN"/>
        </w:rPr>
        <w:t>（含其中项）、</w:t>
      </w:r>
      <w:r>
        <w:rPr>
          <w:rFonts w:hint="eastAsia" w:ascii="仿宋_GB2312" w:hAnsi="仿宋" w:eastAsia="仿宋_GB2312"/>
          <w:b w:val="0"/>
          <w:bCs/>
          <w:iCs/>
          <w:sz w:val="28"/>
          <w:szCs w:val="28"/>
          <w:highlight w:val="none"/>
        </w:rPr>
        <w:t>“期末</w:t>
      </w:r>
      <w:r>
        <w:rPr>
          <w:rFonts w:ascii="仿宋_GB2312" w:hAnsi="仿宋" w:eastAsia="仿宋_GB2312"/>
          <w:b w:val="0"/>
          <w:bCs/>
          <w:iCs/>
          <w:sz w:val="28"/>
          <w:szCs w:val="28"/>
          <w:highlight w:val="none"/>
        </w:rPr>
        <w:t>商品库存额</w:t>
      </w:r>
      <w:r>
        <w:rPr>
          <w:rFonts w:hint="eastAsia" w:ascii="仿宋_GB2312" w:hAnsi="仿宋" w:eastAsia="仿宋_GB2312"/>
          <w:b w:val="0"/>
          <w:bCs/>
          <w:iCs/>
          <w:sz w:val="28"/>
          <w:szCs w:val="28"/>
          <w:highlight w:val="none"/>
        </w:rPr>
        <w:t>”的统计对象为商品，对于汽车修理等服务性</w:t>
      </w:r>
      <w:r>
        <w:rPr>
          <w:rFonts w:ascii="仿宋_GB2312" w:hAnsi="仿宋" w:eastAsia="仿宋_GB2312"/>
          <w:b w:val="0"/>
          <w:bCs/>
          <w:iCs/>
          <w:sz w:val="28"/>
          <w:szCs w:val="28"/>
          <w:highlight w:val="none"/>
        </w:rPr>
        <w:t>经济活动</w:t>
      </w:r>
      <w:r>
        <w:rPr>
          <w:rFonts w:hint="eastAsia" w:ascii="仿宋_GB2312" w:hAnsi="仿宋" w:eastAsia="仿宋_GB2312"/>
          <w:b w:val="0"/>
          <w:bCs/>
          <w:iCs/>
          <w:sz w:val="28"/>
          <w:szCs w:val="28"/>
          <w:highlight w:val="none"/>
        </w:rPr>
        <w:t>，不应包含在</w:t>
      </w:r>
      <w:r>
        <w:rPr>
          <w:rFonts w:ascii="仿宋_GB2312" w:hAnsi="仿宋" w:eastAsia="仿宋_GB2312"/>
          <w:b w:val="0"/>
          <w:bCs/>
          <w:iCs/>
          <w:sz w:val="28"/>
          <w:szCs w:val="28"/>
          <w:highlight w:val="none"/>
        </w:rPr>
        <w:t>内，</w:t>
      </w:r>
      <w:r>
        <w:rPr>
          <w:rFonts w:hint="eastAsia" w:ascii="仿宋_GB2312" w:hAnsi="仿宋" w:eastAsia="仿宋_GB2312"/>
          <w:b w:val="0"/>
          <w:bCs/>
          <w:iCs/>
          <w:sz w:val="28"/>
          <w:szCs w:val="28"/>
          <w:highlight w:val="none"/>
        </w:rPr>
        <w:t>应</w:t>
      </w:r>
      <w:r>
        <w:rPr>
          <w:rFonts w:ascii="仿宋_GB2312" w:hAnsi="仿宋" w:eastAsia="仿宋_GB2312"/>
          <w:b w:val="0"/>
          <w:bCs/>
          <w:iCs/>
          <w:sz w:val="28"/>
          <w:szCs w:val="28"/>
          <w:highlight w:val="none"/>
        </w:rPr>
        <w:t>填入服务</w:t>
      </w:r>
      <w:r>
        <w:rPr>
          <w:rFonts w:hint="eastAsia" w:ascii="仿宋_GB2312" w:hAnsi="仿宋" w:eastAsia="仿宋_GB2312"/>
          <w:b w:val="0"/>
          <w:bCs/>
          <w:iCs/>
          <w:sz w:val="28"/>
          <w:szCs w:val="28"/>
          <w:highlight w:val="none"/>
        </w:rPr>
        <w:t>营业</w:t>
      </w:r>
      <w:r>
        <w:rPr>
          <w:rFonts w:ascii="仿宋_GB2312" w:hAnsi="仿宋" w:eastAsia="仿宋_GB2312"/>
          <w:b w:val="0"/>
          <w:bCs/>
          <w:iCs/>
          <w:sz w:val="28"/>
          <w:szCs w:val="28"/>
          <w:highlight w:val="none"/>
        </w:rPr>
        <w:t>额（</w:t>
      </w:r>
      <w:r>
        <w:rPr>
          <w:rFonts w:hint="eastAsia" w:ascii="仿宋_GB2312" w:hAnsi="仿宋" w:eastAsia="仿宋_GB2312"/>
          <w:b w:val="0"/>
          <w:bCs/>
          <w:iCs/>
          <w:sz w:val="28"/>
          <w:szCs w:val="28"/>
          <w:highlight w:val="none"/>
        </w:rPr>
        <w:t>含增值税</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6.</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服务营业</w:t>
      </w:r>
      <w:r>
        <w:rPr>
          <w:rFonts w:ascii="仿宋_GB2312" w:hAnsi="仿宋" w:eastAsia="仿宋_GB2312"/>
          <w:b w:val="0"/>
          <w:bCs/>
          <w:iCs/>
          <w:sz w:val="28"/>
          <w:szCs w:val="28"/>
          <w:highlight w:val="none"/>
        </w:rPr>
        <w:t>额</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指批发和零售业单位在经营活动中，因提供服务取得的收入（含增值税），包括贸易经纪代理服务、拍卖服务、汽车维修和装饰服务、各种商务服务和商品代理、互联网交易平台服务、场地和商品租赁、充电服务等。</w:t>
      </w:r>
    </w:p>
    <w:p>
      <w:pPr>
        <w:pageBreakBefore w:val="0"/>
        <w:widowControl w:val="0"/>
        <w:kinsoku/>
        <w:wordWrap/>
        <w:overflowPunct/>
        <w:topLinePunct w:val="0"/>
        <w:autoSpaceDE/>
        <w:autoSpaceDN/>
        <w:bidi w:val="0"/>
        <w:snapToGrid/>
        <w:spacing w:line="420" w:lineRule="exact"/>
        <w:ind w:right="0" w:rightChars="0" w:firstLine="560" w:firstLineChars="200"/>
        <w:rPr>
          <w:rFonts w:hint="eastAsia" w:ascii="仿宋_GB2312" w:hAnsi="仿宋" w:eastAsia="仿宋_GB2312" w:cs="Times New Roman"/>
          <w:b w:val="0"/>
          <w:bCs/>
          <w:iCs/>
          <w:kern w:val="2"/>
          <w:sz w:val="28"/>
          <w:szCs w:val="28"/>
          <w:highlight w:val="none"/>
          <w:lang w:val="en-US" w:eastAsia="zh-CN" w:bidi="ar-SA"/>
        </w:rPr>
      </w:pPr>
      <w:r>
        <w:rPr>
          <w:rFonts w:hint="eastAsia" w:ascii="仿宋_GB2312" w:hAnsi="仿宋" w:eastAsia="仿宋_GB2312"/>
          <w:b w:val="0"/>
          <w:bCs/>
          <w:iCs/>
          <w:sz w:val="28"/>
          <w:szCs w:val="28"/>
          <w:highlight w:val="none"/>
          <w:lang w:val="en-US" w:eastAsia="zh-CN"/>
        </w:rPr>
        <w:t>7.</w:t>
      </w:r>
      <w:r>
        <w:rPr>
          <w:rFonts w:hint="eastAsia" w:ascii="仿宋_GB2312" w:hAnsi="仿宋" w:eastAsia="仿宋_GB2312"/>
          <w:b w:val="0"/>
          <w:bCs/>
          <w:iCs/>
          <w:sz w:val="28"/>
          <w:szCs w:val="28"/>
          <w:highlight w:val="none"/>
        </w:rPr>
        <w:t>“批发和零售业年末零售营业面积”</w:t>
      </w:r>
      <w:r>
        <w:rPr>
          <w:rFonts w:hint="eastAsia" w:ascii="仿宋_GB2312" w:hAnsi="仿宋" w:eastAsia="仿宋_GB2312"/>
          <w:b w:val="0"/>
          <w:bCs/>
          <w:iCs/>
          <w:sz w:val="28"/>
          <w:szCs w:val="28"/>
          <w:highlight w:val="none"/>
          <w:lang w:eastAsia="zh-CN"/>
        </w:rPr>
        <w:t>指</w:t>
      </w:r>
      <w:r>
        <w:rPr>
          <w:rFonts w:hint="eastAsia" w:ascii="仿宋_GB2312" w:hAnsi="仿宋" w:eastAsia="仿宋_GB2312" w:cs="Times New Roman"/>
          <w:b w:val="0"/>
          <w:bCs/>
          <w:iCs/>
          <w:kern w:val="2"/>
          <w:sz w:val="28"/>
          <w:szCs w:val="28"/>
          <w:highlight w:val="none"/>
          <w:lang w:val="en-US" w:eastAsia="zh-CN" w:bidi="ar-SA"/>
        </w:rPr>
        <w:t>批发和零售业单位用于本单位从事零售业务的对外营业的面积，不包括其办公用房、仓库、加工场地以及对外出租场地。按年末实有建筑面积统计。本指标应与商品销售额统计相匹配。</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lang w:eastAsia="zh-CN"/>
        </w:rPr>
        <w:t>如企业</w:t>
      </w:r>
      <w:r>
        <w:rPr>
          <w:rFonts w:hint="eastAsia" w:ascii="仿宋_GB2312" w:hAnsi="仿宋" w:eastAsia="仿宋_GB2312"/>
          <w:b w:val="0"/>
          <w:bCs/>
          <w:iCs/>
          <w:sz w:val="28"/>
          <w:szCs w:val="32"/>
          <w:highlight w:val="none"/>
        </w:rPr>
        <w:t>零售业态仅为“无店铺零售</w:t>
      </w:r>
      <w:r>
        <w:rPr>
          <w:rFonts w:ascii="仿宋_GB2312" w:hAnsi="仿宋" w:eastAsia="仿宋_GB2312"/>
          <w:b w:val="0"/>
          <w:bCs/>
          <w:iCs/>
          <w:sz w:val="28"/>
          <w:szCs w:val="32"/>
          <w:highlight w:val="none"/>
        </w:rPr>
        <w:t>”</w:t>
      </w:r>
      <w:r>
        <w:rPr>
          <w:rFonts w:hint="eastAsia" w:ascii="仿宋_GB2312" w:hAnsi="仿宋" w:eastAsia="仿宋_GB2312"/>
          <w:b w:val="0"/>
          <w:bCs/>
          <w:iCs/>
          <w:sz w:val="28"/>
          <w:szCs w:val="32"/>
          <w:highlight w:val="none"/>
        </w:rPr>
        <w:t>，原则上</w:t>
      </w:r>
      <w:r>
        <w:rPr>
          <w:rFonts w:ascii="仿宋_GB2312" w:hAnsi="仿宋" w:eastAsia="仿宋_GB2312"/>
          <w:b w:val="0"/>
          <w:bCs/>
          <w:iCs/>
          <w:sz w:val="28"/>
          <w:szCs w:val="32"/>
          <w:highlight w:val="none"/>
        </w:rPr>
        <w:t>零售营业面积应为0</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行业为批发业且零售额为</w:t>
      </w:r>
      <w:r>
        <w:rPr>
          <w:rFonts w:ascii="仿宋_GB2312" w:hAnsi="仿宋" w:eastAsia="仿宋_GB2312"/>
          <w:b w:val="0"/>
          <w:bCs/>
          <w:iCs/>
          <w:sz w:val="28"/>
          <w:szCs w:val="32"/>
          <w:highlight w:val="none"/>
        </w:rPr>
        <w:t>0</w:t>
      </w:r>
      <w:r>
        <w:rPr>
          <w:rFonts w:hint="eastAsia" w:ascii="仿宋_GB2312" w:hAnsi="仿宋" w:eastAsia="仿宋_GB2312"/>
          <w:b w:val="0"/>
          <w:bCs/>
          <w:iCs/>
          <w:sz w:val="28"/>
          <w:szCs w:val="32"/>
          <w:highlight w:val="none"/>
        </w:rPr>
        <w:t>的单位，原则</w:t>
      </w:r>
      <w:r>
        <w:rPr>
          <w:rFonts w:ascii="仿宋_GB2312" w:hAnsi="仿宋" w:eastAsia="仿宋_GB2312"/>
          <w:b w:val="0"/>
          <w:bCs/>
          <w:iCs/>
          <w:sz w:val="28"/>
          <w:szCs w:val="32"/>
          <w:highlight w:val="none"/>
        </w:rPr>
        <w:t>上零售营业面积应为0</w:t>
      </w:r>
    </w:p>
    <w:p>
      <w:pPr>
        <w:pStyle w:val="35"/>
        <w:keepNext w:val="0"/>
        <w:keepLines w:val="0"/>
        <w:pageBreakBefore w:val="0"/>
        <w:widowControl w:val="0"/>
        <w:numPr>
          <w:ilvl w:val="0"/>
          <w:numId w:val="8"/>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“商品购进</w:t>
      </w:r>
      <w:r>
        <w:rPr>
          <w:rFonts w:ascii="仿宋_GB2312" w:hAnsi="仿宋" w:eastAsia="仿宋_GB2312"/>
          <w:b w:val="0"/>
          <w:bCs/>
          <w:iCs/>
          <w:sz w:val="28"/>
          <w:szCs w:val="28"/>
          <w:highlight w:val="none"/>
        </w:rPr>
        <w:t>额</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不包括</w:t>
      </w:r>
      <w:r>
        <w:rPr>
          <w:rFonts w:hint="eastAsia" w:ascii="仿宋_GB2312" w:hAnsi="仿宋" w:eastAsia="仿宋_GB2312"/>
          <w:b w:val="0"/>
          <w:bCs/>
          <w:iCs/>
          <w:sz w:val="28"/>
          <w:szCs w:val="28"/>
          <w:highlight w:val="none"/>
        </w:rPr>
        <w:t>：（1）企业为本单位自身经营用，不是作为转卖而购进的商品，如材料物资、包装物、低值易耗品、办公用品等；（2）未通过买卖行为而收入的商品，如接受其他部门移交的商品、借入的商品、收入代其他单位保管的商品、其他单位赠送的样品、加工回收的成品等；（3）经本单位介绍，由买卖双方直接结算，本单位只收取手续费的业务；（4）销售退回和买方拒付货款的商品；（5）商品溢余；（6）期货交易商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9.</w:t>
      </w:r>
      <w:r>
        <w:rPr>
          <w:rFonts w:hint="eastAsia" w:ascii="仿宋_GB2312" w:hAnsi="仿宋" w:eastAsia="仿宋_GB2312"/>
          <w:b w:val="0"/>
          <w:bCs/>
          <w:iCs/>
          <w:sz w:val="28"/>
          <w:szCs w:val="28"/>
          <w:highlight w:val="none"/>
        </w:rPr>
        <w:t>“进口”</w:t>
      </w:r>
      <w:r>
        <w:rPr>
          <w:rFonts w:hint="eastAsia" w:ascii="仿宋_GB2312" w:hAnsi="仿宋" w:eastAsia="仿宋_GB2312"/>
          <w:b w:val="0"/>
          <w:bCs/>
          <w:iCs/>
          <w:sz w:val="28"/>
          <w:szCs w:val="28"/>
          <w:highlight w:val="none"/>
          <w:lang w:eastAsia="zh-CN"/>
        </w:rPr>
        <w:t>指本单位直接从国外进口或委托外贸企业（单位）代理进口的商品金额，不包括从国内有关单位购进的进口商品金额。对外贸易企业（单位）只统计自主经营进口的商品，不统计受托代理进口的商品。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10.</w:t>
      </w:r>
      <w:r>
        <w:rPr>
          <w:rFonts w:hint="eastAsia" w:ascii="仿宋_GB2312" w:hAnsi="仿宋" w:eastAsia="仿宋_GB2312"/>
          <w:b w:val="0"/>
          <w:bCs/>
          <w:iCs/>
          <w:sz w:val="28"/>
          <w:szCs w:val="28"/>
          <w:highlight w:val="none"/>
        </w:rPr>
        <w:t>“商品销售额”含税，应</w:t>
      </w:r>
      <w:r>
        <w:rPr>
          <w:rFonts w:ascii="仿宋_GB2312" w:hAnsi="仿宋" w:eastAsia="仿宋_GB2312"/>
          <w:b w:val="0"/>
          <w:bCs/>
          <w:iCs/>
          <w:sz w:val="28"/>
          <w:szCs w:val="28"/>
          <w:highlight w:val="none"/>
        </w:rPr>
        <w:t>与</w:t>
      </w:r>
      <w:r>
        <w:rPr>
          <w:rFonts w:hint="eastAsia" w:ascii="仿宋_GB2312" w:hAnsi="仿宋" w:eastAsia="仿宋_GB2312"/>
          <w:b w:val="0"/>
          <w:bCs/>
          <w:iCs/>
          <w:sz w:val="28"/>
          <w:szCs w:val="28"/>
          <w:highlight w:val="none"/>
        </w:rPr>
        <w:t>财务状况表的“营业收入”相匹配，</w:t>
      </w:r>
      <w:r>
        <w:rPr>
          <w:rFonts w:ascii="仿宋_GB2312" w:hAnsi="仿宋" w:eastAsia="仿宋_GB2312"/>
          <w:b w:val="0"/>
          <w:bCs/>
          <w:iCs/>
          <w:sz w:val="28"/>
          <w:szCs w:val="28"/>
          <w:highlight w:val="none"/>
        </w:rPr>
        <w:t>一般不应较“</w:t>
      </w:r>
      <w:r>
        <w:rPr>
          <w:rFonts w:hint="eastAsia" w:ascii="仿宋_GB2312" w:hAnsi="仿宋" w:eastAsia="仿宋_GB2312"/>
          <w:b w:val="0"/>
          <w:bCs/>
          <w:iCs/>
          <w:sz w:val="28"/>
          <w:szCs w:val="28"/>
          <w:highlight w:val="none"/>
        </w:rPr>
        <w:t>营业收入</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过高</w:t>
      </w:r>
      <w:r>
        <w:rPr>
          <w:rFonts w:ascii="仿宋_GB2312" w:hAnsi="仿宋" w:eastAsia="仿宋_GB2312"/>
          <w:b w:val="0"/>
          <w:bCs/>
          <w:iCs/>
          <w:sz w:val="28"/>
          <w:szCs w:val="28"/>
          <w:highlight w:val="none"/>
        </w:rPr>
        <w:t>或过低。</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11.</w:t>
      </w:r>
      <w:r>
        <w:rPr>
          <w:rFonts w:hint="eastAsia" w:ascii="仿宋_GB2312" w:hAnsi="仿宋" w:eastAsia="仿宋_GB2312"/>
          <w:b w:val="0"/>
          <w:bCs/>
          <w:iCs/>
          <w:sz w:val="28"/>
          <w:szCs w:val="28"/>
          <w:highlight w:val="none"/>
        </w:rPr>
        <w:t>“通过公共网络实现的销售额/零售额”：企业（单位）通过公共网络交易平台（包括自建网站和第三方平台）取得订单，付款可以在网上进行，也可以在网下进行。公共网络包括计算机互联网、移动互联网等。通过烟草</w:t>
      </w:r>
      <w:r>
        <w:rPr>
          <w:rFonts w:ascii="仿宋_GB2312" w:hAnsi="仿宋" w:eastAsia="仿宋_GB2312"/>
          <w:b w:val="0"/>
          <w:bCs/>
          <w:iCs/>
          <w:sz w:val="28"/>
          <w:szCs w:val="28"/>
          <w:highlight w:val="none"/>
        </w:rPr>
        <w:t>专卖网</w:t>
      </w:r>
      <w:r>
        <w:rPr>
          <w:rFonts w:hint="eastAsia" w:ascii="仿宋_GB2312" w:hAnsi="仿宋" w:eastAsia="仿宋_GB2312"/>
          <w:b w:val="0"/>
          <w:bCs/>
          <w:iCs/>
          <w:sz w:val="28"/>
          <w:szCs w:val="28"/>
          <w:highlight w:val="none"/>
        </w:rPr>
        <w:t>等</w:t>
      </w:r>
      <w:r>
        <w:rPr>
          <w:rFonts w:ascii="仿宋_GB2312" w:hAnsi="仿宋" w:eastAsia="仿宋_GB2312"/>
          <w:b w:val="0"/>
          <w:bCs/>
          <w:iCs/>
          <w:sz w:val="28"/>
          <w:szCs w:val="28"/>
          <w:highlight w:val="none"/>
        </w:rPr>
        <w:t>内部网络</w:t>
      </w:r>
      <w:r>
        <w:rPr>
          <w:rFonts w:hint="eastAsia" w:ascii="仿宋_GB2312" w:hAnsi="仿宋" w:eastAsia="仿宋_GB2312"/>
          <w:b w:val="0"/>
          <w:bCs/>
          <w:iCs/>
          <w:sz w:val="28"/>
          <w:szCs w:val="28"/>
          <w:highlight w:val="none"/>
        </w:rPr>
        <w:t>、ERP等</w:t>
      </w:r>
      <w:r>
        <w:rPr>
          <w:rFonts w:ascii="仿宋_GB2312" w:hAnsi="仿宋" w:eastAsia="仿宋_GB2312"/>
          <w:b w:val="0"/>
          <w:bCs/>
          <w:iCs/>
          <w:sz w:val="28"/>
          <w:szCs w:val="28"/>
          <w:highlight w:val="none"/>
        </w:rPr>
        <w:t>内部系统下单的</w:t>
      </w:r>
      <w:r>
        <w:rPr>
          <w:rFonts w:hint="eastAsia" w:ascii="仿宋_GB2312" w:hAnsi="仿宋" w:eastAsia="仿宋_GB2312"/>
          <w:b w:val="0"/>
          <w:bCs/>
          <w:iCs/>
          <w:sz w:val="28"/>
          <w:szCs w:val="28"/>
          <w:highlight w:val="none"/>
        </w:rPr>
        <w:t>商品销售额/</w:t>
      </w:r>
      <w:r>
        <w:rPr>
          <w:rFonts w:ascii="仿宋_GB2312" w:hAnsi="仿宋" w:eastAsia="仿宋_GB2312"/>
          <w:b w:val="0"/>
          <w:bCs/>
          <w:iCs/>
          <w:sz w:val="28"/>
          <w:szCs w:val="28"/>
          <w:highlight w:val="none"/>
        </w:rPr>
        <w:t>零售额，不应计入通过公共网络实现的</w:t>
      </w:r>
      <w:r>
        <w:rPr>
          <w:rFonts w:hint="eastAsia" w:ascii="仿宋_GB2312" w:hAnsi="仿宋" w:eastAsia="仿宋_GB2312"/>
          <w:b w:val="0"/>
          <w:bCs/>
          <w:iCs/>
          <w:sz w:val="28"/>
          <w:szCs w:val="28"/>
          <w:highlight w:val="none"/>
        </w:rPr>
        <w:t>销售额/</w:t>
      </w:r>
      <w:r>
        <w:rPr>
          <w:rFonts w:ascii="仿宋_GB2312" w:hAnsi="仿宋" w:eastAsia="仿宋_GB2312"/>
          <w:b w:val="0"/>
          <w:bCs/>
          <w:iCs/>
          <w:sz w:val="28"/>
          <w:szCs w:val="28"/>
          <w:highlight w:val="none"/>
        </w:rPr>
        <w:t>零售额</w:t>
      </w:r>
      <w:r>
        <w:rPr>
          <w:rFonts w:hint="eastAsia" w:ascii="仿宋_GB2312" w:hAnsi="仿宋" w:eastAsia="仿宋_GB2312"/>
          <w:b w:val="0"/>
          <w:bCs/>
          <w:iCs/>
          <w:sz w:val="28"/>
          <w:szCs w:val="28"/>
          <w:highlight w:val="none"/>
        </w:rPr>
        <w:t>。</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12.</w:t>
      </w:r>
      <w:r>
        <w:rPr>
          <w:rFonts w:hint="eastAsia" w:ascii="仿宋_GB2312" w:hAnsi="仿宋" w:eastAsia="仿宋_GB2312"/>
          <w:b w:val="0"/>
          <w:bCs/>
          <w:iCs/>
          <w:sz w:val="28"/>
          <w:szCs w:val="28"/>
          <w:highlight w:val="none"/>
        </w:rPr>
        <w:t>“</w:t>
      </w:r>
      <w:r>
        <w:rPr>
          <w:rFonts w:hint="eastAsia" w:ascii="宋体" w:cs="宋体"/>
          <w:b w:val="0"/>
          <w:bCs/>
          <w:kern w:val="0"/>
          <w:sz w:val="18"/>
          <w:szCs w:val="18"/>
          <w:highlight w:val="none"/>
        </w:rPr>
        <w:t xml:space="preserve"> </w:t>
      </w:r>
      <w:r>
        <w:rPr>
          <w:rFonts w:hint="eastAsia" w:ascii="仿宋_GB2312" w:hAnsi="仿宋" w:eastAsia="仿宋_GB2312"/>
          <w:b w:val="0"/>
          <w:bCs/>
          <w:iCs/>
          <w:sz w:val="28"/>
          <w:szCs w:val="28"/>
          <w:highlight w:val="none"/>
        </w:rPr>
        <w:t>其中：通过非自营平台实现的商品销售额/零售额”指的是通过天猫、京东、抖音等第三方平台和微信小程序等取得订单，付款可以在网上进行，也可以在网下进行。</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13.</w:t>
      </w:r>
      <w:r>
        <w:rPr>
          <w:rFonts w:hint="eastAsia" w:ascii="仿宋_GB2312" w:hAnsi="仿宋" w:eastAsia="仿宋_GB2312"/>
          <w:b w:val="0"/>
          <w:bCs/>
          <w:iCs/>
          <w:sz w:val="28"/>
          <w:szCs w:val="28"/>
          <w:highlight w:val="none"/>
        </w:rPr>
        <w:t>“批发额”/“零售额”：</w:t>
      </w:r>
      <w:r>
        <w:rPr>
          <w:rFonts w:ascii="仿宋_GB2312" w:hAnsi="仿宋" w:eastAsia="仿宋_GB2312"/>
          <w:b w:val="0"/>
          <w:bCs/>
          <w:iCs/>
          <w:sz w:val="28"/>
          <w:szCs w:val="28"/>
          <w:highlight w:val="none"/>
        </w:rPr>
        <w:t>应</w:t>
      </w:r>
      <w:r>
        <w:rPr>
          <w:rFonts w:hint="eastAsia" w:ascii="仿宋_GB2312" w:hAnsi="仿宋" w:eastAsia="仿宋_GB2312"/>
          <w:b w:val="0"/>
          <w:bCs/>
          <w:iCs/>
          <w:sz w:val="28"/>
          <w:szCs w:val="28"/>
          <w:highlight w:val="none"/>
        </w:rPr>
        <w:t>分清批发与零售的概念，要</w:t>
      </w:r>
      <w:r>
        <w:rPr>
          <w:rFonts w:ascii="仿宋_GB2312" w:hAnsi="仿宋" w:eastAsia="仿宋_GB2312"/>
          <w:b w:val="0"/>
          <w:bCs/>
          <w:iCs/>
          <w:sz w:val="28"/>
          <w:szCs w:val="28"/>
          <w:highlight w:val="none"/>
        </w:rPr>
        <w:t>根据</w:t>
      </w:r>
      <w:r>
        <w:rPr>
          <w:rFonts w:hint="eastAsia" w:ascii="仿宋_GB2312" w:hAnsi="仿宋" w:eastAsia="仿宋_GB2312"/>
          <w:b w:val="0"/>
          <w:bCs/>
          <w:iCs/>
          <w:sz w:val="28"/>
          <w:szCs w:val="28"/>
          <w:highlight w:val="none"/>
        </w:rPr>
        <w:t>商品</w:t>
      </w:r>
      <w:r>
        <w:rPr>
          <w:rFonts w:ascii="仿宋_GB2312" w:hAnsi="仿宋" w:eastAsia="仿宋_GB2312"/>
          <w:b w:val="0"/>
          <w:bCs/>
          <w:iCs/>
          <w:sz w:val="28"/>
          <w:szCs w:val="28"/>
          <w:highlight w:val="none"/>
        </w:rPr>
        <w:t>类型</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销售对象</w:t>
      </w:r>
      <w:r>
        <w:rPr>
          <w:rFonts w:hint="eastAsia" w:ascii="仿宋_GB2312" w:hAnsi="仿宋" w:eastAsia="仿宋_GB2312"/>
          <w:b w:val="0"/>
          <w:bCs/>
          <w:iCs/>
          <w:sz w:val="28"/>
          <w:szCs w:val="28"/>
          <w:highlight w:val="none"/>
        </w:rPr>
        <w:t>和</w:t>
      </w:r>
      <w:r>
        <w:rPr>
          <w:rFonts w:ascii="仿宋_GB2312" w:hAnsi="仿宋" w:eastAsia="仿宋_GB2312"/>
          <w:b w:val="0"/>
          <w:bCs/>
          <w:iCs/>
          <w:sz w:val="28"/>
          <w:szCs w:val="28"/>
          <w:highlight w:val="none"/>
        </w:rPr>
        <w:t>销售用途来进行区分</w:t>
      </w:r>
      <w:r>
        <w:rPr>
          <w:rFonts w:hint="eastAsia" w:ascii="仿宋_GB2312" w:hAnsi="仿宋" w:eastAsia="仿宋_GB2312"/>
          <w:b w:val="0"/>
          <w:bCs/>
          <w:iCs/>
          <w:sz w:val="28"/>
          <w:szCs w:val="28"/>
          <w:highlight w:val="none"/>
        </w:rPr>
        <w:t>，关注零销比该项指标的变化。用于生产经营或转卖，与企事业</w:t>
      </w:r>
      <w:r>
        <w:rPr>
          <w:rFonts w:ascii="仿宋_GB2312" w:hAnsi="仿宋" w:eastAsia="仿宋_GB2312"/>
          <w:b w:val="0"/>
          <w:bCs/>
          <w:iCs/>
          <w:sz w:val="28"/>
          <w:szCs w:val="28"/>
          <w:highlight w:val="none"/>
        </w:rPr>
        <w:t>单位</w:t>
      </w:r>
      <w:r>
        <w:rPr>
          <w:rFonts w:hint="eastAsia" w:ascii="仿宋_GB2312" w:hAnsi="仿宋" w:eastAsia="仿宋_GB2312"/>
          <w:b w:val="0"/>
          <w:bCs/>
          <w:iCs/>
          <w:sz w:val="28"/>
          <w:szCs w:val="28"/>
          <w:highlight w:val="none"/>
        </w:rPr>
        <w:t>生产经营</w:t>
      </w:r>
      <w:r>
        <w:rPr>
          <w:rFonts w:hint="eastAsia" w:ascii="仿宋_GB2312" w:hAnsi="仿宋" w:eastAsia="仿宋_GB2312"/>
          <w:b w:val="0"/>
          <w:bCs/>
          <w:iCs/>
          <w:sz w:val="28"/>
          <w:szCs w:val="28"/>
          <w:highlight w:val="none"/>
          <w:lang w:eastAsia="zh-CN"/>
        </w:rPr>
        <w:t>高度</w:t>
      </w:r>
      <w:r>
        <w:rPr>
          <w:rFonts w:hint="eastAsia" w:ascii="仿宋_GB2312" w:hAnsi="仿宋" w:eastAsia="仿宋_GB2312"/>
          <w:b w:val="0"/>
          <w:bCs/>
          <w:iCs/>
          <w:sz w:val="28"/>
          <w:szCs w:val="28"/>
          <w:highlight w:val="none"/>
        </w:rPr>
        <w:t>相关的商品应</w:t>
      </w:r>
      <w:r>
        <w:rPr>
          <w:rFonts w:ascii="仿宋_GB2312" w:hAnsi="仿宋" w:eastAsia="仿宋_GB2312"/>
          <w:b w:val="0"/>
          <w:bCs/>
          <w:iCs/>
          <w:sz w:val="28"/>
          <w:szCs w:val="28"/>
          <w:highlight w:val="none"/>
        </w:rPr>
        <w:t>计入批发额</w:t>
      </w:r>
      <w:r>
        <w:rPr>
          <w:rFonts w:hint="eastAsia" w:ascii="仿宋_GB2312" w:hAnsi="仿宋" w:eastAsia="仿宋_GB2312"/>
          <w:b w:val="0"/>
          <w:bCs/>
          <w:iCs/>
          <w:sz w:val="28"/>
          <w:szCs w:val="28"/>
          <w:highlight w:val="none"/>
        </w:rPr>
        <w:t>；用于最终消费的计入</w:t>
      </w:r>
      <w:r>
        <w:rPr>
          <w:rFonts w:ascii="仿宋_GB2312" w:hAnsi="仿宋" w:eastAsia="仿宋_GB2312"/>
          <w:b w:val="0"/>
          <w:bCs/>
          <w:iCs/>
          <w:sz w:val="28"/>
          <w:szCs w:val="28"/>
          <w:highlight w:val="none"/>
        </w:rPr>
        <w:t>零售额</w:t>
      </w:r>
      <w:r>
        <w:rPr>
          <w:rFonts w:hint="eastAsia" w:ascii="仿宋_GB2312" w:hAnsi="仿宋" w:eastAsia="仿宋_GB2312"/>
          <w:b w:val="0"/>
          <w:bCs/>
          <w:iCs/>
          <w:sz w:val="28"/>
          <w:szCs w:val="28"/>
          <w:highlight w:val="none"/>
        </w:rPr>
        <w:t>。</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所有出口的商品，包括企业通过公共网络直接销售给境外个人的商品，均计入批发</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专用于科研的用品和设备计入批发，用于教学的则计入零售</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售给医疗机构的中、西药品，医疗设备器材等，计入批发</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售给企业单位</w:t>
      </w:r>
      <w:r>
        <w:rPr>
          <w:rFonts w:ascii="仿宋_GB2312" w:hAnsi="仿宋" w:eastAsia="仿宋_GB2312"/>
          <w:b w:val="0"/>
          <w:bCs/>
          <w:iCs/>
          <w:sz w:val="28"/>
          <w:szCs w:val="32"/>
          <w:highlight w:val="none"/>
        </w:rPr>
        <w:t>的生产用具及生产</w:t>
      </w:r>
      <w:r>
        <w:rPr>
          <w:rFonts w:hint="eastAsia" w:ascii="仿宋_GB2312" w:hAnsi="仿宋" w:eastAsia="仿宋_GB2312"/>
          <w:b w:val="0"/>
          <w:bCs/>
          <w:iCs/>
          <w:sz w:val="28"/>
          <w:szCs w:val="32"/>
          <w:highlight w:val="none"/>
        </w:rPr>
        <w:t>上</w:t>
      </w:r>
      <w:r>
        <w:rPr>
          <w:rFonts w:ascii="仿宋_GB2312" w:hAnsi="仿宋" w:eastAsia="仿宋_GB2312"/>
          <w:b w:val="0"/>
          <w:bCs/>
          <w:iCs/>
          <w:sz w:val="28"/>
          <w:szCs w:val="32"/>
          <w:highlight w:val="none"/>
        </w:rPr>
        <w:t>专用的劳动保护用品计入批发</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以投资为目的的商品计入批发，如黄金、收藏品等</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网上销售却由电商平台（如京东自营店铺）确认销售收入并向消费者开具全额发票计入批发</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售给民政局救灾物资、部队的训练子弹、公安的监控、个人转卖计入批发</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售给企业的日常办公文具计入零售</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售给软件公司的计算机计入批发</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14.</w:t>
      </w:r>
      <w:r>
        <w:rPr>
          <w:rFonts w:hint="eastAsia" w:ascii="仿宋_GB2312" w:hAnsi="仿宋" w:eastAsia="仿宋_GB2312"/>
          <w:b w:val="0"/>
          <w:bCs/>
          <w:iCs/>
          <w:sz w:val="28"/>
          <w:szCs w:val="28"/>
          <w:highlight w:val="none"/>
        </w:rPr>
        <w:t>“期末商品库存额”为时点数，不得以累计数填报。不包括所有权</w:t>
      </w:r>
      <w:r>
        <w:rPr>
          <w:rFonts w:ascii="仿宋_GB2312" w:hAnsi="仿宋" w:eastAsia="仿宋_GB2312"/>
          <w:b w:val="0"/>
          <w:bCs/>
          <w:iCs/>
          <w:sz w:val="28"/>
          <w:szCs w:val="28"/>
          <w:highlight w:val="none"/>
        </w:rPr>
        <w:t>不属于本单位的商品，如商品已</w:t>
      </w:r>
      <w:r>
        <w:rPr>
          <w:rFonts w:hint="eastAsia" w:ascii="仿宋_GB2312" w:hAnsi="仿宋" w:eastAsia="仿宋_GB2312"/>
          <w:b w:val="0"/>
          <w:bCs/>
          <w:iCs/>
          <w:sz w:val="28"/>
          <w:szCs w:val="28"/>
          <w:highlight w:val="none"/>
        </w:rPr>
        <w:t>作</w:t>
      </w:r>
      <w:r>
        <w:rPr>
          <w:rFonts w:ascii="仿宋_GB2312" w:hAnsi="仿宋" w:eastAsia="仿宋_GB2312"/>
          <w:b w:val="0"/>
          <w:bCs/>
          <w:iCs/>
          <w:sz w:val="28"/>
          <w:szCs w:val="28"/>
          <w:highlight w:val="none"/>
        </w:rPr>
        <w:t>销售但买</w:t>
      </w:r>
      <w:r>
        <w:rPr>
          <w:rFonts w:hint="eastAsia" w:ascii="仿宋_GB2312" w:hAnsi="仿宋" w:eastAsia="仿宋_GB2312"/>
          <w:b w:val="0"/>
          <w:bCs/>
          <w:iCs/>
          <w:sz w:val="28"/>
          <w:szCs w:val="28"/>
          <w:highlight w:val="none"/>
        </w:rPr>
        <w:t>方</w:t>
      </w:r>
      <w:r>
        <w:rPr>
          <w:rFonts w:ascii="仿宋_GB2312" w:hAnsi="仿宋" w:eastAsia="仿宋_GB2312"/>
          <w:b w:val="0"/>
          <w:bCs/>
          <w:iCs/>
          <w:sz w:val="28"/>
          <w:szCs w:val="28"/>
          <w:highlight w:val="none"/>
        </w:rPr>
        <w:t>尚未取走的商品，</w:t>
      </w:r>
      <w:r>
        <w:rPr>
          <w:rFonts w:hint="eastAsia" w:ascii="仿宋_GB2312" w:hAnsi="仿宋" w:eastAsia="仿宋_GB2312"/>
          <w:b w:val="0"/>
          <w:bCs/>
          <w:iCs/>
          <w:sz w:val="28"/>
          <w:szCs w:val="28"/>
          <w:highlight w:val="none"/>
        </w:rPr>
        <w:t>不包括</w:t>
      </w:r>
      <w:r>
        <w:rPr>
          <w:rFonts w:ascii="仿宋_GB2312" w:hAnsi="仿宋" w:eastAsia="仿宋_GB2312"/>
          <w:b w:val="0"/>
          <w:bCs/>
          <w:iCs/>
          <w:sz w:val="28"/>
          <w:szCs w:val="28"/>
          <w:highlight w:val="none"/>
        </w:rPr>
        <w:t>代替他人保管、运输、加工的商品，</w:t>
      </w:r>
      <w:r>
        <w:rPr>
          <w:rFonts w:hint="eastAsia" w:ascii="仿宋_GB2312" w:hAnsi="仿宋" w:eastAsia="仿宋_GB2312"/>
          <w:b w:val="0"/>
          <w:bCs/>
          <w:iCs/>
          <w:sz w:val="28"/>
          <w:szCs w:val="28"/>
          <w:highlight w:val="none"/>
        </w:rPr>
        <w:t>不包括</w:t>
      </w:r>
      <w:r>
        <w:rPr>
          <w:rFonts w:ascii="仿宋_GB2312" w:hAnsi="仿宋" w:eastAsia="仿宋_GB2312"/>
          <w:b w:val="0"/>
          <w:bCs/>
          <w:iCs/>
          <w:sz w:val="28"/>
          <w:szCs w:val="28"/>
          <w:highlight w:val="none"/>
        </w:rPr>
        <w:t>代</w:t>
      </w:r>
      <w:r>
        <w:rPr>
          <w:rFonts w:hint="eastAsia" w:ascii="仿宋_GB2312" w:hAnsi="仿宋" w:eastAsia="仿宋_GB2312"/>
          <w:b w:val="0"/>
          <w:bCs/>
          <w:iCs/>
          <w:sz w:val="28"/>
          <w:szCs w:val="28"/>
          <w:highlight w:val="none"/>
        </w:rPr>
        <w:t>其他</w:t>
      </w:r>
      <w:r>
        <w:rPr>
          <w:rFonts w:ascii="仿宋_GB2312" w:hAnsi="仿宋" w:eastAsia="仿宋_GB2312"/>
          <w:b w:val="0"/>
          <w:bCs/>
          <w:iCs/>
          <w:sz w:val="28"/>
          <w:szCs w:val="28"/>
          <w:highlight w:val="none"/>
        </w:rPr>
        <w:t>单位销售（</w:t>
      </w:r>
      <w:r>
        <w:rPr>
          <w:rFonts w:hint="eastAsia" w:ascii="仿宋_GB2312" w:hAnsi="仿宋" w:eastAsia="仿宋_GB2312"/>
          <w:b w:val="0"/>
          <w:bCs/>
          <w:iCs/>
          <w:sz w:val="28"/>
          <w:szCs w:val="28"/>
          <w:highlight w:val="none"/>
        </w:rPr>
        <w:t>未做</w:t>
      </w:r>
      <w:r>
        <w:rPr>
          <w:rFonts w:ascii="仿宋_GB2312" w:hAnsi="仿宋" w:eastAsia="仿宋_GB2312"/>
          <w:b w:val="0"/>
          <w:bCs/>
          <w:iCs/>
          <w:sz w:val="28"/>
          <w:szCs w:val="28"/>
          <w:highlight w:val="none"/>
        </w:rPr>
        <w:t>购进或调入）</w:t>
      </w:r>
      <w:r>
        <w:rPr>
          <w:rFonts w:hint="eastAsia" w:ascii="仿宋_GB2312" w:hAnsi="仿宋" w:eastAsia="仿宋_GB2312"/>
          <w:b w:val="0"/>
          <w:bCs/>
          <w:iCs/>
          <w:sz w:val="28"/>
          <w:szCs w:val="28"/>
          <w:highlight w:val="none"/>
        </w:rPr>
        <w:t>而</w:t>
      </w:r>
      <w:r>
        <w:rPr>
          <w:rFonts w:ascii="仿宋_GB2312" w:hAnsi="仿宋" w:eastAsia="仿宋_GB2312"/>
          <w:b w:val="0"/>
          <w:bCs/>
          <w:iCs/>
          <w:sz w:val="28"/>
          <w:szCs w:val="28"/>
          <w:highlight w:val="none"/>
        </w:rPr>
        <w:t>未售出的商品</w:t>
      </w:r>
      <w:r>
        <w:rPr>
          <w:rFonts w:hint="eastAsia" w:ascii="仿宋_GB2312" w:hAnsi="仿宋" w:eastAsia="仿宋_GB2312"/>
          <w:b w:val="0"/>
          <w:bCs/>
          <w:iCs/>
          <w:sz w:val="28"/>
          <w:szCs w:val="28"/>
          <w:highlight w:val="none"/>
          <w:lang w:eastAsia="zh-CN"/>
        </w:rPr>
        <w:t>，</w:t>
      </w:r>
      <w:r>
        <w:rPr>
          <w:rFonts w:ascii="仿宋_GB2312" w:hAnsi="仿宋" w:eastAsia="仿宋_GB2312"/>
          <w:b w:val="0"/>
          <w:bCs/>
          <w:iCs/>
          <w:sz w:val="28"/>
          <w:szCs w:val="28"/>
          <w:highlight w:val="none"/>
        </w:rPr>
        <w:t>也</w:t>
      </w:r>
      <w:r>
        <w:rPr>
          <w:rFonts w:hint="eastAsia" w:ascii="仿宋_GB2312" w:hAnsi="仿宋" w:eastAsia="仿宋_GB2312"/>
          <w:b w:val="0"/>
          <w:bCs/>
          <w:iCs/>
          <w:sz w:val="28"/>
          <w:szCs w:val="28"/>
          <w:highlight w:val="none"/>
        </w:rPr>
        <w:t>不包括</w:t>
      </w:r>
      <w:r>
        <w:rPr>
          <w:rFonts w:ascii="仿宋_GB2312" w:hAnsi="仿宋" w:eastAsia="仿宋_GB2312"/>
          <w:b w:val="0"/>
          <w:bCs/>
          <w:iCs/>
          <w:sz w:val="28"/>
          <w:szCs w:val="28"/>
          <w:highlight w:val="none"/>
        </w:rPr>
        <w:t>代国家储备部门保管的商品。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应注意该指标与财务表中“存货”指标的区分。（1）“期末商品库存额”指实际在库且归属法人具有所有权的全部商品金额，而“存货”通常包括原材料、在产品、半成品、产成品、商品以及周转材料等；（2）“期末商品库存额”应含增值税，而财务表中的“存货”不含增值税。</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 xml:space="preserve">15.BJE104-2表中，商品类别填列要齐全，填报“其他未列明商品类”的要具体询问，尽量不要填写在“其他未列明商品类”里。“其他未列明商品类”指1-26类未包括的商品类别，如大型医疗器材，文物、古董、邮票、硬币、现代绘画作品，土特产品和畜产品、禽畜或宠物用的药品、宠物食品、花鸟鱼虫，消防器材及设施，废旧物资等。其中，畜产品包括各种牛皮、羊皮、猪皮及其他动物皮革，以及种畜、幼畜、幼禽绒毛、羽毛、鬃毛、肠衣等。  </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16.BJE104-2表中，“汽车类”的其中项“其中：新能源汽车类”“其中：新车”“其中：二手车”“其中：汽车配件类”不要漏填。注意审核逻辑关系，汽车类销售额/零售额=新车销售额/零售额+二手车销售额/零售额+汽车配件销售额/零售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新能源汽车指采用新型动力系统，完全或主要依靠新型能源驱动的汽车，包括插电式混合动力（含增程式）汽车、纯电动汽车和燃料电池电动汽车等。</w:t>
      </w:r>
    </w:p>
    <w:p>
      <w:pPr>
        <w:pStyle w:val="6"/>
        <w:rPr>
          <w:rFonts w:hint="eastAsia"/>
          <w:lang w:val="en-US" w:eastAsia="zh-CN"/>
        </w:rPr>
      </w:pPr>
      <w:r>
        <w:rPr>
          <w:rFonts w:hint="eastAsia"/>
          <w:lang w:val="en-US" w:eastAsia="zh-CN"/>
        </w:rPr>
        <w:t>（四）常见问题及处理办法</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r>
        <w:rPr>
          <w:rFonts w:hint="eastAsia" w:ascii="仿宋_GB2312" w:hAnsi="仿宋" w:eastAsia="仿宋_GB2312"/>
          <w:b/>
          <w:bCs w:val="0"/>
          <w:iCs/>
          <w:sz w:val="28"/>
          <w:szCs w:val="28"/>
          <w:highlight w:val="none"/>
          <w:lang w:val="en-US" w:eastAsia="zh-CN"/>
        </w:rPr>
        <w:t>1.</w:t>
      </w:r>
      <w:r>
        <w:rPr>
          <w:rFonts w:hint="eastAsia" w:ascii="仿宋_GB2312" w:hAnsi="仿宋" w:eastAsia="仿宋_GB2312"/>
          <w:b/>
          <w:bCs w:val="0"/>
          <w:iCs/>
          <w:sz w:val="28"/>
          <w:szCs w:val="28"/>
          <w:highlight w:val="none"/>
        </w:rPr>
        <w:t>关于商品</w:t>
      </w:r>
      <w:r>
        <w:rPr>
          <w:rFonts w:ascii="仿宋_GB2312" w:hAnsi="仿宋" w:eastAsia="仿宋_GB2312"/>
          <w:b/>
          <w:bCs w:val="0"/>
          <w:iCs/>
          <w:sz w:val="28"/>
          <w:szCs w:val="28"/>
          <w:highlight w:val="none"/>
        </w:rPr>
        <w:t>分类的</w:t>
      </w:r>
      <w:r>
        <w:rPr>
          <w:rFonts w:hint="eastAsia" w:ascii="仿宋_GB2312" w:hAnsi="仿宋" w:eastAsia="仿宋_GB2312"/>
          <w:b/>
          <w:bCs w:val="0"/>
          <w:iCs/>
          <w:sz w:val="28"/>
          <w:szCs w:val="28"/>
          <w:highlight w:val="none"/>
        </w:rPr>
        <w:t>特殊</w:t>
      </w:r>
      <w:r>
        <w:rPr>
          <w:rFonts w:ascii="仿宋_GB2312" w:hAnsi="仿宋" w:eastAsia="仿宋_GB2312"/>
          <w:b/>
          <w:bCs w:val="0"/>
          <w:iCs/>
          <w:sz w:val="28"/>
          <w:szCs w:val="28"/>
          <w:highlight w:val="none"/>
        </w:rPr>
        <w:t>情况：</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金银珠宝类</w:t>
      </w:r>
      <w:r>
        <w:rPr>
          <w:rFonts w:hint="eastAsia" w:ascii="仿宋_GB2312" w:hAnsi="仿宋" w:eastAsia="仿宋_GB2312"/>
          <w:b w:val="0"/>
          <w:bCs/>
          <w:iCs/>
          <w:sz w:val="28"/>
          <w:szCs w:val="28"/>
          <w:highlight w:val="none"/>
        </w:rPr>
        <w:t>”的</w:t>
      </w:r>
      <w:r>
        <w:rPr>
          <w:rFonts w:ascii="仿宋_GB2312" w:hAnsi="仿宋" w:eastAsia="仿宋_GB2312"/>
          <w:b w:val="0"/>
          <w:bCs/>
          <w:iCs/>
          <w:sz w:val="28"/>
          <w:szCs w:val="28"/>
          <w:highlight w:val="none"/>
        </w:rPr>
        <w:t>其中项</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其中</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饰品类</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只包含相关饰品，不包含金砖、金条等</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“日用品类</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的</w:t>
      </w:r>
      <w:r>
        <w:rPr>
          <w:rFonts w:ascii="仿宋_GB2312" w:hAnsi="仿宋" w:eastAsia="仿宋_GB2312"/>
          <w:b w:val="0"/>
          <w:bCs/>
          <w:iCs/>
          <w:sz w:val="28"/>
          <w:szCs w:val="28"/>
          <w:highlight w:val="none"/>
        </w:rPr>
        <w:t>其中项</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其中</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可穿戴智能</w:t>
      </w:r>
      <w:r>
        <w:rPr>
          <w:rFonts w:hint="eastAsia" w:ascii="仿宋_GB2312" w:hAnsi="仿宋" w:eastAsia="仿宋_GB2312"/>
          <w:b w:val="0"/>
          <w:bCs/>
          <w:iCs/>
          <w:sz w:val="28"/>
          <w:szCs w:val="28"/>
          <w:highlight w:val="none"/>
        </w:rPr>
        <w:t>设备”指自然、持续地运行和交互的可穿戴个人移动计算设备，可通过APP与手机连接交换数据或可使用手机APP进行控制。包括智能手表、智能手环、智能眼镜、智能头盔、智能配饰等</w:t>
      </w:r>
      <w:r>
        <w:rPr>
          <w:rFonts w:hint="eastAsia" w:ascii="仿宋_GB2312" w:hAnsi="仿宋" w:eastAsia="仿宋_GB2312"/>
          <w:b w:val="0"/>
          <w:bCs/>
          <w:iCs/>
          <w:sz w:val="28"/>
          <w:szCs w:val="28"/>
          <w:highlight w:val="none"/>
          <w:lang w:val="en-US" w:eastAsia="zh-CN"/>
        </w:rPr>
        <w:t xml:space="preserve"> </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“其中：</w:t>
      </w:r>
      <w:r>
        <w:rPr>
          <w:rFonts w:ascii="仿宋_GB2312" w:hAnsi="仿宋" w:eastAsia="仿宋_GB2312"/>
          <w:b w:val="0"/>
          <w:bCs/>
          <w:iCs/>
          <w:sz w:val="28"/>
          <w:szCs w:val="28"/>
          <w:highlight w:val="none"/>
        </w:rPr>
        <w:t>智能手机</w:t>
      </w:r>
      <w:r>
        <w:rPr>
          <w:rFonts w:hint="eastAsia" w:ascii="仿宋_GB2312" w:hAnsi="仿宋" w:eastAsia="仿宋_GB2312"/>
          <w:b w:val="0"/>
          <w:bCs/>
          <w:iCs/>
          <w:sz w:val="28"/>
          <w:szCs w:val="28"/>
          <w:highlight w:val="none"/>
        </w:rPr>
        <w:t>” 指具有独立的操作系统，独立的运行空间，可以由用户自行安装软件、游戏、导航等第三方服务商提供的程序，并可以通过移动通讯网络来实现无线网络接入手机类型的总称</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电子计算机软件应计入“电子出版物及音像制品类”，而不是“文化办公用品类”或“计算机及其配套产品类”</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医疗用的各种大型设备，如CT机、核磁共振器等，和兽用的各种药品、医疗器材统计在“其他未列明</w:t>
      </w:r>
      <w:r>
        <w:rPr>
          <w:rFonts w:ascii="仿宋_GB2312" w:hAnsi="仿宋" w:eastAsia="仿宋_GB2312"/>
          <w:b w:val="0"/>
          <w:bCs/>
          <w:iCs/>
          <w:sz w:val="28"/>
          <w:szCs w:val="28"/>
          <w:highlight w:val="none"/>
        </w:rPr>
        <w:t>商品</w:t>
      </w:r>
      <w:r>
        <w:rPr>
          <w:rFonts w:hint="eastAsia" w:ascii="仿宋_GB2312" w:hAnsi="仿宋" w:eastAsia="仿宋_GB2312"/>
          <w:b w:val="0"/>
          <w:bCs/>
          <w:iCs/>
          <w:sz w:val="28"/>
          <w:szCs w:val="28"/>
          <w:highlight w:val="none"/>
        </w:rPr>
        <w:t>类”，而不是“中西药品类”，且不能算作零售</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医用敷料</w:t>
      </w:r>
      <w:r>
        <w:rPr>
          <w:rFonts w:ascii="仿宋_GB2312" w:hAnsi="仿宋" w:eastAsia="仿宋_GB2312"/>
          <w:b w:val="0"/>
          <w:bCs/>
          <w:iCs/>
          <w:sz w:val="28"/>
          <w:szCs w:val="28"/>
          <w:highlight w:val="none"/>
        </w:rPr>
        <w:t>、小型医疗器械（</w:t>
      </w:r>
      <w:r>
        <w:rPr>
          <w:rFonts w:hint="eastAsia" w:ascii="仿宋_GB2312" w:hAnsi="仿宋" w:eastAsia="仿宋_GB2312"/>
          <w:b w:val="0"/>
          <w:bCs/>
          <w:iCs/>
          <w:sz w:val="28"/>
          <w:szCs w:val="28"/>
          <w:highlight w:val="none"/>
        </w:rPr>
        <w:t>导管</w:t>
      </w:r>
      <w:r>
        <w:rPr>
          <w:rFonts w:ascii="仿宋_GB2312" w:hAnsi="仿宋" w:eastAsia="仿宋_GB2312"/>
          <w:b w:val="0"/>
          <w:bCs/>
          <w:iCs/>
          <w:sz w:val="28"/>
          <w:szCs w:val="28"/>
          <w:highlight w:val="none"/>
        </w:rPr>
        <w:t>、起搏器等）</w:t>
      </w:r>
      <w:r>
        <w:rPr>
          <w:rFonts w:hint="eastAsia" w:ascii="仿宋_GB2312" w:hAnsi="仿宋" w:eastAsia="仿宋_GB2312"/>
          <w:b w:val="0"/>
          <w:bCs/>
          <w:iCs/>
          <w:sz w:val="28"/>
          <w:szCs w:val="28"/>
          <w:highlight w:val="none"/>
        </w:rPr>
        <w:t>计入“中</w:t>
      </w:r>
      <w:r>
        <w:rPr>
          <w:rFonts w:ascii="仿宋_GB2312" w:hAnsi="仿宋" w:eastAsia="仿宋_GB2312"/>
          <w:b w:val="0"/>
          <w:bCs/>
          <w:iCs/>
          <w:sz w:val="28"/>
          <w:szCs w:val="28"/>
          <w:highlight w:val="none"/>
        </w:rPr>
        <w:t>西药品类</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不填写其中项（</w:t>
      </w:r>
      <w:r>
        <w:rPr>
          <w:rFonts w:hint="eastAsia" w:ascii="仿宋_GB2312" w:hAnsi="仿宋" w:eastAsia="仿宋_GB2312"/>
          <w:b w:val="0"/>
          <w:bCs/>
          <w:iCs/>
          <w:sz w:val="28"/>
          <w:szCs w:val="28"/>
          <w:highlight w:val="none"/>
        </w:rPr>
        <w:t>“其中：西药类”、“其中</w:t>
      </w:r>
      <w:r>
        <w:rPr>
          <w:rFonts w:ascii="仿宋_GB2312" w:hAnsi="仿宋" w:eastAsia="仿宋_GB2312"/>
          <w:b w:val="0"/>
          <w:bCs/>
          <w:iCs/>
          <w:sz w:val="28"/>
          <w:szCs w:val="28"/>
          <w:highlight w:val="none"/>
        </w:rPr>
        <w:t>：中草药及中成药类</w:t>
      </w:r>
      <w:r>
        <w:rPr>
          <w:rFonts w:hint="eastAsia" w:ascii="仿宋_GB2312" w:hAnsi="仿宋" w:eastAsia="仿宋_GB2312"/>
          <w:b w:val="0"/>
          <w:bCs/>
          <w:iCs/>
          <w:sz w:val="28"/>
          <w:szCs w:val="28"/>
          <w:highlight w:val="none"/>
        </w:rPr>
        <w:t>”），不计入“其他</w:t>
      </w:r>
      <w:r>
        <w:rPr>
          <w:rFonts w:ascii="仿宋_GB2312" w:hAnsi="仿宋" w:eastAsia="仿宋_GB2312"/>
          <w:b w:val="0"/>
          <w:bCs/>
          <w:iCs/>
          <w:sz w:val="28"/>
          <w:szCs w:val="28"/>
          <w:highlight w:val="none"/>
        </w:rPr>
        <w:t>未列明商品类</w:t>
      </w:r>
      <w:r>
        <w:rPr>
          <w:rFonts w:hint="eastAsia" w:ascii="仿宋_GB2312" w:hAnsi="仿宋" w:eastAsia="仿宋_GB2312"/>
          <w:b w:val="0"/>
          <w:bCs/>
          <w:iCs/>
          <w:sz w:val="28"/>
          <w:szCs w:val="28"/>
          <w:highlight w:val="none"/>
        </w:rPr>
        <w:t>”</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摩托车统计在“机电产品及设备类”</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天然皮革和人造皮革制品、各种工艺品，统计在“日用品类”</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X光</w:t>
      </w:r>
      <w:r>
        <w:rPr>
          <w:rFonts w:ascii="仿宋_GB2312" w:hAnsi="仿宋" w:eastAsia="仿宋_GB2312"/>
          <w:b w:val="0"/>
          <w:bCs/>
          <w:iCs/>
          <w:sz w:val="28"/>
          <w:szCs w:val="28"/>
          <w:highlight w:val="none"/>
        </w:rPr>
        <w:t>胶片、</w:t>
      </w:r>
      <w:r>
        <w:rPr>
          <w:rFonts w:hint="eastAsia" w:ascii="仿宋_GB2312" w:hAnsi="仿宋" w:eastAsia="仿宋_GB2312"/>
          <w:b w:val="0"/>
          <w:bCs/>
          <w:iCs/>
          <w:sz w:val="28"/>
          <w:szCs w:val="28"/>
          <w:highlight w:val="none"/>
        </w:rPr>
        <w:t>工业</w:t>
      </w:r>
      <w:r>
        <w:rPr>
          <w:rFonts w:ascii="仿宋_GB2312" w:hAnsi="仿宋" w:eastAsia="仿宋_GB2312"/>
          <w:b w:val="0"/>
          <w:bCs/>
          <w:iCs/>
          <w:sz w:val="28"/>
          <w:szCs w:val="28"/>
          <w:highlight w:val="none"/>
        </w:rPr>
        <w:t>胶片统计在“</w:t>
      </w:r>
      <w:r>
        <w:rPr>
          <w:rFonts w:hint="eastAsia" w:ascii="仿宋_GB2312" w:hAnsi="仿宋" w:eastAsia="仿宋_GB2312"/>
          <w:b w:val="0"/>
          <w:bCs/>
          <w:iCs/>
          <w:sz w:val="28"/>
          <w:szCs w:val="28"/>
          <w:highlight w:val="none"/>
        </w:rPr>
        <w:t>化工</w:t>
      </w:r>
      <w:r>
        <w:rPr>
          <w:rFonts w:ascii="仿宋_GB2312" w:hAnsi="仿宋" w:eastAsia="仿宋_GB2312"/>
          <w:b w:val="0"/>
          <w:bCs/>
          <w:iCs/>
          <w:sz w:val="28"/>
          <w:szCs w:val="28"/>
          <w:highlight w:val="none"/>
        </w:rPr>
        <w:t>材料及制品类”</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化学试剂、</w:t>
      </w:r>
      <w:r>
        <w:rPr>
          <w:rFonts w:ascii="仿宋_GB2312" w:hAnsi="仿宋" w:eastAsia="仿宋_GB2312"/>
          <w:b w:val="0"/>
          <w:bCs/>
          <w:iCs/>
          <w:sz w:val="28"/>
          <w:szCs w:val="28"/>
          <w:highlight w:val="none"/>
        </w:rPr>
        <w:t>X光胶片</w:t>
      </w:r>
      <w:r>
        <w:rPr>
          <w:rFonts w:hint="eastAsia" w:ascii="仿宋_GB2312" w:hAnsi="仿宋" w:eastAsia="仿宋_GB2312"/>
          <w:b w:val="0"/>
          <w:bCs/>
          <w:iCs/>
          <w:sz w:val="28"/>
          <w:szCs w:val="28"/>
          <w:highlight w:val="none"/>
        </w:rPr>
        <w:t>计入“化工材料及制品类</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，而不能计入“西药类”等，特别是医药企业，医用的化学试剂也应计入“化工材料及制品类”</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“化工材料及制品类”（含“</w:t>
      </w:r>
      <w:r>
        <w:rPr>
          <w:rFonts w:ascii="仿宋_GB2312" w:hAnsi="仿宋" w:eastAsia="仿宋_GB2312"/>
          <w:b w:val="0"/>
          <w:bCs/>
          <w:iCs/>
          <w:sz w:val="28"/>
          <w:szCs w:val="28"/>
          <w:highlight w:val="none"/>
        </w:rPr>
        <w:t>其中：化肥类</w:t>
      </w:r>
      <w:r>
        <w:rPr>
          <w:rFonts w:hint="eastAsia" w:ascii="仿宋_GB2312" w:hAnsi="仿宋" w:eastAsia="仿宋_GB2312"/>
          <w:b w:val="0"/>
          <w:bCs/>
          <w:iCs/>
          <w:sz w:val="28"/>
          <w:szCs w:val="28"/>
          <w:highlight w:val="none"/>
        </w:rPr>
        <w:t>”）、“机电</w:t>
      </w:r>
      <w:r>
        <w:rPr>
          <w:rFonts w:ascii="仿宋_GB2312" w:hAnsi="仿宋" w:eastAsia="仿宋_GB2312"/>
          <w:b w:val="0"/>
          <w:bCs/>
          <w:iCs/>
          <w:sz w:val="28"/>
          <w:szCs w:val="28"/>
          <w:highlight w:val="none"/>
        </w:rPr>
        <w:t>产品及设备类</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的其中</w:t>
      </w:r>
      <w:r>
        <w:rPr>
          <w:rFonts w:hint="eastAsia" w:ascii="仿宋_GB2312" w:hAnsi="仿宋" w:eastAsia="仿宋_GB2312"/>
          <w:b w:val="0"/>
          <w:bCs/>
          <w:iCs/>
          <w:sz w:val="28"/>
          <w:szCs w:val="28"/>
          <w:highlight w:val="none"/>
        </w:rPr>
        <w:t>类</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农机类</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w:t>
      </w:r>
      <w:r>
        <w:rPr>
          <w:rFonts w:hint="eastAsia" w:ascii="仿宋_GB2312" w:hAnsi="仿宋" w:eastAsia="仿宋_GB2312"/>
          <w:b w:val="0"/>
          <w:bCs/>
          <w:iCs/>
          <w:sz w:val="28"/>
          <w:szCs w:val="28"/>
          <w:highlight w:val="none"/>
        </w:rPr>
        <w:t>“木材及制品类”、“金属材料类”和“种子饲料类”均无零售额（按规定，这些类型</w:t>
      </w:r>
      <w:r>
        <w:rPr>
          <w:rFonts w:ascii="仿宋_GB2312" w:hAnsi="仿宋" w:eastAsia="仿宋_GB2312"/>
          <w:b w:val="0"/>
          <w:bCs/>
          <w:iCs/>
          <w:sz w:val="28"/>
          <w:szCs w:val="28"/>
          <w:highlight w:val="none"/>
        </w:rPr>
        <w:t>的商品</w:t>
      </w:r>
      <w:r>
        <w:rPr>
          <w:rFonts w:hint="eastAsia" w:ascii="仿宋_GB2312" w:hAnsi="仿宋" w:eastAsia="仿宋_GB2312"/>
          <w:b w:val="0"/>
          <w:bCs/>
          <w:iCs/>
          <w:sz w:val="28"/>
          <w:szCs w:val="28"/>
          <w:highlight w:val="none"/>
        </w:rPr>
        <w:t>以</w:t>
      </w:r>
      <w:r>
        <w:rPr>
          <w:rFonts w:ascii="仿宋_GB2312" w:hAnsi="仿宋" w:eastAsia="仿宋_GB2312"/>
          <w:b w:val="0"/>
          <w:bCs/>
          <w:iCs/>
          <w:sz w:val="28"/>
          <w:szCs w:val="28"/>
          <w:highlight w:val="none"/>
        </w:rPr>
        <w:t>生产使用为主，不存在零售，</w:t>
      </w:r>
      <w:r>
        <w:rPr>
          <w:rFonts w:hint="eastAsia" w:ascii="仿宋_GB2312" w:hAnsi="仿宋" w:eastAsia="仿宋_GB2312"/>
          <w:b w:val="0"/>
          <w:bCs/>
          <w:iCs/>
          <w:sz w:val="28"/>
          <w:szCs w:val="28"/>
          <w:highlight w:val="none"/>
        </w:rPr>
        <w:t>销售均算作批发）</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宠物食品统计在“其他未列明</w:t>
      </w:r>
      <w:r>
        <w:rPr>
          <w:rFonts w:ascii="仿宋_GB2312" w:hAnsi="仿宋" w:eastAsia="仿宋_GB2312"/>
          <w:b w:val="0"/>
          <w:bCs/>
          <w:iCs/>
          <w:sz w:val="28"/>
          <w:szCs w:val="28"/>
          <w:highlight w:val="none"/>
        </w:rPr>
        <w:t>商品</w:t>
      </w:r>
      <w:r>
        <w:rPr>
          <w:rFonts w:hint="eastAsia" w:ascii="仿宋_GB2312" w:hAnsi="仿宋" w:eastAsia="仿宋_GB2312"/>
          <w:b w:val="0"/>
          <w:bCs/>
          <w:iCs/>
          <w:sz w:val="28"/>
          <w:szCs w:val="28"/>
          <w:highlight w:val="none"/>
        </w:rPr>
        <w:t>类”</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eastAsia="zh-CN"/>
        </w:rPr>
        <w:t>具</w:t>
      </w:r>
      <w:r>
        <w:rPr>
          <w:rFonts w:hint="eastAsia" w:ascii="仿宋_GB2312" w:hAnsi="仿宋" w:eastAsia="仿宋_GB2312"/>
          <w:b w:val="0"/>
          <w:bCs/>
          <w:iCs/>
          <w:sz w:val="28"/>
          <w:szCs w:val="28"/>
          <w:highlight w:val="none"/>
        </w:rPr>
        <w:t>体可参照最新版《批发和零售业统计报表制度》指标解释</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r>
        <w:rPr>
          <w:rFonts w:hint="eastAsia" w:ascii="仿宋_GB2312" w:hAnsi="仿宋" w:eastAsia="仿宋_GB2312"/>
          <w:b/>
          <w:bCs w:val="0"/>
          <w:iCs/>
          <w:sz w:val="28"/>
          <w:szCs w:val="28"/>
          <w:highlight w:val="none"/>
          <w:lang w:val="en-US" w:eastAsia="zh-CN"/>
        </w:rPr>
        <w:t>2.</w:t>
      </w:r>
      <w:r>
        <w:rPr>
          <w:rFonts w:hint="eastAsia" w:ascii="仿宋_GB2312" w:hAnsi="仿宋" w:eastAsia="仿宋_GB2312"/>
          <w:b/>
          <w:bCs w:val="0"/>
          <w:iCs/>
          <w:sz w:val="28"/>
          <w:szCs w:val="28"/>
          <w:highlight w:val="none"/>
        </w:rPr>
        <w:t>关于汽车销售企业的</w:t>
      </w:r>
      <w:r>
        <w:rPr>
          <w:rFonts w:ascii="仿宋_GB2312" w:hAnsi="仿宋" w:eastAsia="仿宋_GB2312"/>
          <w:b/>
          <w:bCs w:val="0"/>
          <w:iCs/>
          <w:sz w:val="28"/>
          <w:szCs w:val="28"/>
          <w:highlight w:val="none"/>
        </w:rPr>
        <w:t>特殊情况</w:t>
      </w:r>
      <w:r>
        <w:rPr>
          <w:rFonts w:hint="eastAsia" w:ascii="仿宋_GB2312" w:hAnsi="仿宋" w:eastAsia="仿宋_GB2312"/>
          <w:b/>
          <w:bCs w:val="0"/>
          <w:iCs/>
          <w:sz w:val="28"/>
          <w:szCs w:val="28"/>
          <w:highlight w:val="none"/>
        </w:rPr>
        <w:t>：</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eastAsia="zh-CN"/>
        </w:rPr>
        <w:t>销售</w:t>
      </w:r>
      <w:r>
        <w:rPr>
          <w:rFonts w:hint="eastAsia" w:ascii="仿宋_GB2312" w:hAnsi="仿宋" w:eastAsia="仿宋_GB2312"/>
          <w:b w:val="0"/>
          <w:bCs/>
          <w:iCs/>
          <w:sz w:val="28"/>
          <w:szCs w:val="28"/>
          <w:highlight w:val="none"/>
        </w:rPr>
        <w:t>大型货车、大巴车、出租车、网约车</w:t>
      </w:r>
      <w:r>
        <w:rPr>
          <w:rFonts w:ascii="仿宋_GB2312" w:hAnsi="仿宋" w:eastAsia="仿宋_GB2312"/>
          <w:b w:val="0"/>
          <w:bCs/>
          <w:iCs/>
          <w:sz w:val="28"/>
          <w:szCs w:val="28"/>
          <w:highlight w:val="none"/>
        </w:rPr>
        <w:t>、工程车</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农业器械</w:t>
      </w:r>
      <w:r>
        <w:rPr>
          <w:rFonts w:hint="eastAsia" w:ascii="仿宋_GB2312" w:hAnsi="仿宋" w:eastAsia="仿宋_GB2312"/>
          <w:b w:val="0"/>
          <w:bCs/>
          <w:iCs/>
          <w:sz w:val="28"/>
          <w:szCs w:val="28"/>
          <w:highlight w:val="none"/>
        </w:rPr>
        <w:t>等用于生产经营的车辆的销售</w:t>
      </w:r>
      <w:r>
        <w:rPr>
          <w:rFonts w:hint="eastAsia" w:ascii="仿宋_GB2312" w:hAnsi="仿宋" w:eastAsia="仿宋_GB2312"/>
          <w:b w:val="0"/>
          <w:bCs/>
          <w:iCs/>
          <w:sz w:val="28"/>
          <w:szCs w:val="28"/>
          <w:highlight w:val="none"/>
          <w:lang w:eastAsia="zh-CN"/>
        </w:rPr>
        <w:t>原则上应</w:t>
      </w:r>
      <w:r>
        <w:rPr>
          <w:rFonts w:hint="eastAsia" w:ascii="仿宋_GB2312" w:hAnsi="仿宋" w:eastAsia="仿宋_GB2312"/>
          <w:b w:val="0"/>
          <w:bCs/>
          <w:iCs/>
          <w:sz w:val="28"/>
          <w:szCs w:val="28"/>
          <w:highlight w:val="none"/>
        </w:rPr>
        <w:t>计入批发额</w:t>
      </w:r>
      <w:r>
        <w:rPr>
          <w:rFonts w:hint="eastAsia" w:ascii="仿宋_GB2312" w:hAnsi="仿宋" w:eastAsia="仿宋_GB2312"/>
          <w:b w:val="0"/>
          <w:bCs/>
          <w:iCs/>
          <w:sz w:val="28"/>
          <w:szCs w:val="28"/>
          <w:highlight w:val="none"/>
          <w:lang w:eastAsia="zh-CN"/>
        </w:rPr>
        <w:t>而非零售额</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出售给租车公司的车辆</w:t>
      </w:r>
      <w:r>
        <w:rPr>
          <w:rFonts w:hint="eastAsia" w:ascii="仿宋_GB2312" w:hAnsi="仿宋" w:eastAsia="仿宋_GB2312"/>
          <w:b w:val="0"/>
          <w:bCs/>
          <w:iCs/>
          <w:sz w:val="28"/>
          <w:szCs w:val="28"/>
          <w:highlight w:val="none"/>
          <w:lang w:eastAsia="zh-CN"/>
        </w:rPr>
        <w:t>，无论哪种车型，</w:t>
      </w:r>
      <w:r>
        <w:rPr>
          <w:rFonts w:hint="eastAsia" w:ascii="仿宋_GB2312" w:hAnsi="仿宋" w:eastAsia="仿宋_GB2312"/>
          <w:b w:val="0"/>
          <w:bCs/>
          <w:iCs/>
          <w:sz w:val="28"/>
          <w:szCs w:val="28"/>
          <w:highlight w:val="none"/>
        </w:rPr>
        <w:t>一律计入批发额，不得计入零售额</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销售</w:t>
      </w:r>
      <w:r>
        <w:rPr>
          <w:rFonts w:ascii="仿宋_GB2312" w:hAnsi="仿宋" w:eastAsia="仿宋_GB2312"/>
          <w:b w:val="0"/>
          <w:bCs/>
          <w:iCs/>
          <w:sz w:val="28"/>
          <w:szCs w:val="28"/>
          <w:highlight w:val="none"/>
        </w:rPr>
        <w:t>给</w:t>
      </w:r>
      <w:r>
        <w:rPr>
          <w:rFonts w:hint="eastAsia" w:ascii="仿宋_GB2312" w:hAnsi="仿宋" w:eastAsia="仿宋_GB2312"/>
          <w:b w:val="0"/>
          <w:bCs/>
          <w:iCs/>
          <w:sz w:val="28"/>
          <w:szCs w:val="28"/>
          <w:highlight w:val="none"/>
        </w:rPr>
        <w:t>企事业单位作为员工班车的，</w:t>
      </w:r>
      <w:r>
        <w:rPr>
          <w:rFonts w:hint="eastAsia" w:ascii="仿宋_GB2312" w:hAnsi="仿宋" w:eastAsia="仿宋_GB2312"/>
          <w:b w:val="0"/>
          <w:bCs/>
          <w:iCs/>
          <w:sz w:val="28"/>
          <w:szCs w:val="28"/>
          <w:highlight w:val="none"/>
          <w:lang w:eastAsia="zh-CN"/>
        </w:rPr>
        <w:t>可以</w:t>
      </w:r>
      <w:r>
        <w:rPr>
          <w:rFonts w:ascii="仿宋_GB2312" w:hAnsi="仿宋" w:eastAsia="仿宋_GB2312"/>
          <w:b w:val="0"/>
          <w:bCs/>
          <w:iCs/>
          <w:sz w:val="28"/>
          <w:szCs w:val="28"/>
          <w:highlight w:val="none"/>
        </w:rPr>
        <w:t>计入</w:t>
      </w:r>
      <w:r>
        <w:rPr>
          <w:rFonts w:hint="eastAsia" w:ascii="仿宋_GB2312" w:hAnsi="仿宋" w:eastAsia="仿宋_GB2312"/>
          <w:b w:val="0"/>
          <w:bCs/>
          <w:iCs/>
          <w:sz w:val="28"/>
          <w:szCs w:val="28"/>
          <w:highlight w:val="none"/>
        </w:rPr>
        <w:t>零售额</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脚垫、汽车膜等汽车精品不属于汽车零配件类，应填写到日用品类</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bookmarkStart w:id="144" w:name="_Toc309999215"/>
      <w:bookmarkStart w:id="145" w:name="_Toc372558057"/>
      <w:r>
        <w:rPr>
          <w:rFonts w:hint="eastAsia" w:ascii="仿宋_GB2312" w:hAnsi="仿宋" w:eastAsia="仿宋_GB2312"/>
          <w:b/>
          <w:bCs w:val="0"/>
          <w:iCs/>
          <w:sz w:val="28"/>
          <w:szCs w:val="28"/>
          <w:highlight w:val="none"/>
          <w:lang w:val="en-US" w:eastAsia="zh-CN"/>
        </w:rPr>
        <w:t>3.关于批发和零售业企业代国家有关部门储存商品和与国家储备部门发生购销业务的处理办法</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批发和零售业企业的商品销售、库存报表中的“期末商品库存额”指标中不包括代国务院有关部、局储存商品</w:t>
      </w:r>
    </w:p>
    <w:p>
      <w:pPr>
        <w:pStyle w:val="35"/>
        <w:keepNext w:val="0"/>
        <w:keepLines w:val="0"/>
        <w:pageBreakBefore w:val="0"/>
        <w:widowControl w:val="0"/>
        <w:numPr>
          <w:ilvl w:val="0"/>
          <w:numId w:val="9"/>
        </w:numPr>
        <w:kinsoku/>
        <w:wordWrap/>
        <w:overflowPunct/>
        <w:topLinePunct w:val="0"/>
        <w:autoSpaceDE/>
        <w:autoSpaceDN/>
        <w:bidi w:val="0"/>
        <w:adjustRightInd/>
        <w:snapToGrid/>
        <w:spacing w:line="420" w:lineRule="exact"/>
        <w:ind w:left="0" w:right="0" w:rightChars="0" w:firstLine="560" w:firstLineChars="200"/>
        <w:jc w:val="left"/>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代储存商品，如发生商品购销业务时，不包括在本企业的商品购销中</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4.</w:t>
      </w:r>
      <w:r>
        <w:rPr>
          <w:rFonts w:hint="eastAsia" w:ascii="仿宋_GB2312" w:hAnsi="仿宋" w:eastAsia="仿宋_GB2312"/>
          <w:b w:val="0"/>
          <w:bCs/>
          <w:iCs/>
          <w:sz w:val="28"/>
          <w:szCs w:val="28"/>
          <w:highlight w:val="none"/>
        </w:rPr>
        <w:t>对于实体店和网店同时经营的企业，要厘清网店和实体店之间的数据，做到不重不漏，准确填报“通过</w:t>
      </w:r>
      <w:r>
        <w:rPr>
          <w:rFonts w:ascii="仿宋_GB2312" w:hAnsi="仿宋" w:eastAsia="仿宋_GB2312"/>
          <w:b w:val="0"/>
          <w:bCs/>
          <w:iCs/>
          <w:sz w:val="28"/>
          <w:szCs w:val="28"/>
          <w:highlight w:val="none"/>
        </w:rPr>
        <w:t>公共网络实现的零售额</w:t>
      </w:r>
      <w:r>
        <w:rPr>
          <w:rFonts w:hint="eastAsia" w:ascii="仿宋_GB2312" w:hAnsi="仿宋" w:eastAsia="仿宋_GB2312"/>
          <w:b w:val="0"/>
          <w:bCs/>
          <w:iCs/>
          <w:sz w:val="28"/>
          <w:szCs w:val="28"/>
          <w:highlight w:val="none"/>
        </w:rPr>
        <w:t>”的数据。</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r>
        <w:rPr>
          <w:rFonts w:hint="eastAsia" w:ascii="仿宋_GB2312" w:hAnsi="仿宋" w:eastAsia="仿宋_GB2312"/>
          <w:b/>
          <w:bCs w:val="0"/>
          <w:iCs/>
          <w:sz w:val="28"/>
          <w:szCs w:val="28"/>
          <w:highlight w:val="none"/>
          <w:lang w:val="en-US" w:eastAsia="zh-CN"/>
        </w:rPr>
        <w:t>5.</w:t>
      </w:r>
      <w:r>
        <w:rPr>
          <w:rFonts w:hint="eastAsia" w:ascii="仿宋_GB2312" w:hAnsi="仿宋" w:eastAsia="仿宋_GB2312"/>
          <w:b/>
          <w:bCs w:val="0"/>
          <w:iCs/>
          <w:sz w:val="28"/>
          <w:szCs w:val="28"/>
          <w:highlight w:val="none"/>
        </w:rPr>
        <w:t>企业</w:t>
      </w:r>
      <w:r>
        <w:rPr>
          <w:rFonts w:ascii="仿宋_GB2312" w:hAnsi="仿宋" w:eastAsia="仿宋_GB2312"/>
          <w:b/>
          <w:bCs w:val="0"/>
          <w:iCs/>
          <w:sz w:val="28"/>
          <w:szCs w:val="28"/>
          <w:highlight w:val="none"/>
        </w:rPr>
        <w:t>在商场内</w:t>
      </w:r>
      <w:r>
        <w:rPr>
          <w:rFonts w:hint="eastAsia" w:ascii="仿宋_GB2312" w:hAnsi="仿宋" w:eastAsia="仿宋_GB2312"/>
          <w:b/>
          <w:bCs w:val="0"/>
          <w:iCs/>
          <w:sz w:val="28"/>
          <w:szCs w:val="28"/>
          <w:highlight w:val="none"/>
        </w:rPr>
        <w:t>柜台</w:t>
      </w:r>
      <w:r>
        <w:rPr>
          <w:rFonts w:ascii="仿宋_GB2312" w:hAnsi="仿宋" w:eastAsia="仿宋_GB2312"/>
          <w:b/>
          <w:bCs w:val="0"/>
          <w:iCs/>
          <w:sz w:val="28"/>
          <w:szCs w:val="28"/>
          <w:highlight w:val="none"/>
        </w:rPr>
        <w:t>销售额的处理</w:t>
      </w:r>
      <w:r>
        <w:rPr>
          <w:rFonts w:hint="eastAsia" w:ascii="仿宋_GB2312" w:hAnsi="仿宋" w:eastAsia="仿宋_GB2312"/>
          <w:b/>
          <w:bCs w:val="0"/>
          <w:iCs/>
          <w:sz w:val="28"/>
          <w:szCs w:val="28"/>
          <w:highlight w:val="none"/>
        </w:rPr>
        <w:t>方法</w:t>
      </w:r>
    </w:p>
    <w:p>
      <w:pPr>
        <w:keepNext w:val="0"/>
        <w:keepLines w:val="0"/>
        <w:pageBreakBefore w:val="0"/>
        <w:widowControl w:val="0"/>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企业在商场内有柜台自己收银结账或只单纯使用商场的统一收银系统不入商场收入账的计入零售</w:t>
      </w:r>
      <w:r>
        <w:rPr>
          <w:rFonts w:hint="eastAsia" w:ascii="仿宋_GB2312" w:hAnsi="仿宋" w:eastAsia="仿宋_GB2312"/>
          <w:b w:val="0"/>
          <w:bCs/>
          <w:iCs/>
          <w:sz w:val="28"/>
          <w:szCs w:val="28"/>
          <w:highlight w:val="none"/>
          <w:lang w:eastAsia="zh-CN"/>
        </w:rPr>
        <w:t>额</w:t>
      </w:r>
      <w:r>
        <w:rPr>
          <w:rFonts w:hint="eastAsia" w:ascii="仿宋_GB2312" w:hAnsi="仿宋" w:eastAsia="仿宋_GB2312"/>
          <w:b w:val="0"/>
          <w:bCs/>
          <w:iCs/>
          <w:sz w:val="28"/>
          <w:szCs w:val="28"/>
          <w:highlight w:val="none"/>
        </w:rPr>
        <w:t>；商场统一收银入商场主营业务收入账，企业再与商场结算的计入批发</w:t>
      </w:r>
      <w:bookmarkEnd w:id="144"/>
      <w:bookmarkEnd w:id="145"/>
      <w:r>
        <w:rPr>
          <w:rFonts w:hint="eastAsia" w:ascii="仿宋_GB2312" w:hAnsi="仿宋" w:eastAsia="仿宋_GB2312"/>
          <w:b w:val="0"/>
          <w:bCs/>
          <w:iCs/>
          <w:sz w:val="28"/>
          <w:szCs w:val="28"/>
          <w:highlight w:val="none"/>
          <w:lang w:eastAsia="zh-CN"/>
        </w:rPr>
        <w:t>额</w:t>
      </w:r>
      <w:r>
        <w:rPr>
          <w:rFonts w:hint="eastAsia" w:ascii="仿宋_GB2312" w:hAnsi="仿宋" w:eastAsia="仿宋_GB2312"/>
          <w:b w:val="0"/>
          <w:bCs/>
          <w:iCs/>
          <w:sz w:val="28"/>
          <w:szCs w:val="28"/>
          <w:highlight w:val="none"/>
        </w:rPr>
        <w:t>。</w:t>
      </w:r>
    </w:p>
    <w:p>
      <w:pPr>
        <w:pStyle w:val="35"/>
        <w:keepNext w:val="0"/>
        <w:keepLines w:val="0"/>
        <w:pageBreakBefore w:val="0"/>
        <w:widowControl w:val="0"/>
        <w:numPr>
          <w:ilvl w:val="0"/>
          <w:numId w:val="1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r>
        <w:rPr>
          <w:rFonts w:hint="eastAsia" w:ascii="仿宋_GB2312" w:hAnsi="仿宋" w:eastAsia="仿宋_GB2312"/>
          <w:b/>
          <w:bCs w:val="0"/>
          <w:iCs/>
          <w:sz w:val="28"/>
          <w:szCs w:val="28"/>
          <w:highlight w:val="none"/>
        </w:rPr>
        <w:t>注意</w:t>
      </w:r>
      <w:r>
        <w:rPr>
          <w:rFonts w:ascii="仿宋_GB2312" w:hAnsi="仿宋" w:eastAsia="仿宋_GB2312"/>
          <w:b/>
          <w:bCs w:val="0"/>
          <w:iCs/>
          <w:sz w:val="28"/>
          <w:szCs w:val="28"/>
          <w:highlight w:val="none"/>
        </w:rPr>
        <w:t>区分贸易代理企业与转口贸易企业</w:t>
      </w:r>
    </w:p>
    <w:p>
      <w:pPr>
        <w:pStyle w:val="35"/>
        <w:keepNext w:val="0"/>
        <w:keepLines w:val="0"/>
        <w:pageBreakBefore w:val="0"/>
        <w:widowControl w:val="0"/>
        <w:numPr>
          <w:ilvl w:val="0"/>
          <w:numId w:val="11"/>
        </w:numPr>
        <w:kinsoku/>
        <w:wordWrap/>
        <w:overflowPunct/>
        <w:topLinePunct w:val="0"/>
        <w:autoSpaceDE/>
        <w:autoSpaceDN/>
        <w:bidi w:val="0"/>
        <w:adjustRightInd/>
        <w:snapToGrid/>
        <w:spacing w:line="420" w:lineRule="exact"/>
        <w:ind w:left="0" w:leftChars="0" w:right="0" w:rightChars="0" w:firstLine="420" w:firstLineChars="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核实企业是否只收取手续费、服务费等，而没有购进、销售</w:t>
      </w:r>
    </w:p>
    <w:p>
      <w:pPr>
        <w:pStyle w:val="35"/>
        <w:keepNext w:val="0"/>
        <w:keepLines w:val="0"/>
        <w:pageBreakBefore w:val="0"/>
        <w:widowControl w:val="0"/>
        <w:numPr>
          <w:ilvl w:val="0"/>
          <w:numId w:val="11"/>
        </w:numPr>
        <w:kinsoku/>
        <w:wordWrap/>
        <w:overflowPunct/>
        <w:topLinePunct w:val="0"/>
        <w:autoSpaceDE/>
        <w:autoSpaceDN/>
        <w:bidi w:val="0"/>
        <w:adjustRightInd/>
        <w:snapToGrid/>
        <w:spacing w:line="420" w:lineRule="exact"/>
        <w:ind w:left="0" w:leftChars="0" w:right="0" w:rightChars="0" w:firstLine="420" w:firstLineChars="0"/>
        <w:textAlignment w:val="auto"/>
        <w:rPr>
          <w:rFonts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rPr>
        <w:t>转口</w:t>
      </w:r>
      <w:r>
        <w:rPr>
          <w:rFonts w:ascii="仿宋_GB2312" w:hAnsi="仿宋" w:eastAsia="仿宋_GB2312"/>
          <w:b w:val="0"/>
          <w:bCs/>
          <w:iCs/>
          <w:sz w:val="28"/>
          <w:szCs w:val="28"/>
          <w:highlight w:val="none"/>
        </w:rPr>
        <w:t>贸易企业</w:t>
      </w:r>
      <w:r>
        <w:rPr>
          <w:rFonts w:hint="eastAsia" w:ascii="仿宋_GB2312" w:hAnsi="仿宋" w:eastAsia="仿宋_GB2312"/>
          <w:b w:val="0"/>
          <w:bCs/>
          <w:iCs/>
          <w:sz w:val="28"/>
          <w:szCs w:val="28"/>
          <w:highlight w:val="none"/>
        </w:rPr>
        <w:t>的转口贸易要分别填报出口、进口</w:t>
      </w:r>
    </w:p>
    <w:p>
      <w:pPr>
        <w:pStyle w:val="35"/>
        <w:keepNext w:val="0"/>
        <w:keepLines w:val="0"/>
        <w:pageBreakBefore w:val="0"/>
        <w:widowControl w:val="0"/>
        <w:numPr>
          <w:ilvl w:val="0"/>
          <w:numId w:val="12"/>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bCs w:val="0"/>
          <w:iCs/>
          <w:sz w:val="28"/>
          <w:szCs w:val="28"/>
          <w:highlight w:val="none"/>
          <w:lang w:eastAsia="zh-CN"/>
        </w:rPr>
      </w:pPr>
      <w:r>
        <w:rPr>
          <w:rFonts w:hint="eastAsia" w:ascii="仿宋_GB2312" w:hAnsi="仿宋" w:eastAsia="仿宋_GB2312"/>
          <w:b/>
          <w:bCs w:val="0"/>
          <w:iCs/>
          <w:sz w:val="28"/>
          <w:szCs w:val="28"/>
          <w:highlight w:val="none"/>
        </w:rPr>
        <w:t>公司内部</w:t>
      </w:r>
      <w:r>
        <w:rPr>
          <w:rFonts w:hint="eastAsia" w:ascii="仿宋_GB2312" w:hAnsi="仿宋" w:eastAsia="仿宋_GB2312"/>
          <w:b/>
          <w:bCs w:val="0"/>
          <w:iCs/>
          <w:sz w:val="28"/>
          <w:szCs w:val="28"/>
          <w:highlight w:val="none"/>
          <w:lang w:eastAsia="zh-CN"/>
        </w:rPr>
        <w:t>间存在往来具体处理：</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1）某法人单位，其下属的批发和零售业分公司A销售商品给其分公司B，并开具了增值税发票，按照货款缴纳了销项税。其后，分公司B又将商品销售给了消费者。那么，分公司A销售给B的部分计批发额，B直接销售给消费者部分计零售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（2）若分公司间的往来不涉及缴纳购进税和销项税，或商品流转过程中没有产生销售收入的情况，商品调拨不计入销售额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bCs w:val="0"/>
          <w:iCs/>
          <w:sz w:val="28"/>
          <w:szCs w:val="28"/>
          <w:highlight w:val="none"/>
          <w:lang w:eastAsia="zh-CN"/>
        </w:rPr>
      </w:pPr>
      <w:r>
        <w:rPr>
          <w:rFonts w:hint="eastAsia" w:ascii="仿宋_GB2312" w:hAnsi="仿宋" w:eastAsia="仿宋_GB2312"/>
          <w:b/>
          <w:bCs w:val="0"/>
          <w:iCs/>
          <w:sz w:val="28"/>
          <w:szCs w:val="28"/>
          <w:highlight w:val="none"/>
          <w:lang w:val="en-US" w:eastAsia="zh-CN"/>
        </w:rPr>
        <w:t>8.</w:t>
      </w:r>
      <w:r>
        <w:rPr>
          <w:rFonts w:hint="eastAsia" w:ascii="仿宋_GB2312" w:hAnsi="仿宋" w:eastAsia="仿宋_GB2312"/>
          <w:b/>
          <w:bCs w:val="0"/>
          <w:iCs/>
          <w:sz w:val="28"/>
          <w:szCs w:val="28"/>
          <w:highlight w:val="none"/>
        </w:rPr>
        <w:t>对于兼有服务性行为的批发和零售业企业（如</w:t>
      </w:r>
      <w:r>
        <w:rPr>
          <w:rFonts w:hint="eastAsia" w:ascii="仿宋_GB2312" w:hAnsi="仿宋" w:eastAsia="仿宋_GB2312"/>
          <w:b/>
          <w:bCs w:val="0"/>
          <w:iCs/>
          <w:sz w:val="28"/>
          <w:szCs w:val="28"/>
          <w:highlight w:val="none"/>
          <w:lang w:eastAsia="zh-CN"/>
        </w:rPr>
        <w:t>汽车</w:t>
      </w:r>
      <w:r>
        <w:rPr>
          <w:rFonts w:hint="eastAsia" w:ascii="仿宋_GB2312" w:hAnsi="仿宋" w:eastAsia="仿宋_GB2312"/>
          <w:b/>
          <w:bCs w:val="0"/>
          <w:iCs/>
          <w:sz w:val="28"/>
          <w:szCs w:val="28"/>
          <w:highlight w:val="none"/>
        </w:rPr>
        <w:t>4S店）</w:t>
      </w:r>
      <w:r>
        <w:rPr>
          <w:rFonts w:hint="eastAsia" w:ascii="仿宋_GB2312" w:hAnsi="仿宋" w:eastAsia="仿宋_GB2312"/>
          <w:b/>
          <w:bCs w:val="0"/>
          <w:iCs/>
          <w:sz w:val="28"/>
          <w:szCs w:val="28"/>
          <w:highlight w:val="none"/>
          <w:lang w:eastAsia="zh-CN"/>
        </w:rPr>
        <w:t>处理办法</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eastAsia="zh-CN"/>
        </w:rPr>
        <w:t>（</w:t>
      </w:r>
      <w:r>
        <w:rPr>
          <w:rFonts w:hint="eastAsia" w:ascii="仿宋_GB2312" w:hAnsi="仿宋" w:eastAsia="仿宋_GB2312"/>
          <w:b w:val="0"/>
          <w:bCs/>
          <w:iCs/>
          <w:sz w:val="28"/>
          <w:szCs w:val="28"/>
          <w:highlight w:val="none"/>
          <w:lang w:val="en-US" w:eastAsia="zh-CN"/>
        </w:rPr>
        <w:t>1</w:t>
      </w:r>
      <w:r>
        <w:rPr>
          <w:rFonts w:hint="eastAsia" w:ascii="仿宋_GB2312" w:hAnsi="仿宋" w:eastAsia="仿宋_GB2312"/>
          <w:b w:val="0"/>
          <w:bCs/>
          <w:iCs/>
          <w:sz w:val="28"/>
          <w:szCs w:val="28"/>
          <w:highlight w:val="none"/>
          <w:lang w:eastAsia="zh-CN"/>
        </w:rPr>
        <w:t>）</w:t>
      </w:r>
      <w:r>
        <w:rPr>
          <w:rFonts w:hint="eastAsia" w:ascii="仿宋_GB2312" w:hAnsi="仿宋" w:eastAsia="仿宋_GB2312"/>
          <w:b w:val="0"/>
          <w:bCs/>
          <w:iCs/>
          <w:sz w:val="28"/>
          <w:szCs w:val="28"/>
          <w:highlight w:val="none"/>
        </w:rPr>
        <w:t>如果商品销售收入和服务性收入单独核算（依据企业财务总账或明细账中可区分），则商品销售部分填入商品销售额中，服务性收入（如4S店修理工时费）填入服务营业额中。</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eastAsia="zh-CN"/>
        </w:rPr>
        <w:t>（</w:t>
      </w:r>
      <w:r>
        <w:rPr>
          <w:rFonts w:hint="eastAsia" w:ascii="仿宋_GB2312" w:hAnsi="仿宋" w:eastAsia="仿宋_GB2312"/>
          <w:b w:val="0"/>
          <w:bCs/>
          <w:iCs/>
          <w:sz w:val="28"/>
          <w:szCs w:val="28"/>
          <w:highlight w:val="none"/>
          <w:lang w:val="en-US" w:eastAsia="zh-CN"/>
        </w:rPr>
        <w:t>2</w:t>
      </w:r>
      <w:r>
        <w:rPr>
          <w:rFonts w:hint="eastAsia" w:ascii="仿宋_GB2312" w:hAnsi="仿宋" w:eastAsia="仿宋_GB2312"/>
          <w:b w:val="0"/>
          <w:bCs/>
          <w:iCs/>
          <w:sz w:val="28"/>
          <w:szCs w:val="28"/>
          <w:highlight w:val="none"/>
          <w:lang w:eastAsia="zh-CN"/>
        </w:rPr>
        <w:t>）</w:t>
      </w:r>
      <w:r>
        <w:rPr>
          <w:rFonts w:hint="eastAsia" w:ascii="仿宋_GB2312" w:hAnsi="仿宋" w:eastAsia="仿宋_GB2312"/>
          <w:b w:val="0"/>
          <w:bCs/>
          <w:iCs/>
          <w:sz w:val="28"/>
          <w:szCs w:val="28"/>
          <w:highlight w:val="none"/>
        </w:rPr>
        <w:t>如果不单独核算，则依据企业财务账目填报，企业财务账中计为商品销售收入则填入商品销售额中，企业财务账中计为服务收入则填入服务营业额中。</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eastAsia="zh-CN"/>
        </w:rPr>
      </w:pPr>
      <w:r>
        <w:rPr>
          <w:rFonts w:hint="eastAsia" w:ascii="仿宋_GB2312" w:hAnsi="仿宋" w:eastAsia="仿宋_GB2312"/>
          <w:b w:val="0"/>
          <w:bCs/>
          <w:iCs/>
          <w:sz w:val="28"/>
          <w:szCs w:val="28"/>
          <w:highlight w:val="none"/>
          <w:lang w:eastAsia="zh-CN"/>
        </w:rPr>
        <w:t>（</w:t>
      </w:r>
      <w:r>
        <w:rPr>
          <w:rFonts w:hint="eastAsia" w:ascii="仿宋_GB2312" w:hAnsi="仿宋" w:eastAsia="仿宋_GB2312"/>
          <w:b w:val="0"/>
          <w:bCs/>
          <w:iCs/>
          <w:sz w:val="28"/>
          <w:szCs w:val="28"/>
          <w:highlight w:val="none"/>
          <w:lang w:val="en-US" w:eastAsia="zh-CN"/>
        </w:rPr>
        <w:t>3</w:t>
      </w:r>
      <w:r>
        <w:rPr>
          <w:rFonts w:hint="eastAsia" w:ascii="仿宋_GB2312" w:hAnsi="仿宋" w:eastAsia="仿宋_GB2312"/>
          <w:b w:val="0"/>
          <w:bCs/>
          <w:iCs/>
          <w:sz w:val="28"/>
          <w:szCs w:val="28"/>
          <w:highlight w:val="none"/>
          <w:lang w:eastAsia="zh-CN"/>
        </w:rPr>
        <w:t>）无论哪种方法，销售额与服务营业额均应含税，如涉及多种税率用销售收入分别乘以各自税率。</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r>
        <w:rPr>
          <w:rFonts w:hint="eastAsia" w:ascii="仿宋_GB2312" w:hAnsi="仿宋" w:eastAsia="仿宋_GB2312"/>
          <w:b/>
          <w:bCs w:val="0"/>
          <w:iCs/>
          <w:sz w:val="28"/>
          <w:szCs w:val="28"/>
          <w:highlight w:val="none"/>
          <w:lang w:val="en-US" w:eastAsia="zh-CN"/>
        </w:rPr>
        <w:t>9.</w:t>
      </w:r>
      <w:r>
        <w:rPr>
          <w:rFonts w:hint="eastAsia" w:ascii="仿宋_GB2312" w:hAnsi="仿宋" w:eastAsia="仿宋_GB2312"/>
          <w:b/>
          <w:bCs w:val="0"/>
          <w:iCs/>
          <w:sz w:val="28"/>
          <w:szCs w:val="28"/>
          <w:highlight w:val="none"/>
        </w:rPr>
        <w:t>企业一般</w:t>
      </w:r>
      <w:r>
        <w:rPr>
          <w:rFonts w:ascii="仿宋_GB2312" w:hAnsi="仿宋" w:eastAsia="仿宋_GB2312"/>
          <w:b/>
          <w:bCs w:val="0"/>
          <w:iCs/>
          <w:sz w:val="28"/>
          <w:szCs w:val="28"/>
          <w:highlight w:val="none"/>
        </w:rPr>
        <w:t>不应出现</w:t>
      </w:r>
      <w:r>
        <w:rPr>
          <w:rFonts w:hint="eastAsia" w:ascii="仿宋_GB2312" w:hAnsi="仿宋" w:eastAsia="仿宋_GB2312"/>
          <w:b/>
          <w:bCs w:val="0"/>
          <w:iCs/>
          <w:sz w:val="28"/>
          <w:szCs w:val="28"/>
          <w:highlight w:val="none"/>
        </w:rPr>
        <w:t>以下情况：</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ascii="仿宋_GB2312" w:hAnsi="仿宋" w:eastAsia="仿宋_GB2312"/>
          <w:b w:val="0"/>
          <w:bCs/>
          <w:iCs/>
          <w:sz w:val="28"/>
          <w:szCs w:val="32"/>
          <w:highlight w:val="none"/>
        </w:rPr>
        <w:t>购进额=</w:t>
      </w:r>
      <w:r>
        <w:rPr>
          <w:rFonts w:hint="eastAsia" w:ascii="仿宋_GB2312" w:hAnsi="仿宋" w:eastAsia="仿宋_GB2312"/>
          <w:b w:val="0"/>
          <w:bCs/>
          <w:iCs/>
          <w:sz w:val="28"/>
          <w:szCs w:val="32"/>
          <w:highlight w:val="none"/>
        </w:rPr>
        <w:t>销售额</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ascii="仿宋_GB2312" w:hAnsi="仿宋" w:eastAsia="仿宋_GB2312"/>
          <w:b w:val="0"/>
          <w:bCs/>
          <w:iCs/>
          <w:sz w:val="28"/>
          <w:szCs w:val="32"/>
          <w:highlight w:val="none"/>
        </w:rPr>
        <w:t>购进额-销售额=期末库存</w:t>
      </w:r>
      <w:r>
        <w:rPr>
          <w:rFonts w:hint="eastAsia" w:ascii="仿宋_GB2312" w:hAnsi="仿宋" w:eastAsia="仿宋_GB2312"/>
          <w:b w:val="0"/>
          <w:bCs/>
          <w:iCs/>
          <w:sz w:val="28"/>
          <w:szCs w:val="32"/>
          <w:highlight w:val="none"/>
        </w:rPr>
        <w:t>额</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期末商品库存额=存货</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ascii="仿宋_GB2312" w:hAnsi="仿宋" w:eastAsia="仿宋_GB2312"/>
          <w:b/>
          <w:bCs w:val="0"/>
          <w:iCs/>
          <w:sz w:val="28"/>
          <w:szCs w:val="28"/>
          <w:highlight w:val="none"/>
        </w:rPr>
      </w:pPr>
      <w:r>
        <w:rPr>
          <w:rFonts w:hint="eastAsia" w:ascii="仿宋_GB2312" w:hAnsi="仿宋" w:eastAsia="仿宋_GB2312"/>
          <w:b/>
          <w:bCs w:val="0"/>
          <w:iCs/>
          <w:sz w:val="28"/>
          <w:szCs w:val="28"/>
          <w:highlight w:val="none"/>
          <w:lang w:val="en-US" w:eastAsia="zh-CN"/>
        </w:rPr>
        <w:t>10.</w:t>
      </w:r>
      <w:r>
        <w:rPr>
          <w:rFonts w:hint="eastAsia" w:ascii="仿宋_GB2312" w:hAnsi="仿宋" w:eastAsia="仿宋_GB2312"/>
          <w:b/>
          <w:bCs w:val="0"/>
          <w:iCs/>
          <w:sz w:val="28"/>
          <w:szCs w:val="28"/>
          <w:highlight w:val="none"/>
        </w:rPr>
        <w:t>企业不得</w:t>
      </w:r>
      <w:r>
        <w:rPr>
          <w:rFonts w:ascii="仿宋_GB2312" w:hAnsi="仿宋" w:eastAsia="仿宋_GB2312"/>
          <w:b/>
          <w:bCs w:val="0"/>
          <w:iCs/>
          <w:sz w:val="28"/>
          <w:szCs w:val="28"/>
          <w:highlight w:val="none"/>
        </w:rPr>
        <w:t>出现以下情况：</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ascii="仿宋_GB2312" w:hAnsi="仿宋" w:eastAsia="仿宋_GB2312"/>
          <w:b w:val="0"/>
          <w:bCs/>
          <w:iCs/>
          <w:sz w:val="28"/>
          <w:szCs w:val="32"/>
          <w:highlight w:val="none"/>
        </w:rPr>
      </w:pPr>
      <w:r>
        <w:rPr>
          <w:rFonts w:hint="eastAsia" w:ascii="仿宋_GB2312" w:hAnsi="仿宋" w:eastAsia="仿宋_GB2312"/>
          <w:b w:val="0"/>
          <w:bCs/>
          <w:iCs/>
          <w:sz w:val="28"/>
          <w:szCs w:val="32"/>
          <w:highlight w:val="none"/>
        </w:rPr>
        <w:t>销售额等于</w:t>
      </w:r>
      <w:r>
        <w:rPr>
          <w:rFonts w:ascii="仿宋_GB2312" w:hAnsi="仿宋" w:eastAsia="仿宋_GB2312"/>
          <w:b w:val="0"/>
          <w:bCs/>
          <w:iCs/>
          <w:sz w:val="28"/>
          <w:szCs w:val="32"/>
          <w:highlight w:val="none"/>
        </w:rPr>
        <w:t>通过公共网络实现的销售额，但零售额</w:t>
      </w:r>
      <w:r>
        <w:rPr>
          <w:rFonts w:hint="eastAsia" w:ascii="仿宋_GB2312" w:hAnsi="仿宋" w:eastAsia="仿宋_GB2312"/>
          <w:b w:val="0"/>
          <w:bCs/>
          <w:iCs/>
          <w:sz w:val="28"/>
          <w:szCs w:val="32"/>
          <w:highlight w:val="none"/>
        </w:rPr>
        <w:t>小于</w:t>
      </w:r>
      <w:r>
        <w:rPr>
          <w:rFonts w:ascii="仿宋_GB2312" w:hAnsi="仿宋" w:eastAsia="仿宋_GB2312"/>
          <w:b w:val="0"/>
          <w:bCs/>
          <w:iCs/>
          <w:sz w:val="28"/>
          <w:szCs w:val="32"/>
          <w:highlight w:val="none"/>
        </w:rPr>
        <w:t>通过公共网络实现的零售额</w:t>
      </w:r>
      <w:r>
        <w:rPr>
          <w:rFonts w:hint="eastAsia" w:ascii="仿宋_GB2312" w:hAnsi="仿宋" w:eastAsia="仿宋_GB2312"/>
          <w:b w:val="0"/>
          <w:bCs/>
          <w:iCs/>
          <w:sz w:val="28"/>
          <w:szCs w:val="32"/>
          <w:highlight w:val="none"/>
        </w:rPr>
        <w:t>；</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hint="eastAsia" w:eastAsia="宋体"/>
          <w:b w:val="0"/>
          <w:bCs/>
          <w:highlight w:val="none"/>
          <w:lang w:val="en-US" w:eastAsia="zh-CN"/>
        </w:rPr>
      </w:pPr>
      <w:r>
        <w:rPr>
          <w:rFonts w:hint="eastAsia" w:ascii="仿宋_GB2312" w:hAnsi="仿宋" w:eastAsia="仿宋_GB2312"/>
          <w:b w:val="0"/>
          <w:bCs/>
          <w:iCs/>
          <w:sz w:val="28"/>
          <w:szCs w:val="32"/>
          <w:highlight w:val="none"/>
        </w:rPr>
        <w:t>只填报通过</w:t>
      </w:r>
      <w:r>
        <w:rPr>
          <w:rFonts w:ascii="仿宋_GB2312" w:hAnsi="仿宋" w:eastAsia="仿宋_GB2312"/>
          <w:b w:val="0"/>
          <w:bCs/>
          <w:iCs/>
          <w:sz w:val="28"/>
          <w:szCs w:val="32"/>
          <w:highlight w:val="none"/>
        </w:rPr>
        <w:t>公共网络实现的零售额，未填报通过公共网络实现的销售额。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textAlignment w:val="auto"/>
        <w:rPr>
          <w:rFonts w:hint="eastAsia" w:ascii="仿宋_GB2312" w:hAnsi="仿宋" w:eastAsia="仿宋_GB2312"/>
          <w:b/>
          <w:bCs w:val="0"/>
          <w:iCs/>
          <w:sz w:val="28"/>
          <w:szCs w:val="32"/>
          <w:highlight w:val="none"/>
          <w:lang w:val="en-US" w:eastAsia="zh-CN"/>
        </w:rPr>
      </w:pPr>
      <w:r>
        <w:rPr>
          <w:rFonts w:hint="eastAsia" w:ascii="仿宋_GB2312" w:hAnsi="仿宋" w:eastAsia="仿宋_GB2312"/>
          <w:b/>
          <w:bCs w:val="0"/>
          <w:iCs/>
          <w:sz w:val="28"/>
          <w:szCs w:val="32"/>
          <w:highlight w:val="none"/>
          <w:lang w:val="en-US" w:eastAsia="zh-CN"/>
        </w:rPr>
        <w:t>11.防止空转、代理等情况多填商品销售额，物权转移了才能形成销售！“空转”、“走单”等无商业实质贸易主要表现形式：</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（1）虚构的交易，即客户、供应商、销售和采购合同、以及交易过程中涉及单据均为伪造</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（2）通过上下游关联企业进行无商业实质的贸易，即交易中国有企业的客户和供应商原本就是关联方（供应商和客户为母子公司、集团中的兄弟公司）或者是有关联的企业</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（3）上下游合同中的支付条款可能表现为背对背的约定，即当客户和国有企业的销售合同中约定先款后货，付款方式为3 个月期的银行承兑汇票时，国有企业会与供应商约定相同的条款</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4）通过具有密切关系的上下游企业开展无商业实质的贸易，即国有企业的客户和供应商原本就有密切的业务往来。例如国有企业的供应商和客户为战略合同伙伴、客户为供应商的特约经销商、供应商为客户的主要货物的长期供应商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bCs w:val="0"/>
          <w:iCs/>
          <w:sz w:val="28"/>
          <w:szCs w:val="32"/>
          <w:highlight w:val="none"/>
          <w:lang w:val="en-US" w:eastAsia="zh-CN"/>
        </w:rPr>
      </w:pPr>
      <w:r>
        <w:rPr>
          <w:rFonts w:hint="eastAsia" w:ascii="仿宋_GB2312" w:hAnsi="仿宋" w:eastAsia="仿宋_GB2312"/>
          <w:b/>
          <w:bCs w:val="0"/>
          <w:iCs/>
          <w:sz w:val="28"/>
          <w:szCs w:val="32"/>
          <w:highlight w:val="none"/>
          <w:lang w:val="en-US" w:eastAsia="zh-CN"/>
        </w:rPr>
        <w:t>12.关于数据预估</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允许合理方法预估，尽量缩小预估数和实际数差距，留存预估依据(如：业务系统数据、统计台账、对账表等）</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本月预估数据不应与上月报送数据完全一致，应在上月基础上进行合理调整</w:t>
      </w:r>
    </w:p>
    <w:p>
      <w:pPr>
        <w:pStyle w:val="35"/>
        <w:keepNext w:val="0"/>
        <w:keepLines w:val="0"/>
        <w:pageBreakBefore w:val="0"/>
        <w:widowControl w:val="0"/>
        <w:numPr>
          <w:ilvl w:val="0"/>
          <w:numId w:val="7"/>
        </w:numPr>
        <w:kinsoku/>
        <w:wordWrap/>
        <w:overflowPunct/>
        <w:topLinePunct w:val="0"/>
        <w:autoSpaceDE/>
        <w:autoSpaceDN/>
        <w:bidi w:val="0"/>
        <w:adjustRightInd/>
        <w:snapToGrid/>
        <w:spacing w:line="420" w:lineRule="exact"/>
        <w:ind w:left="0"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“1-本月”应及时替换调整为实际数据，及时调整累计数据，减少累计数据的差错率，如：填报1-12月数据时，若12月当月数据未出，用1-11月准确数据+12月当月预估填报，不能始终以预估数累加填报</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textAlignment w:val="auto"/>
        <w:rPr>
          <w:rFonts w:hint="eastAsia" w:ascii="仿宋_GB2312" w:hAnsi="仿宋" w:eastAsia="仿宋_GB2312"/>
          <w:b/>
          <w:bCs w:val="0"/>
          <w:iCs/>
          <w:sz w:val="28"/>
          <w:szCs w:val="32"/>
          <w:highlight w:val="none"/>
          <w:lang w:val="en-US" w:eastAsia="zh-CN"/>
        </w:rPr>
      </w:pPr>
      <w:r>
        <w:rPr>
          <w:rFonts w:hint="eastAsia" w:ascii="仿宋_GB2312" w:hAnsi="仿宋" w:eastAsia="仿宋_GB2312"/>
          <w:b/>
          <w:bCs w:val="0"/>
          <w:iCs/>
          <w:sz w:val="28"/>
          <w:szCs w:val="32"/>
          <w:highlight w:val="none"/>
          <w:lang w:val="en-US" w:eastAsia="zh-CN"/>
        </w:rPr>
        <w:t>13.关于打折、返利的处理办法</w:t>
      </w:r>
    </w:p>
    <w:p>
      <w:pPr>
        <w:pStyle w:val="35"/>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0" w:leftChars="0" w:right="0" w:rightChars="0" w:firstLine="420" w:firstLineChars="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打折商品或者有返利的商品，按照实际销售收入填</w:t>
      </w:r>
    </w:p>
    <w:p>
      <w:pPr>
        <w:pStyle w:val="35"/>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0" w:leftChars="0" w:right="0" w:rightChars="0" w:firstLine="420" w:firstLineChars="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若单位属于上游给下游返利，扣除这部分返利收入计入自己的商品销售</w:t>
      </w:r>
    </w:p>
    <w:p>
      <w:pPr>
        <w:pStyle w:val="35"/>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0" w:leftChars="0" w:right="0" w:rightChars="0" w:firstLine="420" w:firstLineChars="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若单位属于下游，上游给返利，该部分返利不计入商品销售</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textAlignment w:val="auto"/>
        <w:rPr>
          <w:rFonts w:hint="eastAsia" w:ascii="仿宋_GB2312" w:hAnsi="仿宋" w:eastAsia="仿宋_GB2312"/>
          <w:b/>
          <w:bCs w:val="0"/>
          <w:iCs/>
          <w:sz w:val="28"/>
          <w:szCs w:val="32"/>
          <w:highlight w:val="none"/>
          <w:lang w:val="en-US" w:eastAsia="zh-CN"/>
        </w:rPr>
      </w:pPr>
      <w:r>
        <w:rPr>
          <w:rFonts w:hint="eastAsia" w:ascii="仿宋_GB2312" w:hAnsi="仿宋" w:eastAsia="仿宋_GB2312"/>
          <w:b/>
          <w:bCs w:val="0"/>
          <w:iCs/>
          <w:sz w:val="28"/>
          <w:szCs w:val="32"/>
          <w:highlight w:val="none"/>
          <w:lang w:val="en-US" w:eastAsia="zh-CN"/>
        </w:rPr>
        <w:t>14.关于退货的处理办法</w:t>
      </w:r>
    </w:p>
    <w:p>
      <w:pPr>
        <w:pStyle w:val="35"/>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0" w:leftChars="0" w:right="0" w:rightChars="0" w:firstLine="420" w:firstLineChars="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本月销售本月即退货，“本月” 和“1-本月”均需扣减</w:t>
      </w:r>
    </w:p>
    <w:p>
      <w:pPr>
        <w:pStyle w:val="35"/>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0" w:leftChars="0" w:right="0" w:rightChars="0" w:firstLine="420" w:firstLineChars="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今年以往前几个月销售出去，本月发生退货，只扣减“1-本月”，不扣减“本月”</w:t>
      </w:r>
    </w:p>
    <w:p>
      <w:pPr>
        <w:pStyle w:val="35"/>
        <w:keepNext w:val="0"/>
        <w:keepLines w:val="0"/>
        <w:pageBreakBefore w:val="0"/>
        <w:widowControl w:val="0"/>
        <w:numPr>
          <w:ilvl w:val="0"/>
          <w:numId w:val="13"/>
        </w:numPr>
        <w:kinsoku/>
        <w:wordWrap/>
        <w:overflowPunct/>
        <w:topLinePunct w:val="0"/>
        <w:autoSpaceDE/>
        <w:autoSpaceDN/>
        <w:bidi w:val="0"/>
        <w:adjustRightInd/>
        <w:snapToGrid/>
        <w:spacing w:line="420" w:lineRule="exact"/>
        <w:ind w:left="0" w:leftChars="0" w:right="0" w:rightChars="0" w:firstLine="420" w:firstLineChars="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以往年份销售，但本月才退货成功，不做任何扣减，“本月”和“1-本月”均无需扣减</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32"/>
          <w:highlight w:val="none"/>
          <w:lang w:val="en-US" w:eastAsia="zh-CN"/>
        </w:rPr>
      </w:pPr>
      <w:r>
        <w:rPr>
          <w:rFonts w:hint="eastAsia" w:ascii="仿宋_GB2312" w:hAnsi="仿宋" w:eastAsia="仿宋_GB2312"/>
          <w:b w:val="0"/>
          <w:bCs/>
          <w:iCs/>
          <w:sz w:val="28"/>
          <w:szCs w:val="32"/>
          <w:highlight w:val="none"/>
          <w:lang w:val="en-US" w:eastAsia="zh-CN"/>
        </w:rPr>
        <w:t>15.定报若涉及拆分、兼并、重组等结构调整，可能需要调整上年同期数据，及时联系上级统计部门。</w:t>
      </w:r>
    </w:p>
    <w:p>
      <w:pPr>
        <w:pStyle w:val="5"/>
      </w:pPr>
      <w:bookmarkStart w:id="146" w:name="_Toc372558058"/>
      <w:bookmarkStart w:id="147" w:name="_Toc27043619"/>
      <w:bookmarkStart w:id="148" w:name="_Toc309999216"/>
      <w:bookmarkStart w:id="149" w:name="_Toc16885"/>
      <w:bookmarkStart w:id="150" w:name="_Toc18934"/>
      <w:r>
        <w:rPr>
          <w:rFonts w:hint="eastAsia"/>
          <w:lang w:eastAsia="zh-CN"/>
        </w:rPr>
        <w:t>四、连</w:t>
      </w:r>
      <w:r>
        <w:rPr>
          <w:rFonts w:hint="eastAsia"/>
        </w:rPr>
        <w:t>锁经营情况（E120-1、E120-2</w:t>
      </w:r>
      <w:r>
        <w:rPr>
          <w:rFonts w:hint="eastAsia"/>
          <w:lang w:eastAsia="zh-CN"/>
        </w:rPr>
        <w:t>表</w:t>
      </w:r>
      <w:r>
        <w:rPr>
          <w:rFonts w:hint="eastAsia"/>
        </w:rPr>
        <w:t>）</w:t>
      </w:r>
      <w:bookmarkEnd w:id="146"/>
      <w:bookmarkEnd w:id="147"/>
      <w:bookmarkEnd w:id="148"/>
      <w:bookmarkEnd w:id="149"/>
      <w:bookmarkEnd w:id="150"/>
    </w:p>
    <w:p>
      <w:pPr>
        <w:pStyle w:val="6"/>
      </w:pPr>
      <w:r>
        <w:rPr>
          <w:rFonts w:hint="eastAsia"/>
          <w:lang w:eastAsia="zh-CN"/>
        </w:rPr>
        <w:t>（一）</w:t>
      </w:r>
      <w:r>
        <w:rPr>
          <w:rFonts w:hint="eastAsia"/>
        </w:rPr>
        <w:t>填报口径</w:t>
      </w:r>
    </w:p>
    <w:p>
      <w:pPr>
        <w:spacing w:line="0" w:lineRule="atLeast"/>
        <w:ind w:firstLine="560" w:firstLineChars="200"/>
        <w:rPr>
          <w:rFonts w:ascii="仿宋_GB2312" w:hAnsi="仿宋" w:eastAsia="仿宋_GB2312"/>
          <w:bCs/>
          <w:iCs/>
          <w:sz w:val="28"/>
          <w:szCs w:val="28"/>
        </w:rPr>
      </w:pPr>
      <w:r>
        <w:rPr>
          <w:rFonts w:hint="eastAsia" w:ascii="仿宋_GB2312" w:hAnsi="仿宋" w:eastAsia="仿宋_GB2312"/>
          <w:bCs/>
          <w:iCs/>
          <w:sz w:val="28"/>
          <w:szCs w:val="28"/>
        </w:rPr>
        <w:t>连锁总店（总部）填报数据应包含其下属直营店及加盟店数据。</w:t>
      </w:r>
    </w:p>
    <w:p>
      <w:pPr>
        <w:pStyle w:val="6"/>
      </w:pPr>
      <w:r>
        <w:rPr>
          <w:rFonts w:hint="eastAsia"/>
          <w:lang w:eastAsia="zh-CN"/>
        </w:rPr>
        <w:t>（二）</w:t>
      </w:r>
      <w:r>
        <w:rPr>
          <w:rFonts w:hint="eastAsia"/>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1、</w:t>
      </w:r>
      <w:r>
        <w:rPr>
          <w:rFonts w:hint="eastAsia" w:ascii="仿宋_GB2312" w:hAnsi="仿宋" w:eastAsia="仿宋_GB2312"/>
          <w:bCs/>
          <w:iCs/>
          <w:sz w:val="28"/>
          <w:szCs w:val="28"/>
        </w:rPr>
        <w:t>填报连锁报表的企业，调查单位基本情况101-1表中“批发和零售业/住宿和餐饮业经营形式”必须选择“2连锁总店（总部）”，其他企业不得选择该选项。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2、</w:t>
      </w:r>
      <w:r>
        <w:rPr>
          <w:rFonts w:ascii="仿宋_GB2312" w:hAnsi="仿宋" w:eastAsia="仿宋_GB2312"/>
          <w:bCs/>
          <w:iCs/>
          <w:sz w:val="28"/>
          <w:szCs w:val="28"/>
        </w:rPr>
        <w:t>E120-1表中“连锁品牌”填写招牌名称，不是单位名称</w:t>
      </w:r>
      <w:r>
        <w:rPr>
          <w:rFonts w:hint="eastAsia" w:ascii="仿宋_GB2312" w:hAnsi="仿宋" w:eastAsia="仿宋_GB2312"/>
          <w:bCs/>
          <w:iCs/>
          <w:sz w:val="28"/>
          <w:szCs w:val="28"/>
        </w:rPr>
        <w:t>；如有多个品牌须全部填写；应与101</w:t>
      </w:r>
      <w:r>
        <w:rPr>
          <w:rFonts w:ascii="仿宋_GB2312" w:hAnsi="仿宋" w:eastAsia="仿宋_GB2312"/>
          <w:bCs/>
          <w:iCs/>
          <w:sz w:val="28"/>
          <w:szCs w:val="28"/>
        </w:rPr>
        <w:t>-1</w:t>
      </w:r>
      <w:r>
        <w:rPr>
          <w:rFonts w:hint="eastAsia" w:ascii="仿宋_GB2312" w:hAnsi="仿宋" w:eastAsia="仿宋_GB2312"/>
          <w:bCs/>
          <w:iCs/>
          <w:sz w:val="28"/>
          <w:szCs w:val="28"/>
        </w:rPr>
        <w:t>、E107表一致。</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3、</w:t>
      </w:r>
      <w:r>
        <w:rPr>
          <w:rFonts w:hint="eastAsia" w:ascii="仿宋_GB2312" w:hAnsi="仿宋" w:eastAsia="仿宋_GB2312"/>
          <w:bCs/>
          <w:iCs/>
          <w:sz w:val="28"/>
          <w:szCs w:val="28"/>
        </w:rPr>
        <w:t>E120-1表中行业代码、登记注册类型、批发零售连锁业态应与101-1表及上年填写</w:t>
      </w:r>
      <w:r>
        <w:rPr>
          <w:rFonts w:ascii="仿宋_GB2312" w:hAnsi="仿宋" w:eastAsia="仿宋_GB2312"/>
          <w:bCs/>
          <w:iCs/>
          <w:sz w:val="28"/>
          <w:szCs w:val="28"/>
        </w:rPr>
        <w:t>情况</w:t>
      </w:r>
      <w:r>
        <w:rPr>
          <w:rFonts w:hint="eastAsia" w:ascii="仿宋_GB2312" w:hAnsi="仿宋" w:eastAsia="仿宋_GB2312"/>
          <w:bCs/>
          <w:iCs/>
          <w:sz w:val="28"/>
          <w:szCs w:val="28"/>
        </w:rPr>
        <w:t>保持一致。</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4、</w:t>
      </w:r>
      <w:r>
        <w:rPr>
          <w:rFonts w:hint="eastAsia" w:ascii="仿宋_GB2312" w:hAnsi="仿宋" w:eastAsia="仿宋_GB2312"/>
          <w:bCs/>
          <w:iCs/>
          <w:sz w:val="28"/>
          <w:szCs w:val="28"/>
        </w:rPr>
        <w:t>连锁经</w:t>
      </w:r>
      <w:r>
        <w:rPr>
          <w:rFonts w:ascii="仿宋_GB2312" w:hAnsi="仿宋" w:eastAsia="仿宋_GB2312"/>
          <w:bCs/>
          <w:iCs/>
          <w:sz w:val="28"/>
          <w:szCs w:val="28"/>
        </w:rPr>
        <w:t>营业务</w:t>
      </w:r>
      <w:r>
        <w:rPr>
          <w:rFonts w:hint="eastAsia" w:ascii="仿宋_GB2312" w:hAnsi="仿宋" w:eastAsia="仿宋_GB2312"/>
          <w:bCs/>
          <w:iCs/>
          <w:sz w:val="28"/>
          <w:szCs w:val="28"/>
        </w:rPr>
        <w:t>的</w:t>
      </w:r>
      <w:r>
        <w:rPr>
          <w:rFonts w:ascii="仿宋_GB2312" w:hAnsi="仿宋" w:eastAsia="仿宋_GB2312"/>
          <w:bCs/>
          <w:iCs/>
          <w:sz w:val="28"/>
          <w:szCs w:val="28"/>
        </w:rPr>
        <w:t>行业代码不</w:t>
      </w:r>
      <w:r>
        <w:rPr>
          <w:rFonts w:hint="eastAsia" w:ascii="仿宋_GB2312" w:hAnsi="仿宋" w:eastAsia="仿宋_GB2312"/>
          <w:bCs/>
          <w:iCs/>
          <w:sz w:val="28"/>
          <w:szCs w:val="28"/>
        </w:rPr>
        <w:t>能</w:t>
      </w:r>
      <w:r>
        <w:rPr>
          <w:rFonts w:ascii="仿宋_GB2312" w:hAnsi="仿宋" w:eastAsia="仿宋_GB2312"/>
          <w:bCs/>
          <w:iCs/>
          <w:sz w:val="28"/>
          <w:szCs w:val="28"/>
        </w:rPr>
        <w:t>填批发业，必须填零售业</w:t>
      </w:r>
      <w:r>
        <w:rPr>
          <w:rFonts w:hint="eastAsia" w:ascii="仿宋_GB2312" w:hAnsi="仿宋" w:eastAsia="仿宋_GB2312"/>
          <w:bCs/>
          <w:iCs/>
          <w:sz w:val="28"/>
          <w:szCs w:val="28"/>
        </w:rPr>
        <w:t>，从521-529选</w:t>
      </w:r>
      <w:r>
        <w:rPr>
          <w:rFonts w:ascii="仿宋_GB2312" w:hAnsi="仿宋" w:eastAsia="仿宋_GB2312"/>
          <w:bCs/>
          <w:iCs/>
          <w:sz w:val="28"/>
          <w:szCs w:val="28"/>
        </w:rPr>
        <w:t>项中选择。</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5、</w:t>
      </w:r>
      <w:r>
        <w:rPr>
          <w:rFonts w:hint="eastAsia" w:ascii="仿宋_GB2312" w:hAnsi="仿宋" w:eastAsia="仿宋_GB2312"/>
          <w:bCs/>
          <w:iCs/>
          <w:sz w:val="28"/>
          <w:szCs w:val="28"/>
        </w:rPr>
        <w:t>注意业态与行业代码的匹配关系。连锁</w:t>
      </w:r>
      <w:r>
        <w:rPr>
          <w:rFonts w:ascii="仿宋_GB2312" w:hAnsi="仿宋" w:eastAsia="仿宋_GB2312"/>
          <w:bCs/>
          <w:iCs/>
          <w:sz w:val="28"/>
          <w:szCs w:val="28"/>
        </w:rPr>
        <w:t>业态只能填一类，一定按照销售额占比最大的填报。</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6、</w:t>
      </w:r>
      <w:r>
        <w:rPr>
          <w:rFonts w:hint="eastAsia" w:ascii="仿宋_GB2312" w:hAnsi="仿宋" w:eastAsia="仿宋_GB2312"/>
          <w:bCs/>
          <w:iCs/>
          <w:sz w:val="28"/>
          <w:szCs w:val="28"/>
        </w:rPr>
        <w:t>E120</w:t>
      </w:r>
      <w:r>
        <w:rPr>
          <w:rFonts w:ascii="仿宋_GB2312" w:hAnsi="仿宋" w:eastAsia="仿宋_GB2312"/>
          <w:bCs/>
          <w:iCs/>
          <w:sz w:val="28"/>
          <w:szCs w:val="28"/>
        </w:rPr>
        <w:t>-1</w:t>
      </w:r>
      <w:r>
        <w:rPr>
          <w:rFonts w:hint="eastAsia" w:ascii="仿宋_GB2312" w:hAnsi="仿宋" w:eastAsia="仿宋_GB2312"/>
          <w:bCs/>
          <w:iCs/>
          <w:sz w:val="28"/>
          <w:szCs w:val="28"/>
        </w:rPr>
        <w:t>表</w:t>
      </w:r>
      <w:r>
        <w:rPr>
          <w:rFonts w:ascii="仿宋_GB2312" w:hAnsi="仿宋" w:eastAsia="仿宋_GB2312"/>
          <w:bCs/>
          <w:iCs/>
          <w:sz w:val="28"/>
          <w:szCs w:val="28"/>
        </w:rPr>
        <w:t>自有配送中心</w:t>
      </w:r>
      <w:r>
        <w:rPr>
          <w:rFonts w:hint="eastAsia" w:ascii="仿宋_GB2312" w:hAnsi="仿宋" w:eastAsia="仿宋_GB2312"/>
          <w:bCs/>
          <w:iCs/>
          <w:sz w:val="28"/>
          <w:szCs w:val="28"/>
        </w:rPr>
        <w:t>配送</w:t>
      </w:r>
      <w:r>
        <w:rPr>
          <w:rFonts w:ascii="仿宋_GB2312" w:hAnsi="仿宋" w:eastAsia="仿宋_GB2312"/>
          <w:bCs/>
          <w:iCs/>
          <w:sz w:val="28"/>
          <w:szCs w:val="28"/>
        </w:rPr>
        <w:t>商品购进额合</w:t>
      </w:r>
      <w:r>
        <w:rPr>
          <w:rFonts w:hint="eastAsia" w:ascii="仿宋_GB2312" w:hAnsi="仿宋" w:eastAsia="仿宋_GB2312"/>
          <w:bCs/>
          <w:iCs/>
          <w:sz w:val="28"/>
          <w:szCs w:val="28"/>
        </w:rPr>
        <w:t>计</w:t>
      </w:r>
      <w:r>
        <w:rPr>
          <w:rFonts w:ascii="仿宋_GB2312" w:hAnsi="仿宋" w:eastAsia="仿宋_GB2312"/>
          <w:bCs/>
          <w:iCs/>
          <w:sz w:val="28"/>
          <w:szCs w:val="28"/>
        </w:rPr>
        <w:t>大于</w:t>
      </w:r>
      <w:r>
        <w:rPr>
          <w:rFonts w:hint="eastAsia" w:ascii="仿宋_GB2312" w:hAnsi="仿宋" w:eastAsia="仿宋_GB2312"/>
          <w:bCs/>
          <w:iCs/>
          <w:sz w:val="28"/>
          <w:szCs w:val="28"/>
        </w:rPr>
        <w:t>0时</w:t>
      </w:r>
      <w:r>
        <w:rPr>
          <w:rFonts w:ascii="仿宋_GB2312" w:hAnsi="仿宋" w:eastAsia="仿宋_GB2312"/>
          <w:bCs/>
          <w:iCs/>
          <w:sz w:val="28"/>
          <w:szCs w:val="28"/>
        </w:rPr>
        <w:t>，</w:t>
      </w:r>
      <w:r>
        <w:rPr>
          <w:rFonts w:hint="eastAsia" w:ascii="仿宋_GB2312" w:hAnsi="仿宋" w:eastAsia="仿宋_GB2312"/>
          <w:bCs/>
          <w:iCs/>
          <w:sz w:val="28"/>
          <w:szCs w:val="28"/>
        </w:rPr>
        <w:t>E120-2表</w:t>
      </w:r>
      <w:r>
        <w:rPr>
          <w:rFonts w:ascii="仿宋_GB2312" w:hAnsi="仿宋" w:eastAsia="仿宋_GB2312"/>
          <w:bCs/>
          <w:iCs/>
          <w:sz w:val="28"/>
          <w:szCs w:val="28"/>
        </w:rPr>
        <w:t>“</w:t>
      </w:r>
      <w:r>
        <w:rPr>
          <w:rFonts w:hint="eastAsia" w:ascii="仿宋_GB2312" w:hAnsi="仿宋" w:eastAsia="仿宋_GB2312"/>
          <w:bCs/>
          <w:iCs/>
          <w:sz w:val="28"/>
          <w:szCs w:val="28"/>
        </w:rPr>
        <w:t>自</w:t>
      </w:r>
      <w:r>
        <w:rPr>
          <w:rFonts w:ascii="仿宋_GB2312" w:hAnsi="仿宋" w:eastAsia="仿宋_GB2312"/>
          <w:bCs/>
          <w:iCs/>
          <w:sz w:val="28"/>
          <w:szCs w:val="28"/>
        </w:rPr>
        <w:t>有配送中心”</w:t>
      </w:r>
      <w:r>
        <w:rPr>
          <w:rFonts w:hint="eastAsia" w:ascii="仿宋_GB2312" w:hAnsi="仿宋" w:eastAsia="仿宋_GB2312"/>
          <w:bCs/>
          <w:iCs/>
          <w:sz w:val="28"/>
          <w:szCs w:val="28"/>
        </w:rPr>
        <w:t>合</w:t>
      </w:r>
      <w:r>
        <w:rPr>
          <w:rFonts w:ascii="仿宋_GB2312" w:hAnsi="仿宋" w:eastAsia="仿宋_GB2312"/>
          <w:bCs/>
          <w:iCs/>
          <w:sz w:val="28"/>
          <w:szCs w:val="28"/>
        </w:rPr>
        <w:t>计应大于</w:t>
      </w:r>
      <w:r>
        <w:rPr>
          <w:rFonts w:hint="eastAsia" w:ascii="仿宋_GB2312" w:hAnsi="仿宋" w:eastAsia="仿宋_GB2312"/>
          <w:bCs/>
          <w:iCs/>
          <w:sz w:val="28"/>
          <w:szCs w:val="28"/>
        </w:rPr>
        <w:t>0。</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7、</w:t>
      </w:r>
      <w:r>
        <w:rPr>
          <w:rFonts w:hint="eastAsia" w:ascii="仿宋_GB2312" w:hAnsi="仿宋" w:eastAsia="仿宋_GB2312"/>
          <w:bCs/>
          <w:iCs/>
          <w:sz w:val="28"/>
          <w:szCs w:val="28"/>
        </w:rPr>
        <w:t>原则上“上年同期”数据不得修改。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8、</w:t>
      </w:r>
      <w:r>
        <w:rPr>
          <w:rFonts w:hint="eastAsia" w:ascii="仿宋_GB2312" w:hAnsi="仿宋" w:eastAsia="仿宋_GB2312"/>
          <w:bCs/>
          <w:iCs/>
          <w:sz w:val="28"/>
          <w:szCs w:val="28"/>
        </w:rPr>
        <w:t>E120-1表中门店总数大于</w:t>
      </w:r>
      <w:r>
        <w:rPr>
          <w:rFonts w:ascii="仿宋_GB2312" w:hAnsi="仿宋" w:eastAsia="仿宋_GB2312"/>
          <w:bCs/>
          <w:iCs/>
          <w:sz w:val="28"/>
          <w:szCs w:val="28"/>
        </w:rPr>
        <w:t>0</w:t>
      </w:r>
      <w:r>
        <w:rPr>
          <w:rFonts w:hint="eastAsia" w:ascii="仿宋_GB2312" w:hAnsi="仿宋" w:eastAsia="仿宋_GB2312"/>
          <w:bCs/>
          <w:iCs/>
          <w:sz w:val="28"/>
          <w:szCs w:val="28"/>
        </w:rPr>
        <w:t>，则从业人员、营业面积、商品购进额、商品销售额应大于</w:t>
      </w:r>
      <w:r>
        <w:rPr>
          <w:rFonts w:ascii="仿宋_GB2312" w:hAnsi="仿宋" w:eastAsia="仿宋_GB2312"/>
          <w:bCs/>
          <w:iCs/>
          <w:sz w:val="28"/>
          <w:szCs w:val="28"/>
        </w:rPr>
        <w:t>0</w:t>
      </w:r>
      <w:r>
        <w:rPr>
          <w:rFonts w:hint="eastAsia" w:ascii="仿宋_GB2312" w:hAnsi="仿宋" w:eastAsia="仿宋_GB2312"/>
          <w:bCs/>
          <w:i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9、</w:t>
      </w:r>
      <w:r>
        <w:rPr>
          <w:rFonts w:hint="eastAsia" w:ascii="仿宋_GB2312" w:hAnsi="仿宋" w:eastAsia="仿宋_GB2312"/>
          <w:bCs/>
          <w:iCs/>
          <w:sz w:val="28"/>
          <w:szCs w:val="28"/>
        </w:rPr>
        <w:t>E120-1表中便利店、超市营业面积应小于</w:t>
      </w:r>
      <w:r>
        <w:rPr>
          <w:rFonts w:ascii="仿宋_GB2312" w:hAnsi="仿宋" w:eastAsia="仿宋_GB2312"/>
          <w:bCs/>
          <w:iCs/>
          <w:sz w:val="28"/>
          <w:szCs w:val="28"/>
        </w:rPr>
        <w:t>6000</w:t>
      </w:r>
      <w:r>
        <w:rPr>
          <w:rFonts w:hint="eastAsia" w:ascii="仿宋_GB2312" w:hAnsi="仿宋" w:eastAsia="仿宋_GB2312"/>
          <w:bCs/>
          <w:iCs/>
          <w:sz w:val="28"/>
          <w:szCs w:val="28"/>
        </w:rPr>
        <w:t>平米；大型超市营业面积应大于等于</w:t>
      </w:r>
      <w:r>
        <w:rPr>
          <w:rFonts w:ascii="仿宋_GB2312" w:hAnsi="仿宋" w:eastAsia="仿宋_GB2312"/>
          <w:bCs/>
          <w:iCs/>
          <w:sz w:val="28"/>
          <w:szCs w:val="28"/>
        </w:rPr>
        <w:t>6000</w:t>
      </w:r>
      <w:r>
        <w:rPr>
          <w:rFonts w:hint="eastAsia" w:ascii="仿宋_GB2312" w:hAnsi="仿宋" w:eastAsia="仿宋_GB2312"/>
          <w:bCs/>
          <w:iCs/>
          <w:sz w:val="28"/>
          <w:szCs w:val="28"/>
        </w:rPr>
        <w:t>平米。</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10、</w:t>
      </w:r>
      <w:r>
        <w:rPr>
          <w:rFonts w:hint="eastAsia" w:ascii="仿宋_GB2312" w:hAnsi="仿宋" w:eastAsia="仿宋_GB2312"/>
          <w:bCs/>
          <w:iCs/>
          <w:sz w:val="28"/>
          <w:szCs w:val="28"/>
        </w:rPr>
        <w:t>E120-1表中若填报了“统一配送商品购进额”，则它的两个其中项原则上应填报其一。若两个其中项均未填报，须核实原因。</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11、</w:t>
      </w:r>
      <w:r>
        <w:rPr>
          <w:rFonts w:hint="eastAsia" w:ascii="仿宋_GB2312" w:hAnsi="仿宋" w:eastAsia="仿宋_GB2312"/>
          <w:bCs/>
          <w:iCs/>
          <w:sz w:val="28"/>
          <w:szCs w:val="28"/>
        </w:rPr>
        <w:t>E120-2表中自有配送中心应小于门店个数。</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
          <w:bCs/>
          <w:iCs/>
          <w:sz w:val="28"/>
          <w:szCs w:val="28"/>
        </w:rPr>
      </w:pPr>
      <w:r>
        <w:rPr>
          <w:rFonts w:hint="eastAsia" w:ascii="仿宋_GB2312" w:hAnsi="仿宋" w:eastAsia="仿宋_GB2312"/>
          <w:b/>
          <w:bCs/>
          <w:iCs/>
          <w:sz w:val="28"/>
          <w:szCs w:val="28"/>
          <w:lang w:val="en-US" w:eastAsia="zh-CN"/>
        </w:rPr>
        <w:t>12、</w:t>
      </w:r>
      <w:r>
        <w:rPr>
          <w:rFonts w:hint="eastAsia" w:ascii="仿宋_GB2312" w:hAnsi="仿宋" w:eastAsia="仿宋_GB2312"/>
          <w:b/>
          <w:bCs/>
          <w:iCs/>
          <w:sz w:val="28"/>
          <w:szCs w:val="28"/>
        </w:rPr>
        <w:t>原</w:t>
      </w:r>
      <w:r>
        <w:rPr>
          <w:rFonts w:ascii="仿宋_GB2312" w:hAnsi="仿宋" w:eastAsia="仿宋_GB2312"/>
          <w:b/>
          <w:bCs/>
          <w:iCs/>
          <w:sz w:val="28"/>
          <w:szCs w:val="28"/>
        </w:rPr>
        <w:t>则上</w:t>
      </w:r>
      <w:r>
        <w:rPr>
          <w:rFonts w:hint="eastAsia" w:ascii="仿宋_GB2312" w:hAnsi="仿宋" w:eastAsia="仿宋_GB2312"/>
          <w:b/>
          <w:bCs/>
          <w:iCs/>
          <w:sz w:val="28"/>
          <w:szCs w:val="28"/>
        </w:rPr>
        <w:t>，</w:t>
      </w:r>
      <w:r>
        <w:rPr>
          <w:rFonts w:ascii="仿宋_GB2312" w:hAnsi="仿宋" w:eastAsia="仿宋_GB2312"/>
          <w:b/>
          <w:bCs/>
          <w:iCs/>
          <w:sz w:val="28"/>
          <w:szCs w:val="28"/>
        </w:rPr>
        <w:t>上年</w:t>
      </w:r>
      <w:r>
        <w:rPr>
          <w:rFonts w:hint="eastAsia" w:ascii="仿宋_GB2312" w:hAnsi="仿宋" w:eastAsia="仿宋_GB2312"/>
          <w:b/>
          <w:bCs/>
          <w:iCs/>
          <w:sz w:val="28"/>
          <w:szCs w:val="28"/>
        </w:rPr>
        <w:t>同</w:t>
      </w:r>
      <w:r>
        <w:rPr>
          <w:rFonts w:ascii="仿宋_GB2312" w:hAnsi="仿宋" w:eastAsia="仿宋_GB2312"/>
          <w:b/>
          <w:bCs/>
          <w:iCs/>
          <w:sz w:val="28"/>
          <w:szCs w:val="28"/>
        </w:rPr>
        <w:t>期数据不变，不要修改，如果修改上年</w:t>
      </w:r>
      <w:r>
        <w:rPr>
          <w:rFonts w:hint="eastAsia" w:ascii="仿宋_GB2312" w:hAnsi="仿宋" w:eastAsia="仿宋_GB2312"/>
          <w:b/>
          <w:bCs/>
          <w:iCs/>
          <w:sz w:val="28"/>
          <w:szCs w:val="28"/>
        </w:rPr>
        <w:t>同</w:t>
      </w:r>
      <w:r>
        <w:rPr>
          <w:rFonts w:ascii="仿宋_GB2312" w:hAnsi="仿宋" w:eastAsia="仿宋_GB2312"/>
          <w:b/>
          <w:bCs/>
          <w:iCs/>
          <w:sz w:val="28"/>
          <w:szCs w:val="28"/>
        </w:rPr>
        <w:t>期数，必须写明具体详细的原因说明</w:t>
      </w:r>
      <w:r>
        <w:rPr>
          <w:rFonts w:hint="eastAsia" w:ascii="仿宋_GB2312" w:hAnsi="仿宋" w:eastAsia="仿宋_GB2312"/>
          <w:b/>
          <w:bCs/>
          <w:iCs/>
          <w:sz w:val="28"/>
          <w:szCs w:val="28"/>
        </w:rPr>
        <w:t>。</w:t>
      </w:r>
    </w:p>
    <w:p>
      <w:pPr>
        <w:pStyle w:val="5"/>
      </w:pPr>
      <w:bookmarkStart w:id="151" w:name="_Toc309999217"/>
      <w:bookmarkStart w:id="152" w:name="_Toc7681"/>
      <w:bookmarkStart w:id="153" w:name="_Toc372558059"/>
      <w:bookmarkStart w:id="154" w:name="_Toc27043620"/>
      <w:bookmarkStart w:id="155" w:name="_Toc17033"/>
      <w:r>
        <w:rPr>
          <w:rFonts w:hint="eastAsia"/>
          <w:lang w:eastAsia="zh-CN"/>
        </w:rPr>
        <w:t>五、亿</w:t>
      </w:r>
      <w:r>
        <w:rPr>
          <w:lang w:eastAsia="zh-CN"/>
        </w:rPr>
        <w:t>元以上</w:t>
      </w:r>
      <w:r>
        <w:rPr>
          <w:rFonts w:hint="eastAsia"/>
        </w:rPr>
        <w:t>商品交易市场</w:t>
      </w:r>
      <w:r>
        <w:rPr>
          <w:rFonts w:hint="eastAsia"/>
          <w:lang w:eastAsia="zh-CN"/>
        </w:rPr>
        <w:t>成交</w:t>
      </w:r>
      <w:r>
        <w:rPr>
          <w:lang w:eastAsia="zh-CN"/>
        </w:rPr>
        <w:t>情况</w:t>
      </w:r>
      <w:r>
        <w:rPr>
          <w:rFonts w:hint="eastAsia"/>
        </w:rPr>
        <w:t>（</w:t>
      </w:r>
      <w:r>
        <w:t>E130</w:t>
      </w:r>
      <w:r>
        <w:rPr>
          <w:rFonts w:hint="eastAsia"/>
          <w:lang w:eastAsia="zh-CN"/>
        </w:rPr>
        <w:t>表</w:t>
      </w:r>
      <w:r>
        <w:rPr>
          <w:rFonts w:hint="eastAsia"/>
        </w:rPr>
        <w:t>）</w:t>
      </w:r>
      <w:bookmarkEnd w:id="151"/>
      <w:bookmarkEnd w:id="152"/>
      <w:bookmarkEnd w:id="153"/>
      <w:bookmarkEnd w:id="154"/>
      <w:bookmarkEnd w:id="155"/>
    </w:p>
    <w:p>
      <w:pPr>
        <w:pStyle w:val="6"/>
      </w:pPr>
      <w:r>
        <w:rPr>
          <w:rFonts w:hint="eastAsia"/>
          <w:lang w:eastAsia="zh-CN"/>
        </w:rPr>
        <w:t>（一）</w:t>
      </w:r>
      <w:r>
        <w:rPr>
          <w:rFonts w:hint="eastAsia"/>
        </w:rPr>
        <w:t>填报范围</w:t>
      </w:r>
    </w:p>
    <w:p>
      <w:pPr>
        <w:spacing w:line="0" w:lineRule="atLeast"/>
        <w:ind w:firstLine="560" w:firstLineChars="200"/>
        <w:rPr>
          <w:rFonts w:ascii="仿宋_GB2312" w:hAnsi="仿宋" w:eastAsia="仿宋_GB2312"/>
          <w:bCs/>
          <w:iCs/>
          <w:sz w:val="28"/>
          <w:szCs w:val="28"/>
        </w:rPr>
      </w:pPr>
      <w:r>
        <w:rPr>
          <w:rFonts w:hint="eastAsia" w:ascii="仿宋_GB2312" w:eastAsia="仿宋_GB2312"/>
          <w:sz w:val="28"/>
          <w:szCs w:val="28"/>
        </w:rPr>
        <w:t>辖区内</w:t>
      </w:r>
      <w:r>
        <w:rPr>
          <w:rFonts w:hint="eastAsia" w:ascii="仿宋_GB2312" w:eastAsia="仿宋_GB2312"/>
          <w:b/>
          <w:sz w:val="28"/>
          <w:szCs w:val="28"/>
          <w:u w:val="single"/>
        </w:rPr>
        <w:t>全部</w:t>
      </w:r>
      <w:r>
        <w:rPr>
          <w:rFonts w:hint="eastAsia" w:ascii="仿宋_GB2312" w:eastAsia="仿宋_GB2312"/>
          <w:sz w:val="28"/>
          <w:szCs w:val="28"/>
        </w:rPr>
        <w:t>商品交易市场。</w:t>
      </w:r>
    </w:p>
    <w:p>
      <w:pPr>
        <w:pStyle w:val="6"/>
      </w:pPr>
      <w:r>
        <w:rPr>
          <w:rFonts w:hint="eastAsia"/>
          <w:lang w:eastAsia="zh-CN"/>
        </w:rPr>
        <w:t>（二）</w:t>
      </w:r>
      <w:r>
        <w:rPr>
          <w:rFonts w:hint="eastAsia"/>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1、</w:t>
      </w:r>
      <w:r>
        <w:rPr>
          <w:rFonts w:hint="eastAsia" w:ascii="仿宋_GB2312" w:hAnsi="仿宋" w:eastAsia="仿宋_GB2312"/>
          <w:bCs/>
          <w:iCs/>
          <w:sz w:val="28"/>
          <w:szCs w:val="28"/>
        </w:rPr>
        <w:t>市场经营地详细地址中，“省”、</w:t>
      </w:r>
      <w:r>
        <w:rPr>
          <w:rFonts w:ascii="仿宋_GB2312" w:hAnsi="仿宋" w:eastAsia="仿宋_GB2312"/>
          <w:bCs/>
          <w:iCs/>
          <w:sz w:val="28"/>
          <w:szCs w:val="28"/>
        </w:rPr>
        <w:t>“</w:t>
      </w:r>
      <w:r>
        <w:rPr>
          <w:rFonts w:hint="eastAsia" w:ascii="仿宋_GB2312" w:hAnsi="仿宋" w:eastAsia="仿宋_GB2312"/>
          <w:bCs/>
          <w:iCs/>
          <w:sz w:val="28"/>
          <w:szCs w:val="28"/>
        </w:rPr>
        <w:t>地</w:t>
      </w:r>
      <w:r>
        <w:rPr>
          <w:rFonts w:ascii="仿宋_GB2312" w:hAnsi="仿宋" w:eastAsia="仿宋_GB2312"/>
          <w:bCs/>
          <w:iCs/>
          <w:sz w:val="28"/>
          <w:szCs w:val="28"/>
        </w:rPr>
        <w:t>”</w:t>
      </w:r>
      <w:r>
        <w:rPr>
          <w:rFonts w:hint="eastAsia" w:ascii="仿宋_GB2312" w:hAnsi="仿宋" w:eastAsia="仿宋_GB2312"/>
          <w:bCs/>
          <w:iCs/>
          <w:sz w:val="28"/>
          <w:szCs w:val="28"/>
        </w:rPr>
        <w:t>两行均填“北京”，“县（区、市、旗）”一行填区县名称。</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eastAsia="仿宋_GB2312"/>
          <w:sz w:val="28"/>
          <w:szCs w:val="28"/>
          <w:lang w:val="en-US" w:eastAsia="zh-CN"/>
        </w:rPr>
        <w:t>2、</w:t>
      </w:r>
      <w:r>
        <w:rPr>
          <w:rFonts w:hint="eastAsia" w:ascii="仿宋_GB2312" w:eastAsia="仿宋_GB2312"/>
          <w:sz w:val="28"/>
          <w:szCs w:val="28"/>
        </w:rPr>
        <w:t>区划代码（E02）填写时一定填写完整正确。</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
          <w:bCs/>
          <w:iCs/>
          <w:sz w:val="28"/>
          <w:szCs w:val="28"/>
        </w:rPr>
      </w:pPr>
      <w:r>
        <w:rPr>
          <w:rFonts w:hint="eastAsia" w:ascii="仿宋_GB2312" w:eastAsia="仿宋_GB2312"/>
          <w:b/>
          <w:sz w:val="28"/>
          <w:szCs w:val="28"/>
          <w:lang w:val="en-US" w:eastAsia="zh-CN"/>
        </w:rPr>
        <w:t>3、</w:t>
      </w:r>
      <w:r>
        <w:rPr>
          <w:rFonts w:hint="eastAsia" w:ascii="仿宋_GB2312" w:eastAsia="仿宋_GB2312"/>
          <w:b/>
          <w:sz w:val="28"/>
          <w:szCs w:val="28"/>
        </w:rPr>
        <w:t>市场类</w:t>
      </w:r>
      <w:r>
        <w:rPr>
          <w:rFonts w:ascii="仿宋_GB2312" w:eastAsia="仿宋_GB2312"/>
          <w:b/>
          <w:sz w:val="28"/>
          <w:szCs w:val="28"/>
        </w:rPr>
        <w:t>别要选具体类别，不能</w:t>
      </w:r>
      <w:r>
        <w:rPr>
          <w:rFonts w:hint="eastAsia" w:ascii="仿宋_GB2312" w:eastAsia="仿宋_GB2312"/>
          <w:b/>
          <w:sz w:val="28"/>
          <w:szCs w:val="28"/>
        </w:rPr>
        <w:t>选A00综合</w:t>
      </w:r>
      <w:r>
        <w:rPr>
          <w:rFonts w:ascii="仿宋_GB2312" w:eastAsia="仿宋_GB2312"/>
          <w:b/>
          <w:sz w:val="28"/>
          <w:szCs w:val="28"/>
        </w:rPr>
        <w:t>市场和</w:t>
      </w:r>
      <w:r>
        <w:rPr>
          <w:rFonts w:hint="eastAsia" w:ascii="仿宋_GB2312" w:eastAsia="仿宋_GB2312"/>
          <w:b/>
          <w:sz w:val="28"/>
          <w:szCs w:val="28"/>
        </w:rPr>
        <w:t>B00专业</w:t>
      </w:r>
      <w:r>
        <w:rPr>
          <w:rFonts w:ascii="仿宋_GB2312" w:eastAsia="仿宋_GB2312"/>
          <w:b/>
          <w:sz w:val="28"/>
          <w:szCs w:val="28"/>
        </w:rPr>
        <w:t>市场。</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
          <w:bCs/>
          <w:iCs/>
          <w:sz w:val="28"/>
          <w:szCs w:val="28"/>
        </w:rPr>
      </w:pPr>
      <w:r>
        <w:rPr>
          <w:rFonts w:hint="eastAsia" w:ascii="仿宋_GB2312" w:eastAsia="仿宋_GB2312"/>
          <w:b/>
          <w:sz w:val="28"/>
          <w:szCs w:val="28"/>
          <w:lang w:val="en-US" w:eastAsia="zh-CN"/>
        </w:rPr>
        <w:t>4、</w:t>
      </w:r>
      <w:r>
        <w:rPr>
          <w:rFonts w:hint="eastAsia" w:ascii="仿宋_GB2312" w:eastAsia="仿宋_GB2312"/>
          <w:b/>
          <w:sz w:val="28"/>
          <w:szCs w:val="28"/>
        </w:rPr>
        <w:t>原</w:t>
      </w:r>
      <w:r>
        <w:rPr>
          <w:rFonts w:ascii="仿宋_GB2312" w:eastAsia="仿宋_GB2312"/>
          <w:b/>
          <w:sz w:val="28"/>
          <w:szCs w:val="28"/>
        </w:rPr>
        <w:t>则上市场类别不要选</w:t>
      </w:r>
      <w:r>
        <w:rPr>
          <w:rFonts w:hint="eastAsia" w:ascii="仿宋_GB2312" w:eastAsia="仿宋_GB2312"/>
          <w:b/>
          <w:sz w:val="28"/>
          <w:szCs w:val="28"/>
        </w:rPr>
        <w:t>990其他</w:t>
      </w:r>
      <w:r>
        <w:rPr>
          <w:rFonts w:ascii="仿宋_GB2312" w:eastAsia="仿宋_GB2312"/>
          <w:b/>
          <w:sz w:val="28"/>
          <w:szCs w:val="28"/>
        </w:rPr>
        <w:t>专业市场。</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5、</w:t>
      </w:r>
      <w:r>
        <w:rPr>
          <w:rFonts w:ascii="仿宋_GB2312" w:hAnsi="仿宋" w:eastAsia="仿宋_GB2312"/>
          <w:bCs/>
          <w:iCs/>
          <w:sz w:val="28"/>
          <w:szCs w:val="28"/>
        </w:rPr>
        <w:t>E130</w:t>
      </w:r>
      <w:r>
        <w:rPr>
          <w:rFonts w:hint="eastAsia" w:ascii="仿宋_GB2312" w:hAnsi="仿宋" w:eastAsia="仿宋_GB2312"/>
          <w:bCs/>
          <w:iCs/>
          <w:sz w:val="28"/>
          <w:szCs w:val="28"/>
        </w:rPr>
        <w:t>表中 “市场成交额”、“市场零售额”指标的计量单位均为“</w:t>
      </w:r>
      <w:r>
        <w:rPr>
          <w:rFonts w:hint="eastAsia" w:ascii="仿宋_GB2312" w:hAnsi="仿宋" w:eastAsia="仿宋_GB2312"/>
          <w:b/>
          <w:bCs/>
          <w:iCs/>
          <w:sz w:val="28"/>
          <w:szCs w:val="28"/>
        </w:rPr>
        <w:t>万元”</w:t>
      </w:r>
      <w:r>
        <w:rPr>
          <w:rFonts w:hint="eastAsia" w:ascii="仿宋_GB2312" w:hAnsi="仿宋" w:eastAsia="仿宋_GB2312"/>
          <w:bCs/>
          <w:iCs/>
          <w:sz w:val="28"/>
          <w:szCs w:val="28"/>
        </w:rPr>
        <w:t>，需要特别注意。</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eastAsia="仿宋_GB2312"/>
          <w:sz w:val="28"/>
          <w:szCs w:val="28"/>
          <w:lang w:val="en-US" w:eastAsia="zh-CN"/>
        </w:rPr>
        <w:t>6、</w:t>
      </w:r>
      <w:r>
        <w:rPr>
          <w:rFonts w:hint="eastAsia" w:ascii="仿宋_GB2312" w:eastAsia="仿宋_GB2312"/>
          <w:sz w:val="28"/>
          <w:szCs w:val="28"/>
        </w:rPr>
        <w:t>季节性营业的市场填报“市场营业面积”等时点指标时，应填报最后营业期期末的数据。</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ascii="仿宋_GB2312" w:hAnsi="仿宋" w:eastAsia="仿宋_GB2312"/>
          <w:bCs/>
          <w:iCs/>
          <w:sz w:val="28"/>
          <w:szCs w:val="28"/>
        </w:rPr>
      </w:pPr>
      <w:r>
        <w:rPr>
          <w:rFonts w:hint="eastAsia" w:ascii="仿宋_GB2312" w:hAnsi="仿宋" w:eastAsia="仿宋_GB2312"/>
          <w:bCs/>
          <w:iCs/>
          <w:sz w:val="28"/>
          <w:szCs w:val="28"/>
          <w:lang w:val="en-US" w:eastAsia="zh-CN"/>
        </w:rPr>
        <w:t>7、</w:t>
      </w:r>
      <w:r>
        <w:rPr>
          <w:rFonts w:hint="eastAsia" w:ascii="仿宋_GB2312" w:hAnsi="仿宋" w:eastAsia="仿宋_GB2312"/>
          <w:bCs/>
          <w:iCs/>
          <w:sz w:val="28"/>
          <w:szCs w:val="28"/>
        </w:rPr>
        <w:t>注意建筑面积与营业面积的区别；建筑面积包含营业面积，还包含仓库、停车场、办公室等，因此建筑面积</w:t>
      </w:r>
      <w:r>
        <w:rPr>
          <w:rFonts w:hint="eastAsia" w:ascii="仿宋_GB2312" w:hAnsi="仿宋" w:eastAsia="仿宋_GB2312"/>
          <w:b/>
          <w:bCs/>
          <w:iCs/>
          <w:sz w:val="28"/>
          <w:szCs w:val="28"/>
        </w:rPr>
        <w:t>必须大于</w:t>
      </w:r>
      <w:r>
        <w:rPr>
          <w:rFonts w:hint="eastAsia" w:ascii="仿宋_GB2312" w:hAnsi="仿宋" w:eastAsia="仿宋_GB2312"/>
          <w:bCs/>
          <w:iCs/>
          <w:sz w:val="28"/>
          <w:szCs w:val="28"/>
        </w:rPr>
        <w:t>营业面积。</w:t>
      </w:r>
    </w:p>
    <w:p>
      <w:pPr>
        <w:pStyle w:val="2"/>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出租摊位数占总摊位数的比重应大于等于10%，并且每个摊位的平均营业面积不应过大或过小。</w:t>
      </w:r>
    </w:p>
    <w:p>
      <w:pPr>
        <w:pStyle w:val="5"/>
      </w:pPr>
      <w:bookmarkStart w:id="156" w:name="_Toc19905"/>
      <w:bookmarkStart w:id="157" w:name="_Toc3221"/>
      <w:bookmarkStart w:id="158" w:name="_Toc32515"/>
      <w:bookmarkStart w:id="159" w:name="_Toc2589_WPSOffice_Level2"/>
      <w:bookmarkStart w:id="160" w:name="_Toc14344"/>
      <w:bookmarkStart w:id="161" w:name="_Toc12882"/>
      <w:bookmarkStart w:id="162" w:name="_Toc19207_WPSOffice_Level2"/>
      <w:bookmarkStart w:id="163" w:name="_Toc13247_WPSOffice_Level2"/>
      <w:bookmarkStart w:id="164" w:name="_Toc14991"/>
      <w:r>
        <w:rPr>
          <w:rFonts w:hint="eastAsia"/>
          <w:lang w:eastAsia="zh-CN"/>
        </w:rPr>
        <w:t>六</w:t>
      </w:r>
      <w:r>
        <w:rPr>
          <w:rFonts w:hint="eastAsia"/>
        </w:rPr>
        <w:t>、城市商业综合体情况（E140表）</w:t>
      </w:r>
      <w:bookmarkEnd w:id="156"/>
      <w:bookmarkEnd w:id="157"/>
      <w:bookmarkEnd w:id="158"/>
      <w:bookmarkEnd w:id="159"/>
      <w:bookmarkEnd w:id="160"/>
      <w:bookmarkEnd w:id="161"/>
      <w:bookmarkEnd w:id="162"/>
      <w:bookmarkEnd w:id="163"/>
      <w:bookmarkEnd w:id="164"/>
    </w:p>
    <w:p>
      <w:pPr>
        <w:pStyle w:val="6"/>
      </w:pPr>
      <w:bookmarkStart w:id="165" w:name="_Toc1710"/>
      <w:bookmarkStart w:id="166" w:name="_Toc15999"/>
      <w:bookmarkStart w:id="167" w:name="_Toc4542"/>
      <w:bookmarkStart w:id="168" w:name="_Toc16402"/>
      <w:r>
        <w:rPr>
          <w:rFonts w:hint="eastAsia"/>
        </w:rPr>
        <w:t>（</w:t>
      </w:r>
      <w:r>
        <w:rPr>
          <w:rFonts w:hint="eastAsia"/>
          <w:lang w:eastAsia="zh-CN"/>
        </w:rPr>
        <w:t>一</w:t>
      </w:r>
      <w:r>
        <w:rPr>
          <w:rFonts w:hint="eastAsia"/>
        </w:rPr>
        <w:t>）报表变化</w:t>
      </w:r>
      <w:bookmarkEnd w:id="165"/>
      <w:bookmarkEnd w:id="166"/>
      <w:bookmarkEnd w:id="167"/>
      <w:bookmarkEnd w:id="168"/>
    </w:p>
    <w:p>
      <w:pPr>
        <w:pStyle w:val="35"/>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hint="eastAsia" w:ascii="仿宋_GB2312" w:hAnsi="仿宋" w:eastAsia="仿宋_GB2312" w:cs="Times New Roman"/>
          <w:bCs/>
          <w:iCs/>
          <w:sz w:val="28"/>
          <w:szCs w:val="32"/>
          <w:lang w:val="en-US" w:eastAsia="zh-CN"/>
        </w:rPr>
      </w:pPr>
      <w:r>
        <w:rPr>
          <w:rFonts w:hint="eastAsia" w:ascii="仿宋_GB2312" w:hAnsi="仿宋" w:eastAsia="仿宋_GB2312" w:cs="Times New Roman"/>
          <w:bCs/>
          <w:iCs/>
          <w:sz w:val="28"/>
          <w:szCs w:val="32"/>
          <w:lang w:val="en-US" w:eastAsia="zh-CN"/>
        </w:rPr>
        <w:t>1.综合体代码编码规则变化，调整为18位码；</w:t>
      </w:r>
    </w:p>
    <w:p>
      <w:pPr>
        <w:pStyle w:val="35"/>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hint="eastAsia" w:ascii="仿宋_GB2312" w:hAnsi="仿宋" w:eastAsia="仿宋_GB2312" w:cs="Times New Roman"/>
          <w:bCs/>
          <w:iCs/>
          <w:sz w:val="28"/>
          <w:szCs w:val="32"/>
          <w:lang w:val="en-US" w:eastAsia="zh-CN"/>
        </w:rPr>
      </w:pPr>
      <w:r>
        <w:rPr>
          <w:rFonts w:hint="eastAsia" w:ascii="仿宋_GB2312" w:hAnsi="仿宋" w:eastAsia="仿宋_GB2312" w:cs="Times New Roman"/>
          <w:bCs/>
          <w:iCs/>
          <w:sz w:val="28"/>
          <w:szCs w:val="32"/>
          <w:lang w:val="en-US" w:eastAsia="zh-CN"/>
        </w:rPr>
        <w:t>2.指标名称变化：“食品、饮料及烟草制品零售”修改为“食品饮料及烟草制品零售”；</w:t>
      </w:r>
    </w:p>
    <w:p>
      <w:pPr>
        <w:pStyle w:val="35"/>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560" w:firstLineChars="200"/>
        <w:jc w:val="both"/>
        <w:textAlignment w:val="auto"/>
        <w:outlineLvl w:val="9"/>
        <w:rPr>
          <w:rFonts w:hint="eastAsia" w:ascii="仿宋_GB2312" w:hAnsi="仿宋" w:eastAsia="仿宋_GB2312" w:cs="Times New Roman"/>
          <w:bCs/>
          <w:iCs/>
          <w:sz w:val="28"/>
          <w:szCs w:val="32"/>
          <w:lang w:val="en-US" w:eastAsia="zh-CN"/>
        </w:rPr>
      </w:pPr>
      <w:r>
        <w:rPr>
          <w:rFonts w:hint="eastAsia" w:ascii="仿宋_GB2312" w:hAnsi="仿宋" w:eastAsia="仿宋_GB2312" w:cs="Times New Roman"/>
          <w:bCs/>
          <w:iCs/>
          <w:sz w:val="28"/>
          <w:szCs w:val="32"/>
          <w:lang w:val="en-US" w:eastAsia="zh-CN"/>
        </w:rPr>
        <w:t>3.指标名称变化：“分支机构”修改为“产业活动单位（分支机构）”</w:t>
      </w:r>
    </w:p>
    <w:p>
      <w:pPr>
        <w:pStyle w:val="6"/>
      </w:pPr>
      <w:bookmarkStart w:id="169" w:name="_Toc17750"/>
      <w:bookmarkStart w:id="170" w:name="_Toc21014"/>
      <w:bookmarkStart w:id="171" w:name="_Toc28220"/>
      <w:bookmarkStart w:id="172" w:name="_Toc32240"/>
      <w:r>
        <w:rPr>
          <w:rFonts w:hint="eastAsia"/>
        </w:rPr>
        <w:t>（</w:t>
      </w:r>
      <w:r>
        <w:rPr>
          <w:rFonts w:hint="eastAsia"/>
          <w:lang w:eastAsia="zh-CN"/>
        </w:rPr>
        <w:t>二</w:t>
      </w:r>
      <w:r>
        <w:rPr>
          <w:rFonts w:hint="eastAsia"/>
        </w:rPr>
        <w:t>）填报口径和填报范围</w:t>
      </w:r>
      <w:bookmarkEnd w:id="169"/>
      <w:bookmarkEnd w:id="170"/>
      <w:bookmarkEnd w:id="171"/>
      <w:bookmarkEnd w:id="172"/>
    </w:p>
    <w:p>
      <w:pPr>
        <w:spacing w:line="0" w:lineRule="atLeast"/>
        <w:ind w:left="420" w:leftChars="200"/>
        <w:jc w:val="both"/>
        <w:rPr>
          <w:rFonts w:ascii="仿宋_GB2312" w:hAnsi="仿宋" w:eastAsia="仿宋_GB2312"/>
          <w:b/>
          <w:bCs/>
          <w:iCs/>
          <w:sz w:val="28"/>
          <w:szCs w:val="32"/>
        </w:rPr>
      </w:pPr>
      <w:r>
        <w:rPr>
          <w:rFonts w:hint="eastAsia" w:ascii="仿宋_GB2312" w:eastAsia="仿宋_GB2312"/>
          <w:sz w:val="28"/>
          <w:szCs w:val="28"/>
        </w:rPr>
        <w:t>辖区内城市商业综合体。</w:t>
      </w:r>
    </w:p>
    <w:p>
      <w:pPr>
        <w:pStyle w:val="6"/>
      </w:pPr>
      <w:bookmarkStart w:id="173" w:name="_Toc13213"/>
      <w:bookmarkStart w:id="174" w:name="_Toc21632"/>
      <w:bookmarkStart w:id="175" w:name="_Toc11775"/>
      <w:bookmarkStart w:id="176" w:name="_Toc6872"/>
      <w:r>
        <w:rPr>
          <w:rFonts w:hint="eastAsia"/>
        </w:rPr>
        <w:t>（</w:t>
      </w:r>
      <w:r>
        <w:rPr>
          <w:rFonts w:hint="eastAsia"/>
          <w:lang w:eastAsia="zh-CN"/>
        </w:rPr>
        <w:t>三</w:t>
      </w:r>
      <w:r>
        <w:rPr>
          <w:rFonts w:hint="eastAsia"/>
        </w:rPr>
        <w:t>）重点指标讲解</w:t>
      </w:r>
      <w:bookmarkEnd w:id="173"/>
      <w:bookmarkEnd w:id="174"/>
      <w:bookmarkEnd w:id="175"/>
      <w:bookmarkEnd w:id="176"/>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jc w:val="both"/>
        <w:textAlignment w:val="auto"/>
        <w:rPr>
          <w:rFonts w:hint="eastAsia" w:ascii="仿宋_GB2312" w:hAnsi="宋体" w:eastAsia="仿宋_GB2312"/>
          <w:bCs/>
          <w:iCs/>
          <w:color w:val="000000" w:themeColor="text1"/>
          <w:sz w:val="28"/>
          <w:szCs w:val="28"/>
          <w:lang w:val="en-US" w:eastAsia="zh-CN"/>
        </w:rPr>
      </w:pPr>
      <w:r>
        <w:rPr>
          <w:rFonts w:hint="eastAsia" w:ascii="仿宋_GB2312" w:hAnsi="宋体" w:eastAsia="仿宋_GB2312"/>
          <w:bCs/>
          <w:iCs/>
          <w:color w:val="000000" w:themeColor="text1"/>
          <w:sz w:val="28"/>
          <w:szCs w:val="28"/>
          <w:lang w:val="en-US" w:eastAsia="zh-CN"/>
        </w:rPr>
        <w:t xml:space="preserve">1.全部可出租面积既包括出租面积，也包括自用面积，按报告期末实有建筑面积填写。不包括写字楼、酒店、停车场面积。 </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jc w:val="both"/>
        <w:textAlignment w:val="auto"/>
        <w:rPr>
          <w:rFonts w:hint="eastAsia" w:ascii="仿宋_GB2312" w:hAnsi="宋体" w:eastAsia="仿宋_GB2312"/>
          <w:bCs/>
          <w:iCs/>
          <w:color w:val="000000" w:themeColor="text1"/>
          <w:sz w:val="28"/>
          <w:szCs w:val="28"/>
          <w:lang w:val="en-US" w:eastAsia="zh-CN"/>
        </w:rPr>
      </w:pPr>
      <w:r>
        <w:rPr>
          <w:rFonts w:hint="eastAsia" w:ascii="仿宋_GB2312" w:hAnsi="宋体" w:eastAsia="仿宋_GB2312"/>
          <w:bCs/>
          <w:iCs/>
          <w:color w:val="000000" w:themeColor="text1"/>
          <w:sz w:val="28"/>
          <w:szCs w:val="28"/>
          <w:lang w:val="en-US" w:eastAsia="zh-CN"/>
        </w:rPr>
        <w:t>2.可出租摊位数不包括自营联营部分的摊位数。</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jc w:val="both"/>
        <w:textAlignment w:val="auto"/>
        <w:rPr>
          <w:rFonts w:hint="eastAsia" w:ascii="仿宋_GB2312" w:hAnsi="宋体" w:eastAsia="仿宋_GB2312"/>
          <w:bCs/>
          <w:iCs/>
          <w:color w:val="000000" w:themeColor="text1"/>
          <w:sz w:val="28"/>
          <w:szCs w:val="28"/>
          <w:lang w:val="en-US" w:eastAsia="zh-CN"/>
        </w:rPr>
      </w:pPr>
      <w:r>
        <w:rPr>
          <w:rFonts w:hint="eastAsia" w:ascii="仿宋_GB2312" w:hAnsi="宋体" w:eastAsia="仿宋_GB2312"/>
          <w:bCs/>
          <w:iCs/>
          <w:color w:val="000000" w:themeColor="text1"/>
          <w:sz w:val="28"/>
          <w:szCs w:val="28"/>
          <w:lang w:val="en-US" w:eastAsia="zh-CN"/>
        </w:rPr>
        <w:t>3.商户数不包括商业综合体的管理、运营或服务机构，如物业公司、保洁公司等。银行不做为综合体商户填报。</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jc w:val="both"/>
        <w:textAlignment w:val="auto"/>
        <w:rPr>
          <w:rFonts w:hint="eastAsia" w:ascii="仿宋_GB2312" w:hAnsi="宋体" w:eastAsia="仿宋_GB2312"/>
          <w:bCs/>
          <w:iCs/>
          <w:color w:val="000000" w:themeColor="text1"/>
          <w:sz w:val="28"/>
          <w:szCs w:val="28"/>
          <w:lang w:val="en-US" w:eastAsia="zh-CN"/>
        </w:rPr>
      </w:pPr>
      <w:r>
        <w:rPr>
          <w:rFonts w:hint="eastAsia" w:ascii="仿宋_GB2312" w:hAnsi="宋体" w:eastAsia="仿宋_GB2312"/>
          <w:bCs/>
          <w:iCs/>
          <w:color w:val="000000" w:themeColor="text1"/>
          <w:sz w:val="28"/>
          <w:szCs w:val="28"/>
          <w:lang w:val="en-US" w:eastAsia="zh-CN"/>
        </w:rPr>
        <w:t>4.营业面积：零售业商户不包括办公面积、仓库及加工场地的面积。餐饮业商户包括对外提供餐饮服务的就餐面积和从事食品加工、烹饪、调制的厨房面积，不包括办公用房和仓库等面积。</w:t>
      </w:r>
    </w:p>
    <w:p>
      <w:pPr>
        <w:keepNext w:val="0"/>
        <w:keepLines w:val="0"/>
        <w:pageBreakBefore w:val="0"/>
        <w:widowControl w:val="0"/>
        <w:kinsoku/>
        <w:wordWrap/>
        <w:overflowPunct/>
        <w:topLinePunct w:val="0"/>
        <w:autoSpaceDE/>
        <w:autoSpaceDN/>
        <w:bidi w:val="0"/>
        <w:adjustRightInd w:val="0"/>
        <w:snapToGrid w:val="0"/>
        <w:spacing w:line="0" w:lineRule="atLeast"/>
        <w:ind w:firstLine="560" w:firstLineChars="200"/>
        <w:jc w:val="both"/>
        <w:textAlignment w:val="auto"/>
        <w:rPr>
          <w:rFonts w:hint="eastAsia" w:ascii="仿宋_GB2312" w:hAnsi="宋体" w:eastAsia="仿宋_GB2312"/>
          <w:bCs/>
          <w:iCs/>
          <w:color w:val="000000" w:themeColor="text1"/>
          <w:sz w:val="28"/>
          <w:szCs w:val="28"/>
          <w:lang w:val="en-US" w:eastAsia="zh-CN"/>
        </w:rPr>
      </w:pPr>
      <w:r>
        <w:rPr>
          <w:rFonts w:hint="eastAsia" w:ascii="仿宋_GB2312" w:hAnsi="宋体" w:eastAsia="仿宋_GB2312"/>
          <w:bCs/>
          <w:iCs/>
          <w:color w:val="000000" w:themeColor="text1"/>
          <w:sz w:val="28"/>
          <w:szCs w:val="28"/>
          <w:lang w:val="en-US" w:eastAsia="zh-CN"/>
        </w:rPr>
        <w:t>5.零售业中的“百货零售”种类较全（吃穿用均涵盖）、规模较大，如贵友百货。零售业中的“其他”指“7-11”“屈臣氏”等便利店。零售业中的“超级市场零售”商户数填报的为超市的数量，而不是供货商的数量。</w:t>
      </w:r>
    </w:p>
    <w:p>
      <w:pPr>
        <w:pStyle w:val="6"/>
      </w:pPr>
      <w:bookmarkStart w:id="177" w:name="_Toc227"/>
      <w:bookmarkStart w:id="178" w:name="_Toc2976"/>
      <w:bookmarkStart w:id="179" w:name="_Toc14341"/>
      <w:bookmarkStart w:id="180" w:name="_Toc28246"/>
      <w:r>
        <w:rPr>
          <w:rFonts w:hint="eastAsia"/>
        </w:rPr>
        <w:t>（</w:t>
      </w:r>
      <w:r>
        <w:rPr>
          <w:rFonts w:hint="eastAsia"/>
          <w:lang w:eastAsia="zh-CN"/>
        </w:rPr>
        <w:t>四</w:t>
      </w:r>
      <w:r>
        <w:rPr>
          <w:rFonts w:hint="eastAsia"/>
        </w:rPr>
        <w:t>）常见问题及处理办法</w:t>
      </w:r>
      <w:bookmarkEnd w:id="177"/>
      <w:bookmarkEnd w:id="178"/>
      <w:bookmarkEnd w:id="179"/>
      <w:bookmarkEnd w:id="180"/>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jc w:val="both"/>
        <w:textAlignment w:val="auto"/>
        <w:rPr>
          <w:rFonts w:ascii="仿宋_GB2312" w:eastAsia="仿宋_GB2312"/>
          <w:sz w:val="28"/>
          <w:szCs w:val="28"/>
        </w:rPr>
      </w:pPr>
      <w:r>
        <w:rPr>
          <w:rFonts w:hint="eastAsia" w:ascii="仿宋_GB2312" w:hAnsi="宋体" w:eastAsia="仿宋_GB2312"/>
          <w:bCs/>
          <w:iCs/>
          <w:color w:val="000000" w:themeColor="text1"/>
          <w:sz w:val="28"/>
          <w:szCs w:val="28"/>
        </w:rPr>
        <w:t>1.经营地址中，“省”、</w:t>
      </w:r>
      <w:r>
        <w:rPr>
          <w:rFonts w:ascii="仿宋_GB2312" w:hAnsi="宋体" w:eastAsia="仿宋_GB2312"/>
          <w:bCs/>
          <w:iCs/>
          <w:color w:val="000000" w:themeColor="text1"/>
          <w:sz w:val="28"/>
          <w:szCs w:val="28"/>
        </w:rPr>
        <w:t>“</w:t>
      </w:r>
      <w:r>
        <w:rPr>
          <w:rFonts w:hint="eastAsia" w:ascii="仿宋_GB2312" w:hAnsi="宋体" w:eastAsia="仿宋_GB2312"/>
          <w:bCs/>
          <w:iCs/>
          <w:color w:val="000000" w:themeColor="text1"/>
          <w:sz w:val="28"/>
          <w:szCs w:val="28"/>
        </w:rPr>
        <w:t>地</w:t>
      </w:r>
      <w:r>
        <w:rPr>
          <w:rFonts w:ascii="仿宋_GB2312" w:hAnsi="宋体" w:eastAsia="仿宋_GB2312"/>
          <w:bCs/>
          <w:iCs/>
          <w:color w:val="000000" w:themeColor="text1"/>
          <w:sz w:val="28"/>
          <w:szCs w:val="28"/>
        </w:rPr>
        <w:t>”</w:t>
      </w:r>
      <w:r>
        <w:rPr>
          <w:rFonts w:hint="eastAsia" w:ascii="仿宋_GB2312" w:hAnsi="宋体" w:eastAsia="仿宋_GB2312"/>
          <w:bCs/>
          <w:iCs/>
          <w:color w:val="000000" w:themeColor="text1"/>
          <w:sz w:val="28"/>
          <w:szCs w:val="28"/>
        </w:rPr>
        <w:t>两行均填“北京”，“县（区、市、旗）”一行填区县名称</w:t>
      </w:r>
      <w:r>
        <w:rPr>
          <w:rFonts w:hint="eastAsia" w:ascii="仿宋_GB2312" w:eastAsia="仿宋_GB2312"/>
          <w:sz w:val="28"/>
          <w:szCs w:val="28"/>
        </w:rPr>
        <w:t>。</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jc w:val="both"/>
        <w:textAlignment w:val="auto"/>
        <w:rPr>
          <w:rFonts w:ascii="仿宋_GB2312" w:hAnsi="仿宋" w:eastAsia="仿宋_GB2312"/>
          <w:bCs/>
          <w:iCs/>
          <w:sz w:val="28"/>
          <w:szCs w:val="28"/>
        </w:rPr>
      </w:pPr>
      <w:r>
        <w:rPr>
          <w:rFonts w:hint="eastAsia" w:ascii="仿宋_GB2312" w:hAnsi="仿宋" w:eastAsia="仿宋_GB2312"/>
          <w:bCs/>
          <w:iCs/>
          <w:sz w:val="28"/>
          <w:szCs w:val="28"/>
        </w:rPr>
        <w:t>2.</w:t>
      </w:r>
      <w:r>
        <w:rPr>
          <w:rFonts w:ascii="仿宋_GB2312" w:hAnsi="仿宋" w:eastAsia="仿宋_GB2312"/>
          <w:bCs/>
          <w:iCs/>
          <w:sz w:val="28"/>
          <w:szCs w:val="28"/>
        </w:rPr>
        <w:t>E1</w:t>
      </w:r>
      <w:r>
        <w:rPr>
          <w:rFonts w:hint="eastAsia" w:ascii="仿宋_GB2312" w:hAnsi="仿宋" w:eastAsia="仿宋_GB2312"/>
          <w:bCs/>
          <w:iCs/>
          <w:sz w:val="28"/>
          <w:szCs w:val="28"/>
        </w:rPr>
        <w:t>4</w:t>
      </w:r>
      <w:r>
        <w:rPr>
          <w:rFonts w:ascii="仿宋_GB2312" w:hAnsi="仿宋" w:eastAsia="仿宋_GB2312"/>
          <w:bCs/>
          <w:iCs/>
          <w:sz w:val="28"/>
          <w:szCs w:val="28"/>
        </w:rPr>
        <w:t>0</w:t>
      </w:r>
      <w:r>
        <w:rPr>
          <w:rFonts w:hint="eastAsia" w:ascii="仿宋_GB2312" w:hAnsi="仿宋" w:eastAsia="仿宋_GB2312"/>
          <w:bCs/>
          <w:iCs/>
          <w:sz w:val="28"/>
          <w:szCs w:val="28"/>
        </w:rPr>
        <w:t>表中“商户商品销售额（商户营业额）”指标的计量单位为“</w:t>
      </w:r>
      <w:r>
        <w:rPr>
          <w:rFonts w:hint="eastAsia" w:ascii="仿宋_GB2312" w:hAnsi="仿宋" w:eastAsia="仿宋_GB2312"/>
          <w:b/>
          <w:bCs/>
          <w:iCs/>
          <w:sz w:val="28"/>
          <w:szCs w:val="28"/>
        </w:rPr>
        <w:t>万元”</w:t>
      </w:r>
      <w:r>
        <w:rPr>
          <w:rFonts w:hint="eastAsia" w:ascii="仿宋_GB2312" w:hAnsi="仿宋" w:eastAsia="仿宋_GB2312"/>
          <w:bCs/>
          <w:iCs/>
          <w:sz w:val="28"/>
          <w:szCs w:val="28"/>
        </w:rPr>
        <w:t>，</w:t>
      </w:r>
      <w:r>
        <w:rPr>
          <w:rFonts w:hint="eastAsia" w:ascii="仿宋_GB2312" w:hAnsi="仿宋" w:eastAsia="仿宋_GB2312"/>
          <w:b/>
          <w:bCs/>
          <w:iCs/>
          <w:sz w:val="28"/>
          <w:szCs w:val="28"/>
        </w:rPr>
        <w:t>包含增值税</w:t>
      </w:r>
      <w:r>
        <w:rPr>
          <w:rFonts w:hint="eastAsia" w:ascii="仿宋_GB2312" w:hAnsi="仿宋" w:eastAsia="仿宋_GB2312"/>
          <w:bCs/>
          <w:iCs/>
          <w:sz w:val="28"/>
          <w:szCs w:val="28"/>
        </w:rPr>
        <w:t>，需要特别注意。</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jc w:val="both"/>
        <w:textAlignment w:val="auto"/>
        <w:rPr>
          <w:rFonts w:ascii="仿宋_GB2312" w:eastAsia="仿宋_GB2312"/>
          <w:sz w:val="28"/>
          <w:szCs w:val="28"/>
        </w:rPr>
      </w:pPr>
      <w:r>
        <w:rPr>
          <w:rFonts w:hint="eastAsia" w:ascii="仿宋_GB2312" w:hAnsi="仿宋" w:eastAsia="仿宋_GB2312"/>
          <w:bCs/>
          <w:iCs/>
          <w:sz w:val="28"/>
          <w:szCs w:val="28"/>
        </w:rPr>
        <w:t>3.</w:t>
      </w:r>
      <w:r>
        <w:rPr>
          <w:rFonts w:hint="eastAsia" w:ascii="仿宋_GB2312" w:eastAsia="仿宋_GB2312"/>
          <w:sz w:val="28"/>
          <w:szCs w:val="28"/>
        </w:rPr>
        <w:t>全年总客流量指报告期内进入商业综合体的</w:t>
      </w:r>
      <w:r>
        <w:rPr>
          <w:rFonts w:hint="eastAsia" w:ascii="仿宋_GB2312" w:eastAsia="仿宋_GB2312"/>
          <w:b/>
          <w:sz w:val="28"/>
          <w:szCs w:val="28"/>
        </w:rPr>
        <w:t>总人次</w:t>
      </w:r>
      <w:r>
        <w:rPr>
          <w:rFonts w:hint="eastAsia" w:ascii="仿宋_GB2312" w:eastAsia="仿宋_GB2312"/>
          <w:sz w:val="28"/>
          <w:szCs w:val="28"/>
        </w:rPr>
        <w:t>，强调人次。</w:t>
      </w:r>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jc w:val="both"/>
        <w:textAlignment w:val="auto"/>
        <w:rPr>
          <w:rFonts w:ascii="仿宋_GB2312" w:hAnsi="仿宋" w:eastAsia="仿宋_GB2312"/>
          <w:bCs/>
          <w:iCs/>
          <w:sz w:val="28"/>
          <w:szCs w:val="28"/>
        </w:rPr>
      </w:pPr>
      <w:r>
        <w:rPr>
          <w:rFonts w:hint="eastAsia" w:ascii="仿宋_GB2312" w:eastAsia="仿宋_GB2312"/>
          <w:sz w:val="28"/>
          <w:szCs w:val="28"/>
        </w:rPr>
        <w:t>4.</w:t>
      </w:r>
      <w:r>
        <w:rPr>
          <w:rFonts w:hint="eastAsia" w:ascii="仿宋_GB2312" w:hAnsi="仿宋" w:eastAsia="仿宋_GB2312"/>
          <w:bCs/>
          <w:iCs/>
          <w:sz w:val="28"/>
          <w:szCs w:val="28"/>
        </w:rPr>
        <w:t>零售业态和服务业态必须进行区分，不能都归入“其他”。</w:t>
      </w:r>
    </w:p>
    <w:p>
      <w:pPr>
        <w:rPr>
          <w:rFonts w:hint="eastAsia" w:ascii="仿宋_GB2312" w:eastAsia="仿宋_GB2312"/>
          <w:sz w:val="28"/>
          <w:szCs w:val="28"/>
        </w:rPr>
      </w:pPr>
      <w:r>
        <w:rPr>
          <w:rFonts w:hint="eastAsia" w:ascii="仿宋_GB2312" w:hAnsi="仿宋" w:eastAsia="仿宋_GB2312"/>
          <w:bCs/>
          <w:iCs/>
          <w:sz w:val="28"/>
          <w:szCs w:val="28"/>
        </w:rPr>
        <w:t>5.</w:t>
      </w:r>
      <w:r>
        <w:rPr>
          <w:rFonts w:hint="eastAsia" w:ascii="仿宋_GB2312" w:eastAsia="仿宋_GB2312"/>
          <w:sz w:val="28"/>
          <w:szCs w:val="28"/>
        </w:rPr>
        <w:t>注意几个匹配关系：全部可出租面积和营业面积的匹配关系；客流与销售（营业额）的匹配关系；户均租金、户均销售（营业）额不应过大或过小；全部可出租面积和可出租摊位数的匹配关系；可出租摊位数和商户数之间的匹配关系。</w:t>
      </w:r>
    </w:p>
    <w:p>
      <w:pPr>
        <w:pStyle w:val="5"/>
        <w:rPr>
          <w:rFonts w:hint="eastAsia"/>
        </w:rPr>
      </w:pPr>
      <w:bookmarkStart w:id="181" w:name="_Toc28741"/>
      <w:bookmarkStart w:id="182" w:name="_Toc1520"/>
      <w:r>
        <w:rPr>
          <w:rFonts w:hint="eastAsia"/>
          <w:lang w:eastAsia="zh-CN"/>
        </w:rPr>
        <w:t>七、</w:t>
      </w:r>
      <w:r>
        <w:rPr>
          <w:rFonts w:hint="eastAsia"/>
        </w:rPr>
        <w:t>分地区经营情况（BJE104-6、BJE204-6表）</w:t>
      </w:r>
      <w:bookmarkEnd w:id="181"/>
      <w:bookmarkEnd w:id="182"/>
    </w:p>
    <w:p>
      <w:pPr>
        <w:pStyle w:val="6"/>
        <w:rPr>
          <w:rFonts w:hint="eastAsia"/>
          <w:lang w:eastAsia="zh-CN"/>
        </w:rPr>
      </w:pPr>
      <w:r>
        <w:rPr>
          <w:rFonts w:hint="eastAsia"/>
          <w:lang w:eastAsia="zh-CN"/>
        </w:rPr>
        <w:t>（一）报表变化</w:t>
      </w:r>
    </w:p>
    <w:p>
      <w:pPr>
        <w:pStyle w:val="6"/>
        <w:pageBreakBefore w:val="0"/>
        <w:widowControl w:val="0"/>
        <w:kinsoku/>
        <w:wordWrap/>
        <w:overflowPunct/>
        <w:topLinePunct w:val="0"/>
        <w:autoSpaceDE/>
        <w:autoSpaceDN/>
        <w:bidi w:val="0"/>
        <w:snapToGrid/>
        <w:spacing w:before="0" w:line="420" w:lineRule="exact"/>
        <w:ind w:right="0" w:rightChars="0" w:firstLine="560" w:firstLineChars="200"/>
        <w:rPr>
          <w:rFonts w:hint="eastAsia" w:ascii="仿宋_GB2312" w:hAnsi="仿宋" w:eastAsia="仿宋_GB2312"/>
          <w:b/>
          <w:bCs/>
          <w:iCs/>
          <w:sz w:val="28"/>
          <w:szCs w:val="28"/>
          <w:highlight w:val="yellow"/>
          <w:lang w:val="en-US" w:eastAsia="zh-CN"/>
        </w:rPr>
      </w:pPr>
      <w:r>
        <w:rPr>
          <w:rFonts w:hint="eastAsia" w:ascii="仿宋_GB2312" w:hAnsi="仿宋" w:eastAsia="仿宋_GB2312"/>
          <w:b w:val="0"/>
          <w:bCs w:val="0"/>
          <w:iCs/>
          <w:sz w:val="28"/>
          <w:szCs w:val="28"/>
          <w:lang w:val="en-US" w:eastAsia="zh-CN"/>
        </w:rPr>
        <w:t>商品销售是指商品已经售出、商品所有权已经转移给买方后，以收到货款或取得收取货款的证据时确认商品销售，</w:t>
      </w:r>
      <w:r>
        <w:rPr>
          <w:rFonts w:hint="eastAsia" w:ascii="仿宋_GB2312" w:hAnsi="仿宋" w:eastAsia="仿宋_GB2312"/>
          <w:b/>
          <w:bCs/>
          <w:iCs/>
          <w:sz w:val="28"/>
          <w:szCs w:val="28"/>
          <w:lang w:val="en-US" w:eastAsia="zh-CN"/>
        </w:rPr>
        <w:t>而非以开具增值税发票作为确认条件。</w:t>
      </w:r>
    </w:p>
    <w:p>
      <w:pPr>
        <w:pStyle w:val="6"/>
        <w:rPr>
          <w:rFonts w:hint="eastAsia"/>
          <w:lang w:eastAsia="zh-CN"/>
        </w:rPr>
      </w:pPr>
      <w:r>
        <w:rPr>
          <w:rFonts w:hint="eastAsia"/>
          <w:lang w:eastAsia="zh-CN"/>
        </w:rPr>
        <w:t>（二）</w:t>
      </w:r>
      <w:r>
        <w:rPr>
          <w:rFonts w:hint="eastAsia"/>
        </w:rPr>
        <w:t>填报口径</w:t>
      </w:r>
      <w:r>
        <w:rPr>
          <w:rFonts w:hint="eastAsia"/>
          <w:lang w:eastAsia="zh-CN"/>
        </w:rPr>
        <w:t>和填报范围</w:t>
      </w:r>
    </w:p>
    <w:p>
      <w:pPr>
        <w:pageBreakBefore w:val="0"/>
        <w:widowControl w:val="0"/>
        <w:numPr>
          <w:ilvl w:val="0"/>
          <w:numId w:val="0"/>
        </w:numPr>
        <w:kinsoku/>
        <w:wordWrap/>
        <w:overflowPunct/>
        <w:topLinePunct w:val="0"/>
        <w:autoSpaceDE/>
        <w:autoSpaceDN/>
        <w:bidi w:val="0"/>
        <w:snapToGrid/>
        <w:spacing w:line="420" w:lineRule="exact"/>
        <w:ind w:right="0" w:rightChars="0" w:firstLine="560" w:firstLineChars="200"/>
        <w:rPr>
          <w:rFonts w:hint="eastAsia" w:ascii="仿宋_GB2312" w:hAnsi="仿宋" w:eastAsia="仿宋_GB2312"/>
          <w:b w:val="0"/>
          <w:bCs w:val="0"/>
          <w:iCs/>
          <w:sz w:val="28"/>
          <w:szCs w:val="32"/>
          <w:highlight w:val="none"/>
          <w:lang w:val="en-US" w:eastAsia="zh-CN"/>
        </w:rPr>
      </w:pPr>
      <w:r>
        <w:rPr>
          <w:rFonts w:hint="eastAsia" w:ascii="仿宋_GB2312" w:hAnsi="仿宋" w:eastAsia="仿宋_GB2312"/>
          <w:b w:val="0"/>
          <w:bCs w:val="0"/>
          <w:iCs/>
          <w:sz w:val="28"/>
          <w:szCs w:val="32"/>
          <w:highlight w:val="none"/>
          <w:lang w:val="en-US" w:eastAsia="zh-CN"/>
        </w:rPr>
        <w:t>辖区内限额以上批发和零售业法人单位和个体经营户，非批发和零售业法人单位附营的限额以上批发和零售业产业活动单位。</w:t>
      </w:r>
    </w:p>
    <w:p>
      <w:pPr>
        <w:pStyle w:val="6"/>
        <w:rPr>
          <w:rFonts w:hint="eastAsia"/>
          <w:lang w:val="en-US" w:eastAsia="zh-CN"/>
        </w:rPr>
      </w:pPr>
      <w:r>
        <w:rPr>
          <w:rFonts w:hint="eastAsia"/>
          <w:lang w:eastAsia="zh-CN"/>
        </w:rPr>
        <w:t>（三）重点及易错指标讲解</w:t>
      </w:r>
    </w:p>
    <w:p>
      <w:pPr>
        <w:keepNext w:val="0"/>
        <w:keepLines w:val="0"/>
        <w:pageBreakBefore w:val="0"/>
        <w:widowControl w:val="0"/>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Cs/>
          <w:iCs/>
          <w:sz w:val="28"/>
          <w:szCs w:val="28"/>
        </w:rPr>
      </w:pPr>
      <w:r>
        <w:rPr>
          <w:rFonts w:hint="eastAsia" w:ascii="仿宋_GB2312" w:hAnsi="仿宋" w:eastAsia="仿宋_GB2312"/>
          <w:bCs/>
          <w:iCs/>
          <w:sz w:val="28"/>
          <w:szCs w:val="28"/>
          <w:lang w:val="en-US" w:eastAsia="zh-CN"/>
        </w:rPr>
        <w:t>1.商品销售额、零售额、通过公共网络实现的零售额</w:t>
      </w:r>
      <w:r>
        <w:rPr>
          <w:rFonts w:hint="eastAsia" w:ascii="仿宋_GB2312" w:hAnsi="仿宋" w:eastAsia="仿宋_GB2312"/>
          <w:bCs/>
          <w:iCs/>
          <w:sz w:val="28"/>
          <w:szCs w:val="28"/>
        </w:rPr>
        <w:t>指标</w:t>
      </w:r>
      <w:r>
        <w:rPr>
          <w:rFonts w:hint="eastAsia" w:ascii="仿宋_GB2312" w:hAnsi="仿宋" w:eastAsia="仿宋_GB2312"/>
          <w:bCs/>
          <w:iCs/>
          <w:sz w:val="28"/>
          <w:szCs w:val="28"/>
          <w:lang w:eastAsia="zh-CN"/>
        </w:rPr>
        <w:t>均</w:t>
      </w:r>
      <w:r>
        <w:rPr>
          <w:rFonts w:hint="eastAsia" w:ascii="仿宋_GB2312" w:hAnsi="仿宋" w:eastAsia="仿宋_GB2312"/>
          <w:bCs/>
          <w:iCs/>
          <w:sz w:val="28"/>
          <w:szCs w:val="28"/>
        </w:rPr>
        <w:t>包含增值税</w:t>
      </w:r>
      <w:r>
        <w:rPr>
          <w:rFonts w:hint="eastAsia" w:ascii="仿宋_GB2312" w:hAnsi="仿宋" w:eastAsia="仿宋_GB2312"/>
          <w:bCs/>
          <w:i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Cs/>
          <w:iCs/>
          <w:sz w:val="28"/>
          <w:szCs w:val="28"/>
        </w:rPr>
      </w:pPr>
      <w:r>
        <w:rPr>
          <w:rFonts w:hint="eastAsia" w:ascii="仿宋_GB2312" w:hAnsi="仿宋" w:eastAsia="仿宋_GB2312"/>
          <w:bCs/>
          <w:iCs/>
          <w:sz w:val="28"/>
          <w:szCs w:val="28"/>
          <w:lang w:val="en-US" w:eastAsia="zh-CN"/>
        </w:rPr>
        <w:t>2.</w:t>
      </w:r>
      <w:r>
        <w:rPr>
          <w:rFonts w:hint="eastAsia" w:ascii="仿宋_GB2312" w:hAnsi="仿宋" w:eastAsia="仿宋_GB2312"/>
          <w:bCs/>
          <w:iCs/>
          <w:sz w:val="28"/>
          <w:szCs w:val="28"/>
        </w:rPr>
        <w:t>数据审核：对新增单位注意计量单位（千元），注意已在平台报表单位与定报数据的匹配情况</w:t>
      </w:r>
      <w:r>
        <w:rPr>
          <w:rFonts w:hint="eastAsia" w:ascii="仿宋_GB2312" w:hAnsi="仿宋" w:eastAsia="仿宋_GB2312"/>
          <w:bCs/>
          <w:i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Cs/>
          <w:iCs/>
          <w:sz w:val="28"/>
          <w:szCs w:val="28"/>
        </w:rPr>
      </w:pPr>
      <w:r>
        <w:rPr>
          <w:rFonts w:hint="eastAsia" w:ascii="仿宋_GB2312" w:hAnsi="仿宋" w:eastAsia="仿宋_GB2312"/>
          <w:bCs/>
          <w:iCs/>
          <w:sz w:val="28"/>
          <w:szCs w:val="28"/>
          <w:lang w:val="en-US" w:eastAsia="zh-CN"/>
        </w:rPr>
        <w:t>3.</w:t>
      </w:r>
      <w:r>
        <w:rPr>
          <w:rFonts w:hint="eastAsia" w:ascii="仿宋_GB2312" w:hAnsi="仿宋" w:eastAsia="仿宋_GB2312"/>
          <w:bCs/>
          <w:iCs/>
          <w:sz w:val="28"/>
          <w:szCs w:val="28"/>
        </w:rPr>
        <w:t>所有数据不能填报负数</w:t>
      </w:r>
      <w:r>
        <w:rPr>
          <w:rFonts w:hint="eastAsia" w:ascii="仿宋_GB2312" w:hAnsi="仿宋" w:eastAsia="仿宋_GB2312"/>
          <w:bCs/>
          <w:iCs/>
          <w:sz w:val="28"/>
          <w:szCs w:val="28"/>
          <w:lang w:eastAsia="zh-CN"/>
        </w:rPr>
        <w:t>。</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4.按照单位销售/营业网点所在地区进行填报。即本单位自身的经营场所（卖方所在地），反映的是供给端的销售（营业）情况，不是销售对象的所在地区。外省市含义，指卖方即经营单位位于外省市，而不是买方（销售对象）位于外省市。</w:t>
      </w:r>
    </w:p>
    <w:p>
      <w:pPr>
        <w:pStyle w:val="35"/>
        <w:keepNext w:val="0"/>
        <w:keepLines w:val="0"/>
        <w:pageBreakBefore w:val="0"/>
        <w:widowControl w:val="0"/>
        <w:numPr>
          <w:ilvl w:val="0"/>
          <w:numId w:val="14"/>
        </w:numPr>
        <w:kinsoku/>
        <w:wordWrap/>
        <w:overflowPunct/>
        <w:topLinePunct w:val="0"/>
        <w:autoSpaceDE/>
        <w:autoSpaceDN/>
        <w:bidi w:val="0"/>
        <w:adjustRightInd/>
        <w:snapToGrid/>
        <w:spacing w:line="420" w:lineRule="exact"/>
        <w:ind w:left="420" w:leftChars="0" w:right="0" w:rightChars="0" w:hanging="420" w:firstLineChars="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例：一个食品销售企业，给各个超市供货，属于批发业务，超市只是其销</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right="0" w:rightChars="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对象，不是他的销售网点，不能按超市的分布地填，要按照企业自身的经营结算地填报。</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firstLineChars="200"/>
        <w:textAlignment w:val="auto"/>
        <w:rPr>
          <w:rFonts w:hint="eastAsia" w:ascii="仿宋_GB2312" w:hAnsi="仿宋" w:eastAsia="仿宋_GB2312"/>
          <w:b w:val="0"/>
          <w:bCs/>
          <w:iCs/>
          <w:sz w:val="28"/>
          <w:szCs w:val="28"/>
          <w:highlight w:val="none"/>
          <w:lang w:val="en-US" w:eastAsia="zh-CN"/>
        </w:rPr>
      </w:pPr>
      <w:r>
        <w:rPr>
          <w:rFonts w:hint="eastAsia" w:ascii="仿宋_GB2312" w:hAnsi="仿宋" w:eastAsia="仿宋_GB2312"/>
          <w:b w:val="0"/>
          <w:bCs/>
          <w:iCs/>
          <w:sz w:val="28"/>
          <w:szCs w:val="28"/>
          <w:highlight w:val="none"/>
          <w:lang w:val="en-US" w:eastAsia="zh-CN"/>
        </w:rPr>
        <w:t>5.商品销售额、零售额、通过公共网络实现的零售额等指标解释部分详见E104-1、BJE104-2“2024年报”部分。</w:t>
      </w:r>
    </w:p>
    <w:p>
      <w:pPr>
        <w:pStyle w:val="2"/>
        <w:rPr>
          <w:rFonts w:hint="eastAsia"/>
        </w:rPr>
      </w:pPr>
    </w:p>
    <w:p>
      <w:pPr>
        <w:pStyle w:val="4"/>
      </w:pPr>
      <w:bookmarkStart w:id="183" w:name="_Toc16222"/>
      <w:r>
        <w:rPr>
          <w:rFonts w:hint="eastAsia"/>
        </w:rPr>
        <w:t>第</w:t>
      </w:r>
      <w:r>
        <w:rPr>
          <w:rFonts w:hint="eastAsia"/>
          <w:lang w:eastAsia="zh-CN"/>
        </w:rPr>
        <w:t>三</w:t>
      </w:r>
      <w:r>
        <w:rPr>
          <w:rFonts w:hint="eastAsia"/>
        </w:rPr>
        <w:t>部分：</w:t>
      </w:r>
      <w:r>
        <w:rPr>
          <w:rFonts w:hint="eastAsia"/>
          <w:lang w:eastAsia="zh-CN"/>
        </w:rPr>
        <w:t>定报</w:t>
      </w:r>
      <w:r>
        <w:rPr>
          <w:rFonts w:hint="eastAsia"/>
        </w:rPr>
        <w:t>培训要点</w:t>
      </w:r>
      <w:bookmarkEnd w:id="183"/>
    </w:p>
    <w:p>
      <w:pPr>
        <w:pStyle w:val="5"/>
        <w:rPr>
          <w:rFonts w:hint="eastAsia"/>
        </w:rPr>
      </w:pPr>
      <w:bookmarkStart w:id="184" w:name="_Toc8991"/>
      <w:bookmarkStart w:id="185" w:name="_Toc24207"/>
      <w:r>
        <w:rPr>
          <w:rFonts w:hint="eastAsia"/>
          <w:lang w:eastAsia="zh-CN"/>
        </w:rPr>
        <w:t>一、批发和零售业经营情况（E204-1、E204-2、E204-3表）</w:t>
      </w:r>
      <w:bookmarkEnd w:id="184"/>
      <w:bookmarkEnd w:id="185"/>
    </w:p>
    <w:p>
      <w:pPr>
        <w:pStyle w:val="6"/>
        <w:rPr>
          <w:rFonts w:hint="eastAsia"/>
          <w:lang w:eastAsia="zh-CN"/>
        </w:rPr>
      </w:pPr>
      <w:r>
        <w:rPr>
          <w:rFonts w:hint="eastAsia"/>
          <w:lang w:eastAsia="zh-CN"/>
        </w:rPr>
        <w:t>（一）报表变化</w:t>
      </w:r>
    </w:p>
    <w:p>
      <w:pPr>
        <w:pageBreakBefore w:val="0"/>
        <w:widowControl w:val="0"/>
        <w:kinsoku/>
        <w:wordWrap/>
        <w:overflowPunct/>
        <w:topLinePunct w:val="0"/>
        <w:autoSpaceDE/>
        <w:autoSpaceDN/>
        <w:bidi w:val="0"/>
        <w:snapToGrid/>
        <w:spacing w:line="420" w:lineRule="exact"/>
        <w:ind w:right="0" w:rightChars="0" w:firstLine="560" w:firstLineChars="200"/>
        <w:rPr>
          <w:rFonts w:hint="eastAsia" w:ascii="仿宋_GB2312" w:hAnsi="仿宋" w:eastAsia="仿宋_GB2312"/>
          <w:iCs/>
          <w:sz w:val="28"/>
          <w:szCs w:val="32"/>
          <w:lang w:val="en-US" w:eastAsia="zh-CN"/>
        </w:rPr>
      </w:pPr>
      <w:r>
        <w:rPr>
          <w:rFonts w:hint="eastAsia" w:ascii="仿宋_GB2312" w:hAnsi="仿宋" w:eastAsia="仿宋_GB2312"/>
          <w:iCs/>
          <w:sz w:val="28"/>
          <w:szCs w:val="32"/>
          <w:lang w:val="en-US" w:eastAsia="zh-CN"/>
        </w:rPr>
        <w:t>1.定报E204-2表删除“酒类分项”</w:t>
      </w:r>
    </w:p>
    <w:p>
      <w:pPr>
        <w:pageBreakBefore w:val="0"/>
        <w:widowControl w:val="0"/>
        <w:kinsoku/>
        <w:wordWrap/>
        <w:overflowPunct/>
        <w:topLinePunct w:val="0"/>
        <w:autoSpaceDE/>
        <w:autoSpaceDN/>
        <w:bidi w:val="0"/>
        <w:snapToGrid/>
        <w:spacing w:line="420" w:lineRule="exact"/>
        <w:ind w:right="0" w:rightChars="0" w:firstLine="560" w:firstLineChars="200"/>
        <w:rPr>
          <w:rFonts w:hint="eastAsia" w:ascii="仿宋_GB2312" w:hAnsi="仿宋" w:eastAsia="仿宋_GB2312"/>
          <w:iCs/>
          <w:sz w:val="28"/>
          <w:szCs w:val="32"/>
          <w:lang w:val="en-US" w:eastAsia="zh-CN"/>
        </w:rPr>
      </w:pPr>
      <w:r>
        <w:rPr>
          <w:rFonts w:hint="eastAsia" w:ascii="仿宋_GB2312" w:hAnsi="仿宋" w:eastAsia="仿宋_GB2312"/>
          <w:iCs/>
          <w:sz w:val="28"/>
          <w:szCs w:val="32"/>
          <w:lang w:val="en-US" w:eastAsia="zh-CN"/>
        </w:rPr>
        <w:t>2.商品购进额：指从本单位以外的单位和个人购进（包括从国外直接进口）作为转卖或加工后转卖的商品金额（含增值税），</w:t>
      </w:r>
      <w:r>
        <w:rPr>
          <w:rFonts w:hint="eastAsia" w:ascii="仿宋_GB2312" w:hAnsi="仿宋" w:eastAsia="仿宋_GB2312"/>
          <w:iCs/>
          <w:sz w:val="28"/>
          <w:szCs w:val="32"/>
          <w:highlight w:val="yellow"/>
          <w:lang w:val="en-US" w:eastAsia="zh-CN"/>
        </w:rPr>
        <w:t>以及从本单位购进并开具增值税发票的商品金额。</w:t>
      </w:r>
      <w:r>
        <w:rPr>
          <w:rFonts w:hint="eastAsia" w:ascii="仿宋_GB2312" w:hAnsi="仿宋" w:eastAsia="仿宋_GB2312"/>
          <w:iCs/>
          <w:sz w:val="28"/>
          <w:szCs w:val="32"/>
          <w:lang w:val="en-US" w:eastAsia="zh-CN"/>
        </w:rPr>
        <w:t>本指标反映批发和零售业单位从国内外市场上购进商品的总价。</w:t>
      </w:r>
    </w:p>
    <w:p>
      <w:pPr>
        <w:pageBreakBefore w:val="0"/>
        <w:widowControl w:val="0"/>
        <w:kinsoku/>
        <w:wordWrap/>
        <w:overflowPunct/>
        <w:topLinePunct w:val="0"/>
        <w:autoSpaceDE/>
        <w:autoSpaceDN/>
        <w:bidi w:val="0"/>
        <w:snapToGrid/>
        <w:spacing w:line="420" w:lineRule="exact"/>
        <w:ind w:right="0" w:rightChars="0" w:firstLine="560" w:firstLineChars="200"/>
        <w:rPr>
          <w:rFonts w:hint="eastAsia" w:ascii="仿宋_GB2312" w:hAnsi="仿宋" w:eastAsia="仿宋_GB2312"/>
          <w:iCs/>
          <w:sz w:val="28"/>
          <w:szCs w:val="32"/>
          <w:highlight w:val="yellow"/>
          <w:lang w:val="en-US" w:eastAsia="zh-CN"/>
        </w:rPr>
      </w:pPr>
      <w:r>
        <w:rPr>
          <w:rFonts w:hint="eastAsia" w:ascii="仿宋_GB2312" w:hAnsi="仿宋" w:eastAsia="仿宋_GB2312"/>
          <w:iCs/>
          <w:sz w:val="28"/>
          <w:szCs w:val="32"/>
          <w:lang w:val="en-US" w:eastAsia="zh-CN"/>
        </w:rPr>
        <w:t>3.商品销售是指商品已经售出、商品所有权已经转移给买方后，以收到货款或取得收取货款的证据时确认商品销售，</w:t>
      </w:r>
      <w:r>
        <w:rPr>
          <w:rFonts w:hint="eastAsia" w:ascii="仿宋_GB2312" w:hAnsi="仿宋" w:eastAsia="仿宋_GB2312"/>
          <w:iCs/>
          <w:sz w:val="28"/>
          <w:szCs w:val="32"/>
          <w:highlight w:val="yellow"/>
          <w:lang w:val="en-US" w:eastAsia="zh-CN"/>
        </w:rPr>
        <w:t>而非以开具增值税发票作为确认条件。</w:t>
      </w:r>
    </w:p>
    <w:p>
      <w:pPr>
        <w:pStyle w:val="6"/>
        <w:rPr>
          <w:rFonts w:hint="eastAsia"/>
          <w:lang w:eastAsia="zh-CN"/>
        </w:rPr>
      </w:pPr>
      <w:r>
        <w:rPr>
          <w:rFonts w:hint="eastAsia"/>
          <w:lang w:eastAsia="zh-CN"/>
        </w:rPr>
        <w:t>（二）</w:t>
      </w:r>
      <w:r>
        <w:rPr>
          <w:rFonts w:hint="eastAsia"/>
        </w:rPr>
        <w:t>填报口径</w:t>
      </w:r>
      <w:r>
        <w:rPr>
          <w:rFonts w:hint="eastAsia"/>
          <w:lang w:eastAsia="zh-CN"/>
        </w:rPr>
        <w:t>和填报范围</w:t>
      </w:r>
    </w:p>
    <w:p>
      <w:pPr>
        <w:pageBreakBefore w:val="0"/>
        <w:widowControl w:val="0"/>
        <w:kinsoku/>
        <w:wordWrap/>
        <w:overflowPunct/>
        <w:topLinePunct w:val="0"/>
        <w:autoSpaceDE/>
        <w:autoSpaceDN/>
        <w:bidi w:val="0"/>
        <w:snapToGrid/>
        <w:spacing w:line="420" w:lineRule="exact"/>
        <w:ind w:right="0" w:rightChars="0" w:firstLine="560" w:firstLineChars="200"/>
        <w:rPr>
          <w:rFonts w:hint="eastAsia" w:ascii="仿宋_GB2312" w:hAnsi="仿宋" w:eastAsia="仿宋_GB2312"/>
          <w:iCs/>
          <w:sz w:val="28"/>
          <w:szCs w:val="32"/>
          <w:lang w:eastAsia="zh-CN"/>
        </w:rPr>
      </w:pPr>
      <w:r>
        <w:rPr>
          <w:rFonts w:hint="eastAsia" w:ascii="仿宋_GB2312" w:hAnsi="仿宋" w:eastAsia="仿宋_GB2312"/>
          <w:b/>
          <w:bCs/>
          <w:iCs/>
          <w:sz w:val="28"/>
          <w:szCs w:val="32"/>
          <w:lang w:val="en-US" w:eastAsia="zh-CN"/>
        </w:rPr>
        <w:t>1.E204-1、E204-2表:</w:t>
      </w:r>
      <w:r>
        <w:rPr>
          <w:rFonts w:hint="eastAsia" w:ascii="仿宋_GB2312" w:hAnsi="仿宋" w:eastAsia="仿宋_GB2312"/>
          <w:iCs/>
          <w:sz w:val="28"/>
          <w:szCs w:val="32"/>
          <w:lang w:eastAsia="zh-CN"/>
        </w:rPr>
        <w:t>辖区内限额以上批发和零售业法人单位，包含下属全部同行业产业活动单位数据。</w:t>
      </w:r>
    </w:p>
    <w:p>
      <w:pPr>
        <w:pageBreakBefore w:val="0"/>
        <w:widowControl w:val="0"/>
        <w:kinsoku/>
        <w:wordWrap/>
        <w:overflowPunct/>
        <w:topLinePunct w:val="0"/>
        <w:autoSpaceDE/>
        <w:autoSpaceDN/>
        <w:bidi w:val="0"/>
        <w:snapToGrid/>
        <w:spacing w:line="420" w:lineRule="exact"/>
        <w:ind w:right="0" w:rightChars="0" w:firstLine="560" w:firstLineChars="200"/>
        <w:rPr>
          <w:rFonts w:hint="eastAsia"/>
          <w:lang w:val="en-US" w:eastAsia="zh-CN"/>
        </w:rPr>
      </w:pPr>
      <w:r>
        <w:rPr>
          <w:rFonts w:hint="eastAsia" w:ascii="仿宋_GB2312" w:hAnsi="仿宋" w:eastAsia="仿宋_GB2312"/>
          <w:b/>
          <w:bCs/>
          <w:iCs/>
          <w:sz w:val="28"/>
          <w:szCs w:val="32"/>
          <w:lang w:val="en-US" w:eastAsia="zh-CN"/>
        </w:rPr>
        <w:t>2.E204-3表：</w:t>
      </w:r>
      <w:r>
        <w:rPr>
          <w:rFonts w:hint="eastAsia" w:ascii="仿宋_GB2312" w:hAnsi="仿宋" w:eastAsia="仿宋_GB2312"/>
          <w:iCs/>
          <w:sz w:val="28"/>
          <w:szCs w:val="32"/>
          <w:lang w:val="en-US" w:eastAsia="zh-CN"/>
        </w:rPr>
        <w:t>辖区内非批发和零售业法人单位附营的限额以上批发和零售业产业活动单位、限额以上批发和零售业个体经营户。</w:t>
      </w:r>
    </w:p>
    <w:p>
      <w:pPr>
        <w:pStyle w:val="6"/>
        <w:rPr>
          <w:rFonts w:hint="eastAsia"/>
          <w:lang w:val="en-US" w:eastAsia="zh-CN"/>
        </w:rPr>
      </w:pPr>
      <w:r>
        <w:rPr>
          <w:rFonts w:hint="eastAsia"/>
          <w:lang w:eastAsia="zh-CN"/>
        </w:rPr>
        <w:t>（三）重点及易错指标讲解</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ascii="仿宋_GB2312" w:hAnsi="仿宋" w:eastAsia="仿宋_GB2312"/>
          <w:b w:val="0"/>
          <w:bCs w:val="0"/>
          <w:iCs/>
          <w:sz w:val="28"/>
          <w:szCs w:val="28"/>
          <w:highlight w:val="none"/>
        </w:rPr>
      </w:pPr>
      <w:r>
        <w:rPr>
          <w:rFonts w:hint="eastAsia" w:ascii="仿宋_GB2312" w:hAnsi="仿宋" w:eastAsia="仿宋_GB2312"/>
          <w:b w:val="0"/>
          <w:bCs w:val="0"/>
          <w:iCs/>
          <w:sz w:val="28"/>
          <w:szCs w:val="28"/>
          <w:highlight w:val="none"/>
          <w:lang w:val="en-US" w:eastAsia="zh-CN"/>
        </w:rPr>
        <w:t>1.</w:t>
      </w:r>
      <w:r>
        <w:rPr>
          <w:rFonts w:hint="eastAsia" w:ascii="仿宋_GB2312" w:hAnsi="仿宋" w:eastAsia="仿宋_GB2312"/>
          <w:b w:val="0"/>
          <w:bCs w:val="0"/>
          <w:iCs/>
          <w:sz w:val="28"/>
          <w:szCs w:val="28"/>
          <w:highlight w:val="none"/>
        </w:rPr>
        <w:t>新增</w:t>
      </w:r>
      <w:r>
        <w:rPr>
          <w:rFonts w:ascii="仿宋_GB2312" w:hAnsi="仿宋" w:eastAsia="仿宋_GB2312"/>
          <w:b w:val="0"/>
          <w:bCs w:val="0"/>
          <w:iCs/>
          <w:sz w:val="28"/>
          <w:szCs w:val="28"/>
          <w:highlight w:val="none"/>
        </w:rPr>
        <w:t>单位需要</w:t>
      </w:r>
      <w:r>
        <w:rPr>
          <w:rFonts w:hint="eastAsia" w:ascii="仿宋_GB2312" w:hAnsi="仿宋" w:eastAsia="仿宋_GB2312"/>
          <w:b w:val="0"/>
          <w:bCs w:val="0"/>
          <w:iCs/>
          <w:sz w:val="28"/>
          <w:szCs w:val="28"/>
          <w:highlight w:val="none"/>
        </w:rPr>
        <w:t>手动</w:t>
      </w:r>
      <w:r>
        <w:rPr>
          <w:rFonts w:ascii="仿宋_GB2312" w:hAnsi="仿宋" w:eastAsia="仿宋_GB2312"/>
          <w:b w:val="0"/>
          <w:bCs w:val="0"/>
          <w:iCs/>
          <w:sz w:val="28"/>
          <w:szCs w:val="28"/>
          <w:highlight w:val="none"/>
        </w:rPr>
        <w:t>填报同期数据。</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2.</w:t>
      </w:r>
      <w:r>
        <w:rPr>
          <w:rFonts w:hint="eastAsia" w:ascii="仿宋_GB2312" w:hAnsi="仿宋" w:eastAsia="仿宋_GB2312"/>
          <w:bCs/>
          <w:iCs/>
          <w:sz w:val="28"/>
          <w:szCs w:val="28"/>
          <w:highlight w:val="none"/>
        </w:rPr>
        <w:t>定报中</w:t>
      </w:r>
      <w:r>
        <w:rPr>
          <w:rFonts w:ascii="仿宋_GB2312" w:hAnsi="仿宋" w:eastAsia="仿宋_GB2312"/>
          <w:bCs/>
          <w:iCs/>
          <w:sz w:val="28"/>
          <w:szCs w:val="28"/>
          <w:highlight w:val="none"/>
        </w:rPr>
        <w:t>，</w:t>
      </w:r>
      <w:r>
        <w:rPr>
          <w:rFonts w:hint="eastAsia" w:ascii="仿宋_GB2312" w:hAnsi="仿宋" w:eastAsia="仿宋_GB2312"/>
          <w:bCs/>
          <w:iCs/>
          <w:sz w:val="28"/>
          <w:szCs w:val="28"/>
          <w:highlight w:val="none"/>
        </w:rPr>
        <w:t>所有</w:t>
      </w:r>
      <w:r>
        <w:rPr>
          <w:rFonts w:ascii="仿宋_GB2312" w:hAnsi="仿宋" w:eastAsia="仿宋_GB2312"/>
          <w:bCs/>
          <w:iCs/>
          <w:sz w:val="28"/>
          <w:szCs w:val="28"/>
          <w:highlight w:val="none"/>
        </w:rPr>
        <w:t>指标</w:t>
      </w:r>
      <w:r>
        <w:rPr>
          <w:rFonts w:hint="eastAsia" w:ascii="仿宋_GB2312" w:hAnsi="仿宋" w:eastAsia="仿宋_GB2312"/>
          <w:bCs/>
          <w:iCs/>
          <w:sz w:val="28"/>
          <w:szCs w:val="28"/>
          <w:highlight w:val="none"/>
        </w:rPr>
        <w:t>应大于</w:t>
      </w:r>
      <w:r>
        <w:rPr>
          <w:rFonts w:ascii="仿宋_GB2312" w:hAnsi="仿宋" w:eastAsia="仿宋_GB2312"/>
          <w:bCs/>
          <w:iCs/>
          <w:sz w:val="28"/>
          <w:szCs w:val="28"/>
          <w:highlight w:val="none"/>
        </w:rPr>
        <w:t>等于零。</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3.</w:t>
      </w:r>
      <w:r>
        <w:rPr>
          <w:rFonts w:ascii="仿宋_GB2312" w:hAnsi="仿宋" w:eastAsia="仿宋_GB2312"/>
          <w:bCs/>
          <w:iCs/>
          <w:sz w:val="28"/>
          <w:szCs w:val="28"/>
          <w:highlight w:val="none"/>
        </w:rPr>
        <w:t>E204-1/E204-3表</w:t>
      </w:r>
      <w:r>
        <w:rPr>
          <w:rFonts w:hint="eastAsia" w:ascii="仿宋_GB2312" w:hAnsi="仿宋" w:eastAsia="仿宋_GB2312"/>
          <w:bCs/>
          <w:iCs/>
          <w:sz w:val="28"/>
          <w:szCs w:val="28"/>
          <w:highlight w:val="none"/>
        </w:rPr>
        <w:t>中，“销售</w:t>
      </w:r>
      <w:r>
        <w:rPr>
          <w:rFonts w:ascii="仿宋_GB2312" w:hAnsi="仿宋" w:eastAsia="仿宋_GB2312"/>
          <w:bCs/>
          <w:iCs/>
          <w:sz w:val="28"/>
          <w:szCs w:val="28"/>
          <w:highlight w:val="none"/>
        </w:rPr>
        <w:t>网点个数</w:t>
      </w:r>
      <w:r>
        <w:rPr>
          <w:rFonts w:hint="eastAsia" w:ascii="仿宋_GB2312" w:hAnsi="仿宋" w:eastAsia="仿宋_GB2312"/>
          <w:bCs/>
          <w:iCs/>
          <w:sz w:val="28"/>
          <w:szCs w:val="28"/>
          <w:highlight w:val="none"/>
        </w:rPr>
        <w:t>”指批发和零售业企业从事商品流通活动的单位或综合经营场所的个数。（处于营业状态的销售网点个数至少为</w:t>
      </w:r>
      <w:r>
        <w:rPr>
          <w:rFonts w:hint="eastAsia" w:ascii="仿宋_GB2312" w:hAnsi="仿宋" w:eastAsia="仿宋_GB2312"/>
          <w:bCs/>
          <w:iCs/>
          <w:sz w:val="28"/>
          <w:szCs w:val="28"/>
          <w:highlight w:val="none"/>
          <w:lang w:val="en-US" w:eastAsia="zh-CN"/>
        </w:rPr>
        <w:t>1</w:t>
      </w:r>
      <w:r>
        <w:rPr>
          <w:rFonts w:hint="eastAsia" w:ascii="仿宋_GB2312" w:hAnsi="仿宋" w:eastAsia="仿宋_GB2312"/>
          <w:bCs/>
          <w:iCs/>
          <w:sz w:val="28"/>
          <w:szCs w:val="28"/>
          <w:highlight w:val="none"/>
        </w:rPr>
        <w:t>）。包括连锁门店或分店、分公司、分支机构、批发或零售商场、超市、购物中心、各种店铺、商店或柜台、商品交易市场等。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4.</w:t>
      </w:r>
      <w:r>
        <w:rPr>
          <w:rFonts w:hint="eastAsia" w:ascii="仿宋_GB2312" w:hAnsi="仿宋" w:eastAsia="仿宋_GB2312"/>
          <w:bCs/>
          <w:iCs/>
          <w:sz w:val="28"/>
          <w:szCs w:val="28"/>
          <w:highlight w:val="none"/>
        </w:rPr>
        <w:t>E204-2表中</w:t>
      </w:r>
      <w:r>
        <w:rPr>
          <w:rFonts w:ascii="仿宋_GB2312" w:hAnsi="仿宋" w:eastAsia="仿宋_GB2312"/>
          <w:bCs/>
          <w:iCs/>
          <w:sz w:val="28"/>
          <w:szCs w:val="28"/>
          <w:highlight w:val="none"/>
        </w:rPr>
        <w:t>，需要注意</w:t>
      </w:r>
      <w:r>
        <w:rPr>
          <w:rFonts w:hint="eastAsia" w:ascii="仿宋_GB2312" w:hAnsi="仿宋" w:eastAsia="仿宋_GB2312"/>
          <w:bCs/>
          <w:iCs/>
          <w:sz w:val="28"/>
          <w:szCs w:val="28"/>
          <w:highlight w:val="none"/>
        </w:rPr>
        <w:t>计量单位是实物量，</w:t>
      </w:r>
      <w:r>
        <w:rPr>
          <w:rFonts w:hint="eastAsia" w:ascii="仿宋_GB2312" w:hAnsi="仿宋" w:eastAsia="仿宋_GB2312"/>
          <w:bCs/>
          <w:iCs/>
          <w:sz w:val="28"/>
          <w:szCs w:val="28"/>
          <w:highlight w:val="none"/>
          <w:lang w:eastAsia="zh-CN"/>
        </w:rPr>
        <w:t>如：千克、吨等，</w:t>
      </w:r>
      <w:r>
        <w:rPr>
          <w:rFonts w:hint="eastAsia" w:ascii="仿宋_GB2312" w:hAnsi="仿宋" w:eastAsia="仿宋_GB2312"/>
          <w:bCs/>
          <w:iCs/>
          <w:sz w:val="28"/>
          <w:szCs w:val="28"/>
          <w:highlight w:val="none"/>
        </w:rPr>
        <w:t>不要</w:t>
      </w:r>
      <w:r>
        <w:rPr>
          <w:rFonts w:ascii="仿宋_GB2312" w:hAnsi="仿宋" w:eastAsia="仿宋_GB2312"/>
          <w:bCs/>
          <w:iCs/>
          <w:sz w:val="28"/>
          <w:szCs w:val="28"/>
          <w:highlight w:val="none"/>
        </w:rPr>
        <w:t>与E204-1</w:t>
      </w:r>
      <w:r>
        <w:rPr>
          <w:rFonts w:hint="eastAsia" w:ascii="仿宋_GB2312" w:hAnsi="仿宋" w:eastAsia="仿宋_GB2312"/>
          <w:bCs/>
          <w:iCs/>
          <w:sz w:val="28"/>
          <w:szCs w:val="28"/>
          <w:highlight w:val="none"/>
        </w:rPr>
        <w:t>商品销售</w:t>
      </w:r>
      <w:r>
        <w:rPr>
          <w:rFonts w:ascii="仿宋_GB2312" w:hAnsi="仿宋" w:eastAsia="仿宋_GB2312"/>
          <w:bCs/>
          <w:iCs/>
          <w:sz w:val="28"/>
          <w:szCs w:val="28"/>
          <w:highlight w:val="none"/>
        </w:rPr>
        <w:t>额相混淆</w:t>
      </w:r>
      <w:r>
        <w:rPr>
          <w:rFonts w:hint="eastAsia" w:ascii="仿宋_GB2312" w:hAnsi="仿宋" w:eastAsia="仿宋_GB2312"/>
          <w:bCs/>
          <w:iCs/>
          <w:sz w:val="28"/>
          <w:szCs w:val="28"/>
          <w:highlight w:val="none"/>
        </w:rPr>
        <w:t>。</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5.</w:t>
      </w:r>
      <w:r>
        <w:rPr>
          <w:rFonts w:hint="eastAsia" w:ascii="仿宋_GB2312" w:hAnsi="仿宋" w:eastAsia="仿宋_GB2312"/>
          <w:bCs/>
          <w:iCs/>
          <w:sz w:val="28"/>
          <w:szCs w:val="28"/>
          <w:highlight w:val="none"/>
        </w:rPr>
        <w:t>E204-2表的</w:t>
      </w:r>
      <w:r>
        <w:rPr>
          <w:rFonts w:ascii="仿宋_GB2312" w:hAnsi="仿宋" w:eastAsia="仿宋_GB2312"/>
          <w:bCs/>
          <w:iCs/>
          <w:sz w:val="28"/>
          <w:szCs w:val="28"/>
          <w:highlight w:val="none"/>
        </w:rPr>
        <w:t>填报情况</w:t>
      </w:r>
      <w:r>
        <w:rPr>
          <w:rFonts w:hint="eastAsia" w:ascii="仿宋_GB2312" w:hAnsi="仿宋" w:eastAsia="仿宋_GB2312"/>
          <w:bCs/>
          <w:iCs/>
          <w:sz w:val="28"/>
          <w:szCs w:val="28"/>
          <w:highlight w:val="none"/>
        </w:rPr>
        <w:t>需</w:t>
      </w:r>
      <w:r>
        <w:rPr>
          <w:rFonts w:ascii="仿宋_GB2312" w:hAnsi="仿宋" w:eastAsia="仿宋_GB2312"/>
          <w:bCs/>
          <w:iCs/>
          <w:sz w:val="28"/>
          <w:szCs w:val="28"/>
          <w:highlight w:val="none"/>
        </w:rPr>
        <w:t>与</w:t>
      </w:r>
      <w:r>
        <w:rPr>
          <w:rFonts w:hint="eastAsia" w:ascii="仿宋_GB2312" w:hAnsi="仿宋" w:eastAsia="仿宋_GB2312"/>
          <w:bCs/>
          <w:iCs/>
          <w:sz w:val="28"/>
          <w:szCs w:val="28"/>
          <w:highlight w:val="none"/>
        </w:rPr>
        <w:t>E204-1表</w:t>
      </w:r>
      <w:r>
        <w:rPr>
          <w:rFonts w:ascii="仿宋_GB2312" w:hAnsi="仿宋" w:eastAsia="仿宋_GB2312"/>
          <w:bCs/>
          <w:iCs/>
          <w:sz w:val="28"/>
          <w:szCs w:val="28"/>
          <w:highlight w:val="none"/>
        </w:rPr>
        <w:t>的商品销售额、零售额</w:t>
      </w:r>
      <w:r>
        <w:rPr>
          <w:rFonts w:hint="eastAsia" w:ascii="仿宋_GB2312" w:hAnsi="仿宋" w:eastAsia="仿宋_GB2312"/>
          <w:bCs/>
          <w:iCs/>
          <w:sz w:val="28"/>
          <w:szCs w:val="28"/>
          <w:highlight w:val="none"/>
        </w:rPr>
        <w:t>和</w:t>
      </w:r>
      <w:r>
        <w:rPr>
          <w:rFonts w:ascii="仿宋_GB2312" w:hAnsi="仿宋" w:eastAsia="仿宋_GB2312"/>
          <w:bCs/>
          <w:iCs/>
          <w:sz w:val="28"/>
          <w:szCs w:val="28"/>
          <w:highlight w:val="none"/>
        </w:rPr>
        <w:t>期末商品库存额等指标相匹配。</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ascii="仿宋_GB2312" w:hAnsi="仿宋" w:eastAsia="仿宋_GB2312"/>
          <w:bCs/>
          <w:iCs/>
          <w:sz w:val="28"/>
          <w:szCs w:val="28"/>
          <w:highlight w:val="none"/>
        </w:rPr>
      </w:pPr>
      <w:r>
        <w:rPr>
          <w:rFonts w:hint="eastAsia" w:ascii="仿宋_GB2312" w:hAnsi="仿宋" w:eastAsia="仿宋_GB2312"/>
          <w:bCs/>
          <w:iCs/>
          <w:sz w:val="28"/>
          <w:szCs w:val="28"/>
          <w:highlight w:val="none"/>
          <w:lang w:val="en-US" w:eastAsia="zh-CN"/>
        </w:rPr>
        <w:t>6.</w:t>
      </w:r>
      <w:r>
        <w:rPr>
          <w:rFonts w:hint="eastAsia" w:ascii="仿宋_GB2312" w:hAnsi="仿宋" w:eastAsia="仿宋_GB2312"/>
          <w:bCs/>
          <w:iCs/>
          <w:sz w:val="28"/>
          <w:szCs w:val="28"/>
          <w:highlight w:val="none"/>
        </w:rPr>
        <w:t>E204-2表</w:t>
      </w:r>
      <w:r>
        <w:rPr>
          <w:rFonts w:ascii="仿宋_GB2312" w:hAnsi="仿宋" w:eastAsia="仿宋_GB2312"/>
          <w:bCs/>
          <w:iCs/>
          <w:sz w:val="28"/>
          <w:szCs w:val="28"/>
          <w:highlight w:val="none"/>
        </w:rPr>
        <w:t>中，</w:t>
      </w:r>
      <w:r>
        <w:rPr>
          <w:rFonts w:hint="eastAsia" w:ascii="仿宋_GB2312" w:hAnsi="仿宋" w:eastAsia="仿宋_GB2312"/>
          <w:bCs/>
          <w:iCs/>
          <w:sz w:val="28"/>
          <w:szCs w:val="28"/>
          <w:highlight w:val="none"/>
        </w:rPr>
        <w:t>商品销售量（本年及上年）“其中：销售给个人”和“其中：销售给社会集团”4列仅填报4季度数据</w:t>
      </w:r>
      <w:r>
        <w:rPr>
          <w:rFonts w:hint="eastAsia" w:ascii="仿宋_GB2312" w:hAnsi="仿宋" w:eastAsia="仿宋_GB2312"/>
          <w:bCs/>
          <w:iCs/>
          <w:sz w:val="28"/>
          <w:szCs w:val="28"/>
          <w:highlight w:val="none"/>
          <w:lang w:eastAsia="zh-CN"/>
        </w:rPr>
        <w:t>，</w:t>
      </w:r>
      <w:r>
        <w:rPr>
          <w:rFonts w:ascii="仿宋_GB2312" w:hAnsi="仿宋" w:eastAsia="仿宋_GB2312"/>
          <w:bCs/>
          <w:iCs/>
          <w:sz w:val="28"/>
          <w:szCs w:val="28"/>
          <w:highlight w:val="none"/>
        </w:rPr>
        <w:t>且应填报</w:t>
      </w:r>
      <w:r>
        <w:rPr>
          <w:rFonts w:ascii="仿宋_GB2312" w:hAnsi="仿宋" w:eastAsia="仿宋_GB2312"/>
          <w:b/>
          <w:bCs/>
          <w:iCs/>
          <w:sz w:val="28"/>
          <w:szCs w:val="28"/>
          <w:highlight w:val="none"/>
        </w:rPr>
        <w:t>零售量</w:t>
      </w:r>
      <w:r>
        <w:rPr>
          <w:rFonts w:hint="eastAsia" w:ascii="仿宋_GB2312" w:hAnsi="仿宋" w:eastAsia="仿宋_GB2312"/>
          <w:bCs/>
          <w:iCs/>
          <w:sz w:val="28"/>
          <w:szCs w:val="28"/>
          <w:highlight w:val="none"/>
        </w:rPr>
        <w:t>而非</w:t>
      </w:r>
      <w:r>
        <w:rPr>
          <w:rFonts w:ascii="仿宋_GB2312" w:hAnsi="仿宋" w:eastAsia="仿宋_GB2312"/>
          <w:bCs/>
          <w:iCs/>
          <w:sz w:val="28"/>
          <w:szCs w:val="28"/>
          <w:highlight w:val="none"/>
        </w:rPr>
        <w:t>销售量</w:t>
      </w:r>
      <w:r>
        <w:rPr>
          <w:rFonts w:hint="eastAsia" w:ascii="仿宋_GB2312" w:hAnsi="仿宋" w:eastAsia="仿宋_GB2312"/>
          <w:bCs/>
          <w:iCs/>
          <w:sz w:val="28"/>
          <w:szCs w:val="28"/>
          <w:highlight w:val="none"/>
        </w:rPr>
        <w:t>。</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560" w:firstLineChars="200"/>
        <w:jc w:val="both"/>
        <w:textAlignment w:val="auto"/>
        <w:outlineLvl w:val="9"/>
        <w:rPr>
          <w:rFonts w:hint="eastAsia" w:ascii="仿宋_GB2312" w:hAnsi="仿宋" w:eastAsia="仿宋_GB2312"/>
          <w:b w:val="0"/>
          <w:bCs/>
          <w:iCs/>
          <w:sz w:val="28"/>
          <w:szCs w:val="28"/>
          <w:highlight w:val="none"/>
        </w:rPr>
      </w:pPr>
      <w:r>
        <w:rPr>
          <w:rFonts w:hint="eastAsia" w:ascii="仿宋_GB2312" w:hAnsi="仿宋" w:eastAsia="仿宋_GB2312"/>
          <w:b w:val="0"/>
          <w:bCs/>
          <w:iCs/>
          <w:sz w:val="28"/>
          <w:szCs w:val="28"/>
          <w:highlight w:val="none"/>
          <w:lang w:val="en-US" w:eastAsia="zh-CN"/>
        </w:rPr>
        <w:t>7.</w:t>
      </w:r>
      <w:r>
        <w:rPr>
          <w:rFonts w:hint="eastAsia" w:ascii="仿宋_GB2312" w:hAnsi="仿宋" w:eastAsia="仿宋_GB2312"/>
          <w:b w:val="0"/>
          <w:bCs/>
          <w:iCs/>
          <w:sz w:val="28"/>
          <w:szCs w:val="28"/>
          <w:highlight w:val="none"/>
        </w:rPr>
        <w:t>其他注意事项详见</w:t>
      </w:r>
      <w:r>
        <w:rPr>
          <w:rFonts w:hint="eastAsia" w:ascii="仿宋_GB2312" w:hAnsi="仿宋" w:eastAsia="仿宋_GB2312"/>
          <w:b w:val="0"/>
          <w:bCs/>
          <w:iCs/>
          <w:sz w:val="28"/>
          <w:szCs w:val="28"/>
          <w:highlight w:val="none"/>
          <w:lang w:val="en-US" w:eastAsia="zh-CN"/>
        </w:rPr>
        <w:t>E104-1、BJE104-2表</w:t>
      </w:r>
      <w:r>
        <w:rPr>
          <w:rFonts w:hint="eastAsia" w:ascii="仿宋_GB2312" w:hAnsi="仿宋" w:eastAsia="仿宋_GB2312"/>
          <w:b w:val="0"/>
          <w:bCs/>
          <w:iCs/>
          <w:sz w:val="28"/>
          <w:szCs w:val="28"/>
          <w:highlight w:val="none"/>
        </w:rPr>
        <w:t>“</w:t>
      </w:r>
      <w:r>
        <w:rPr>
          <w:rFonts w:ascii="仿宋_GB2312" w:hAnsi="仿宋" w:eastAsia="仿宋_GB2312"/>
          <w:b w:val="0"/>
          <w:bCs/>
          <w:iCs/>
          <w:sz w:val="28"/>
          <w:szCs w:val="28"/>
          <w:highlight w:val="none"/>
        </w:rPr>
        <w:t>202</w:t>
      </w:r>
      <w:r>
        <w:rPr>
          <w:rFonts w:hint="eastAsia" w:ascii="仿宋_GB2312" w:hAnsi="仿宋" w:eastAsia="仿宋_GB2312"/>
          <w:b w:val="0"/>
          <w:bCs/>
          <w:iCs/>
          <w:sz w:val="28"/>
          <w:szCs w:val="28"/>
          <w:highlight w:val="none"/>
          <w:lang w:val="en-US" w:eastAsia="zh-CN"/>
        </w:rPr>
        <w:t>4</w:t>
      </w:r>
      <w:r>
        <w:rPr>
          <w:rFonts w:hint="eastAsia" w:ascii="仿宋_GB2312" w:hAnsi="仿宋" w:eastAsia="仿宋_GB2312"/>
          <w:b w:val="0"/>
          <w:bCs/>
          <w:iCs/>
          <w:sz w:val="28"/>
          <w:szCs w:val="28"/>
          <w:highlight w:val="none"/>
        </w:rPr>
        <w:t>年</w:t>
      </w:r>
      <w:r>
        <w:rPr>
          <w:rFonts w:ascii="仿宋_GB2312" w:hAnsi="仿宋" w:eastAsia="仿宋_GB2312"/>
          <w:b w:val="0"/>
          <w:bCs/>
          <w:iCs/>
          <w:sz w:val="28"/>
          <w:szCs w:val="28"/>
          <w:highlight w:val="none"/>
        </w:rPr>
        <w:t>年报部分</w:t>
      </w:r>
      <w:r>
        <w:rPr>
          <w:rFonts w:hint="eastAsia" w:ascii="仿宋_GB2312" w:hAnsi="仿宋" w:eastAsia="仿宋_GB2312"/>
          <w:b w:val="0"/>
          <w:bCs/>
          <w:iCs/>
          <w:sz w:val="28"/>
          <w:szCs w:val="28"/>
          <w:highlight w:val="none"/>
        </w:rPr>
        <w:t>”。</w:t>
      </w:r>
    </w:p>
    <w:p>
      <w:pPr>
        <w:pStyle w:val="5"/>
        <w:rPr>
          <w:rFonts w:hint="eastAsia"/>
        </w:rPr>
      </w:pPr>
      <w:bookmarkStart w:id="186" w:name="_Toc7097"/>
      <w:bookmarkStart w:id="187" w:name="_Toc5497"/>
      <w:bookmarkStart w:id="188" w:name="_Toc5050"/>
      <w:bookmarkStart w:id="189" w:name="_Toc27993_WPSOffice_Level2"/>
      <w:bookmarkStart w:id="190" w:name="_Toc23598_WPSOffice_Level2"/>
      <w:bookmarkStart w:id="191" w:name="_Toc909"/>
      <w:bookmarkStart w:id="192" w:name="_Toc12946"/>
      <w:bookmarkStart w:id="193" w:name="_Toc26697_WPSOffice_Level2"/>
      <w:bookmarkStart w:id="194" w:name="_Toc1021"/>
      <w:r>
        <w:rPr>
          <w:rFonts w:hint="eastAsia"/>
          <w:lang w:eastAsia="zh-CN"/>
        </w:rPr>
        <w:t>二、财务状况（E</w:t>
      </w:r>
      <w:r>
        <w:rPr>
          <w:rFonts w:hint="eastAsia"/>
          <w:lang w:val="en-US" w:eastAsia="zh-CN"/>
        </w:rPr>
        <w:t>203表、BJE203-1表</w:t>
      </w:r>
      <w:r>
        <w:rPr>
          <w:rFonts w:hint="eastAsia"/>
          <w:lang w:eastAsia="zh-CN"/>
        </w:rPr>
        <w:t>）</w:t>
      </w:r>
      <w:bookmarkEnd w:id="186"/>
      <w:bookmarkEnd w:id="187"/>
      <w:bookmarkEnd w:id="188"/>
      <w:bookmarkEnd w:id="189"/>
      <w:bookmarkEnd w:id="190"/>
      <w:bookmarkEnd w:id="191"/>
      <w:bookmarkEnd w:id="192"/>
      <w:bookmarkEnd w:id="193"/>
      <w:bookmarkEnd w:id="194"/>
    </w:p>
    <w:p>
      <w:pPr>
        <w:pStyle w:val="6"/>
        <w:rPr>
          <w:rFonts w:hint="eastAsia"/>
          <w:lang w:eastAsia="zh-CN"/>
        </w:rPr>
      </w:pPr>
      <w:bookmarkStart w:id="195" w:name="_Toc9073"/>
      <w:bookmarkStart w:id="196" w:name="_Toc12219"/>
      <w:bookmarkStart w:id="197" w:name="_Toc15846"/>
      <w:bookmarkStart w:id="198" w:name="_Toc30311"/>
      <w:r>
        <w:rPr>
          <w:rFonts w:hint="eastAsia"/>
          <w:lang w:eastAsia="zh-CN"/>
        </w:rPr>
        <w:t>（一）</w:t>
      </w:r>
      <w:r>
        <w:rPr>
          <w:rFonts w:hint="eastAsia"/>
        </w:rPr>
        <w:t>填报口径</w:t>
      </w:r>
      <w:r>
        <w:rPr>
          <w:rFonts w:hint="eastAsia"/>
          <w:lang w:eastAsia="zh-CN"/>
        </w:rPr>
        <w:t>和填报范围</w:t>
      </w:r>
      <w:bookmarkEnd w:id="195"/>
      <w:bookmarkEnd w:id="196"/>
      <w:bookmarkEnd w:id="197"/>
      <w:bookmarkEnd w:id="198"/>
    </w:p>
    <w:p>
      <w:pPr>
        <w:keepNext w:val="0"/>
        <w:keepLines w:val="0"/>
        <w:pageBreakBefore w:val="0"/>
        <w:widowControl w:val="0"/>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Cs/>
          <w:iCs/>
          <w:sz w:val="28"/>
          <w:szCs w:val="32"/>
          <w:lang w:eastAsia="zh-CN"/>
        </w:rPr>
        <w:t>法人单位填报的数据中应包括本法人单位所属的全部产业活动单位的数据，不应包括其他法人单位的数据。应该包含所有</w:t>
      </w:r>
      <w:r>
        <w:rPr>
          <w:rFonts w:hint="eastAsia" w:ascii="仿宋_GB2312" w:hAnsi="仿宋" w:eastAsia="仿宋_GB2312"/>
          <w:b/>
          <w:bCs w:val="0"/>
          <w:iCs/>
          <w:color w:val="FF0000"/>
          <w:sz w:val="28"/>
          <w:szCs w:val="32"/>
          <w:lang w:eastAsia="zh-CN"/>
        </w:rPr>
        <w:t>分公司</w:t>
      </w:r>
      <w:r>
        <w:rPr>
          <w:rFonts w:hint="eastAsia" w:ascii="仿宋_GB2312" w:hAnsi="仿宋" w:eastAsia="仿宋_GB2312"/>
          <w:bCs/>
          <w:iCs/>
          <w:sz w:val="28"/>
          <w:szCs w:val="32"/>
          <w:lang w:eastAsia="zh-CN"/>
        </w:rPr>
        <w:t>的数据，不应该包含任何</w:t>
      </w:r>
      <w:r>
        <w:rPr>
          <w:rFonts w:hint="eastAsia" w:ascii="仿宋_GB2312" w:hAnsi="仿宋" w:eastAsia="仿宋_GB2312"/>
          <w:b/>
          <w:bCs w:val="0"/>
          <w:iCs/>
          <w:color w:val="FF0000"/>
          <w:sz w:val="28"/>
          <w:szCs w:val="32"/>
          <w:lang w:eastAsia="zh-CN"/>
        </w:rPr>
        <w:t>子公司</w:t>
      </w:r>
      <w:r>
        <w:rPr>
          <w:rFonts w:hint="eastAsia" w:ascii="仿宋_GB2312" w:hAnsi="仿宋" w:eastAsia="仿宋_GB2312"/>
          <w:bCs/>
          <w:iCs/>
          <w:sz w:val="28"/>
          <w:szCs w:val="32"/>
          <w:lang w:eastAsia="zh-CN"/>
        </w:rPr>
        <w:t>数据。若所属产业活动单位已作为</w:t>
      </w:r>
      <w:r>
        <w:rPr>
          <w:rFonts w:hint="eastAsia" w:ascii="仿宋_GB2312" w:hAnsi="仿宋" w:eastAsia="仿宋_GB2312"/>
          <w:b/>
          <w:bCs w:val="0"/>
          <w:iCs/>
          <w:color w:val="FF0000"/>
          <w:sz w:val="28"/>
          <w:szCs w:val="32"/>
          <w:lang w:eastAsia="zh-CN"/>
        </w:rPr>
        <w:t>视同法人单位</w:t>
      </w:r>
      <w:r>
        <w:rPr>
          <w:rFonts w:hint="eastAsia" w:ascii="仿宋_GB2312" w:hAnsi="仿宋" w:eastAsia="仿宋_GB2312"/>
          <w:bCs/>
          <w:iCs/>
          <w:sz w:val="28"/>
          <w:szCs w:val="32"/>
          <w:lang w:eastAsia="zh-CN"/>
        </w:rPr>
        <w:t>，则该视同法人单位不再属于本法人单位所属的产业活动单位。</w:t>
      </w:r>
    </w:p>
    <w:p>
      <w:pPr>
        <w:pStyle w:val="6"/>
        <w:rPr>
          <w:rFonts w:hint="eastAsia"/>
          <w:lang w:eastAsia="zh-CN"/>
        </w:rPr>
      </w:pPr>
      <w:bookmarkStart w:id="199" w:name="_Toc29963"/>
      <w:bookmarkStart w:id="200" w:name="_Toc15698"/>
      <w:bookmarkStart w:id="201" w:name="_Toc22376"/>
      <w:bookmarkStart w:id="202" w:name="_Toc9349"/>
      <w:r>
        <w:rPr>
          <w:rFonts w:hint="eastAsia"/>
          <w:lang w:eastAsia="zh-CN"/>
        </w:rPr>
        <w:t>（二）注意事项</w:t>
      </w:r>
      <w:bookmarkEnd w:id="199"/>
      <w:bookmarkEnd w:id="200"/>
      <w:bookmarkEnd w:id="201"/>
      <w:bookmarkEnd w:id="202"/>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lang w:eastAsia="zh-CN"/>
        </w:rPr>
        <w:t>同期数据的调整：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宋体" w:eastAsia="仿宋_GB2312" w:cs="宋体"/>
          <w:b w:val="0"/>
          <w:bCs/>
          <w:sz w:val="28"/>
          <w:szCs w:val="28"/>
          <w:lang w:eastAsia="zh-CN"/>
        </w:rPr>
      </w:pPr>
      <w:r>
        <w:rPr>
          <w:rFonts w:hint="eastAsia" w:ascii="仿宋_GB2312" w:hAnsi="宋体" w:eastAsia="仿宋_GB2312" w:cs="宋体"/>
          <w:b w:val="0"/>
          <w:bCs/>
          <w:sz w:val="28"/>
          <w:szCs w:val="28"/>
          <w:lang w:eastAsia="zh-CN"/>
        </w:rPr>
        <w:t>（1）</w:t>
      </w:r>
      <w:r>
        <w:rPr>
          <w:rFonts w:hint="eastAsia" w:ascii="仿宋_GB2312" w:hAnsi="宋体" w:eastAsia="仿宋_GB2312" w:cs="宋体"/>
          <w:b w:val="0"/>
          <w:bCs/>
          <w:sz w:val="28"/>
          <w:szCs w:val="28"/>
          <w:lang w:eastAsia="zh-CN"/>
        </w:rPr>
        <w:tab/>
      </w:r>
      <w:r>
        <w:rPr>
          <w:rFonts w:hint="eastAsia" w:ascii="仿宋_GB2312" w:hAnsi="宋体" w:eastAsia="仿宋_GB2312" w:cs="宋体"/>
          <w:b w:val="0"/>
          <w:bCs/>
          <w:sz w:val="28"/>
          <w:szCs w:val="28"/>
          <w:lang w:eastAsia="zh-CN"/>
        </w:rPr>
        <w:t>无特殊情况，原定报单位不能修改同期数据，不要解锁；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宋体" w:eastAsia="仿宋_GB2312" w:cs="宋体"/>
          <w:b w:val="0"/>
          <w:bCs/>
          <w:sz w:val="28"/>
          <w:szCs w:val="28"/>
          <w:lang w:eastAsia="zh-CN"/>
        </w:rPr>
      </w:pPr>
      <w:r>
        <w:rPr>
          <w:rFonts w:hint="eastAsia" w:ascii="仿宋_GB2312" w:hAnsi="宋体" w:eastAsia="仿宋_GB2312" w:cs="宋体"/>
          <w:b w:val="0"/>
          <w:bCs/>
          <w:sz w:val="28"/>
          <w:szCs w:val="28"/>
          <w:lang w:eastAsia="zh-CN"/>
        </w:rPr>
        <w:t>（2）</w:t>
      </w:r>
      <w:r>
        <w:rPr>
          <w:rFonts w:hint="eastAsia" w:ascii="仿宋_GB2312" w:hAnsi="宋体" w:eastAsia="仿宋_GB2312" w:cs="宋体"/>
          <w:b w:val="0"/>
          <w:bCs/>
          <w:sz w:val="28"/>
          <w:szCs w:val="28"/>
          <w:lang w:eastAsia="zh-CN"/>
        </w:rPr>
        <w:tab/>
      </w:r>
      <w:r>
        <w:rPr>
          <w:rFonts w:hint="eastAsia" w:ascii="仿宋_GB2312" w:hAnsi="宋体" w:eastAsia="仿宋_GB2312" w:cs="宋体"/>
          <w:b/>
          <w:bCs w:val="0"/>
          <w:color w:val="FF0000"/>
          <w:sz w:val="28"/>
          <w:szCs w:val="28"/>
          <w:lang w:eastAsia="zh-CN"/>
        </w:rPr>
        <w:t>新增单位</w:t>
      </w:r>
      <w:r>
        <w:rPr>
          <w:rFonts w:hint="eastAsia" w:ascii="仿宋_GB2312" w:hAnsi="宋体" w:eastAsia="仿宋_GB2312" w:cs="宋体"/>
          <w:b w:val="0"/>
          <w:bCs/>
          <w:sz w:val="28"/>
          <w:szCs w:val="28"/>
          <w:lang w:eastAsia="zh-CN"/>
        </w:rPr>
        <w:t>，应以财务账为基础填报同期数据，不得漏报；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宋体" w:eastAsia="仿宋_GB2312" w:cs="宋体"/>
          <w:b w:val="0"/>
          <w:bCs/>
          <w:sz w:val="28"/>
          <w:szCs w:val="28"/>
          <w:lang w:eastAsia="zh-CN"/>
        </w:rPr>
      </w:pPr>
      <w:r>
        <w:rPr>
          <w:rFonts w:hint="eastAsia" w:ascii="仿宋_GB2312" w:hAnsi="宋体" w:eastAsia="仿宋_GB2312" w:cs="宋体"/>
          <w:b w:val="0"/>
          <w:bCs/>
          <w:sz w:val="28"/>
          <w:szCs w:val="28"/>
          <w:lang w:eastAsia="zh-CN"/>
        </w:rPr>
        <w:t>（3）</w:t>
      </w:r>
      <w:r>
        <w:rPr>
          <w:rFonts w:hint="eastAsia" w:ascii="仿宋_GB2312" w:hAnsi="宋体" w:eastAsia="仿宋_GB2312" w:cs="宋体"/>
          <w:b w:val="0"/>
          <w:bCs/>
          <w:sz w:val="28"/>
          <w:szCs w:val="28"/>
          <w:lang w:eastAsia="zh-CN"/>
        </w:rPr>
        <w:tab/>
      </w:r>
      <w:r>
        <w:rPr>
          <w:rFonts w:hint="eastAsia" w:ascii="仿宋_GB2312" w:hAnsi="宋体" w:eastAsia="仿宋_GB2312" w:cs="宋体"/>
          <w:b w:val="0"/>
          <w:bCs/>
          <w:sz w:val="28"/>
          <w:szCs w:val="28"/>
          <w:lang w:eastAsia="zh-CN"/>
        </w:rPr>
        <w:t>上年同期数据填报有误，平台弹出信息需要企业在澄清说明中写明上年同期正确的数据。</w:t>
      </w:r>
    </w:p>
    <w:p>
      <w:pPr>
        <w:pStyle w:val="6"/>
        <w:rPr>
          <w:rFonts w:hint="eastAsia"/>
          <w:lang w:eastAsia="zh-CN"/>
        </w:rPr>
      </w:pPr>
      <w:bookmarkStart w:id="203" w:name="_Toc26713"/>
      <w:bookmarkStart w:id="204" w:name="_Toc16232"/>
      <w:bookmarkStart w:id="205" w:name="_Toc23349"/>
      <w:bookmarkStart w:id="206" w:name="_Toc18247"/>
      <w:r>
        <w:rPr>
          <w:rFonts w:hint="eastAsia"/>
          <w:lang w:eastAsia="zh-CN"/>
        </w:rPr>
        <w:t>（三）审核要点</w:t>
      </w:r>
      <w:bookmarkEnd w:id="203"/>
      <w:bookmarkEnd w:id="204"/>
      <w:bookmarkEnd w:id="205"/>
      <w:bookmarkEnd w:id="206"/>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宋体" w:eastAsia="仿宋_GB2312" w:cs="宋体"/>
          <w:b/>
          <w:sz w:val="28"/>
          <w:szCs w:val="28"/>
        </w:rPr>
      </w:pPr>
      <w:r>
        <w:rPr>
          <w:rFonts w:hint="eastAsia" w:ascii="仿宋_GB2312" w:hAnsi="宋体" w:eastAsia="仿宋_GB2312" w:cs="宋体"/>
          <w:b/>
          <w:sz w:val="28"/>
          <w:szCs w:val="28"/>
        </w:rPr>
        <w:t>1.应交增值税</w:t>
      </w:r>
      <w:r>
        <w:rPr>
          <w:rFonts w:hint="eastAsia" w:ascii="仿宋_GB2312" w:hAnsi="宋体" w:eastAsia="仿宋_GB2312" w:cs="宋体"/>
          <w:b/>
          <w:sz w:val="28"/>
          <w:szCs w:val="28"/>
          <w:lang w:eastAsia="zh-CN"/>
        </w:rPr>
        <w:t>：</w:t>
      </w:r>
      <w:r>
        <w:rPr>
          <w:rFonts w:hint="eastAsia" w:ascii="仿宋_GB2312" w:hAnsi="宋体" w:eastAsia="仿宋_GB2312" w:cs="宋体"/>
          <w:bCs/>
          <w:sz w:val="28"/>
          <w:szCs w:val="28"/>
        </w:rPr>
        <w:t>严格按照</w:t>
      </w:r>
      <w:r>
        <w:rPr>
          <w:rFonts w:hint="eastAsia" w:ascii="仿宋_GB2312" w:hAnsi="宋体" w:eastAsia="仿宋_GB2312" w:cs="宋体"/>
          <w:bCs/>
          <w:sz w:val="28"/>
          <w:szCs w:val="28"/>
          <w:lang w:eastAsia="zh-CN"/>
        </w:rPr>
        <w:t>统计</w:t>
      </w:r>
      <w:r>
        <w:rPr>
          <w:rFonts w:hint="eastAsia" w:ascii="仿宋_GB2312" w:hAnsi="宋体" w:eastAsia="仿宋_GB2312" w:cs="宋体"/>
          <w:bCs/>
          <w:sz w:val="28"/>
          <w:szCs w:val="28"/>
        </w:rPr>
        <w:t>公式计算填报累计数，除了“计算结果四舍五入不足千元”“农业</w:t>
      </w:r>
      <w:r>
        <w:rPr>
          <w:rFonts w:hint="eastAsia" w:ascii="仿宋_GB2312" w:hAnsi="宋体" w:eastAsia="仿宋_GB2312" w:cs="宋体"/>
          <w:bCs/>
          <w:sz w:val="28"/>
          <w:szCs w:val="28"/>
          <w:lang w:eastAsia="zh-CN"/>
        </w:rPr>
        <w:t>、图书</w:t>
      </w:r>
      <w:r>
        <w:rPr>
          <w:rFonts w:hint="eastAsia" w:ascii="仿宋_GB2312" w:hAnsi="宋体" w:eastAsia="仿宋_GB2312" w:cs="宋体"/>
          <w:bCs/>
          <w:sz w:val="28"/>
          <w:szCs w:val="28"/>
        </w:rPr>
        <w:t>等行业免征增值税”等情况以外，应交增值税均不应该为</w:t>
      </w:r>
      <w:r>
        <w:rPr>
          <w:rFonts w:hint="eastAsia" w:ascii="Times New Roman" w:hAnsi="Times New Roman" w:eastAsia="仿宋_GB2312" w:cs="Times New Roman"/>
          <w:bCs/>
          <w:sz w:val="28"/>
          <w:szCs w:val="28"/>
        </w:rPr>
        <w:t>0</w:t>
      </w:r>
      <w:r>
        <w:rPr>
          <w:rFonts w:hint="eastAsia" w:ascii="Times New Roman" w:hAnsi="Times New Roman" w:eastAsia="仿宋_GB2312" w:cs="Times New Roman"/>
          <w:bCs/>
          <w:sz w:val="28"/>
          <w:szCs w:val="28"/>
          <w:lang w:eastAsia="zh-CN"/>
        </w:rPr>
        <w:t>，如</w:t>
      </w:r>
      <w:r>
        <w:rPr>
          <w:rFonts w:hint="eastAsia" w:ascii="Times New Roman" w:hAnsi="Times New Roman" w:eastAsia="仿宋_GB2312" w:cs="Times New Roman"/>
          <w:bCs/>
          <w:sz w:val="28"/>
          <w:szCs w:val="28"/>
        </w:rPr>
        <w:t>发现增值税为0</w:t>
      </w:r>
      <w:r>
        <w:rPr>
          <w:rFonts w:hint="eastAsia" w:ascii="仿宋_GB2312" w:hAnsi="宋体" w:eastAsia="仿宋_GB2312" w:cs="宋体"/>
          <w:bCs/>
          <w:sz w:val="28"/>
          <w:szCs w:val="28"/>
          <w:lang w:eastAsia="zh-CN"/>
        </w:rPr>
        <w:t>或</w:t>
      </w:r>
      <w:r>
        <w:rPr>
          <w:rFonts w:hint="eastAsia" w:ascii="仿宋_GB2312" w:hAnsi="宋体" w:eastAsia="仿宋_GB2312" w:cs="宋体"/>
          <w:bCs/>
          <w:sz w:val="28"/>
          <w:szCs w:val="28"/>
        </w:rPr>
        <w:t>与上月</w:t>
      </w:r>
      <w:r>
        <w:rPr>
          <w:rFonts w:hint="eastAsia" w:ascii="仿宋_GB2312" w:hAnsi="宋体" w:eastAsia="仿宋_GB2312" w:cs="宋体"/>
          <w:bCs/>
          <w:sz w:val="28"/>
          <w:szCs w:val="28"/>
          <w:lang w:eastAsia="zh-CN"/>
        </w:rPr>
        <w:t>相等</w:t>
      </w:r>
      <w:r>
        <w:rPr>
          <w:rFonts w:hint="eastAsia" w:ascii="仿宋_GB2312" w:hAnsi="宋体" w:eastAsia="仿宋_GB2312" w:cs="宋体"/>
          <w:bCs/>
          <w:sz w:val="28"/>
          <w:szCs w:val="28"/>
        </w:rPr>
        <w:t>，及时联系企业</w:t>
      </w:r>
      <w:r>
        <w:rPr>
          <w:rFonts w:hint="eastAsia" w:ascii="仿宋_GB2312" w:hAnsi="宋体" w:eastAsia="仿宋_GB2312" w:cs="宋体"/>
          <w:bCs/>
          <w:sz w:val="28"/>
          <w:szCs w:val="28"/>
          <w:lang w:eastAsia="zh-CN"/>
        </w:rPr>
        <w:t>核实</w:t>
      </w:r>
      <w:r>
        <w:rPr>
          <w:rFonts w:hint="eastAsia" w:ascii="仿宋_GB2312" w:hAnsi="宋体" w:eastAsia="仿宋_GB2312" w:cs="宋体"/>
          <w:bCs/>
          <w:sz w:val="28"/>
          <w:szCs w:val="28"/>
        </w:rPr>
        <w:t>修改数据。</w:t>
      </w:r>
    </w:p>
    <w:p>
      <w:pPr>
        <w:keepNext w:val="0"/>
        <w:keepLines w:val="0"/>
        <w:pageBreakBefore w:val="0"/>
        <w:widowControl w:val="0"/>
        <w:kinsoku/>
        <w:wordWrap/>
        <w:overflowPunct/>
        <w:topLinePunct w:val="0"/>
        <w:autoSpaceDE/>
        <w:autoSpaceDN/>
        <w:bidi w:val="0"/>
        <w:adjustRightInd/>
        <w:snapToGrid/>
        <w:spacing w:line="400" w:lineRule="exact"/>
        <w:ind w:firstLine="643"/>
        <w:jc w:val="left"/>
        <w:textAlignment w:val="auto"/>
        <w:rPr>
          <w:rFonts w:hint="eastAsia" w:ascii="仿宋_GB2312" w:eastAsia="仿宋_GB2312"/>
          <w:b w:val="0"/>
          <w:bCs/>
          <w:color w:val="FF0000"/>
          <w:sz w:val="28"/>
          <w:szCs w:val="28"/>
          <w:lang w:eastAsia="zh-CN"/>
        </w:rPr>
      </w:pPr>
      <w:r>
        <w:rPr>
          <w:rFonts w:hint="eastAsia" w:ascii="仿宋_GB2312" w:hAnsi="宋体" w:eastAsia="仿宋_GB2312" w:cs="宋体"/>
          <w:b/>
          <w:sz w:val="28"/>
          <w:szCs w:val="28"/>
        </w:rPr>
        <w:t>2.注意营业收入与销售额（营业额）的区别</w:t>
      </w:r>
      <w:r>
        <w:rPr>
          <w:rFonts w:hint="eastAsia" w:ascii="仿宋_GB2312" w:hAnsi="宋体" w:eastAsia="仿宋_GB2312" w:cs="宋体"/>
          <w:b/>
          <w:sz w:val="28"/>
          <w:szCs w:val="28"/>
          <w:lang w:eastAsia="zh-CN"/>
        </w:rPr>
        <w:t>：</w:t>
      </w:r>
      <w:r>
        <w:rPr>
          <w:rFonts w:hint="eastAsia" w:ascii="仿宋_GB2312" w:hAnsi="宋体" w:eastAsia="仿宋_GB2312" w:cs="宋体"/>
          <w:b w:val="0"/>
          <w:bCs/>
          <w:sz w:val="28"/>
          <w:szCs w:val="28"/>
          <w:lang w:eastAsia="zh-CN"/>
        </w:rPr>
        <w:t>财务指标“营业收入”反映企业收入情况，不包含增值税中的销项税；而业务指标“商品销售额”反映企业向市场提供商品销售的总金额，应包含增值税中的销项税。</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
          <w:bCs w:val="0"/>
          <w:iCs/>
          <w:sz w:val="28"/>
          <w:szCs w:val="28"/>
        </w:rPr>
        <w:t>营业收入：</w:t>
      </w:r>
      <w:r>
        <w:rPr>
          <w:rFonts w:hint="eastAsia" w:ascii="仿宋_GB2312" w:hAnsi="宋体" w:eastAsia="仿宋_GB2312" w:cs="宋体"/>
          <w:bCs/>
          <w:iCs/>
          <w:sz w:val="28"/>
          <w:szCs w:val="28"/>
        </w:rPr>
        <w:t>利润表上“营业收入”的累计数，直接摘取账上数据，为不含税指标。</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 w:val="0"/>
          <w:bCs/>
          <w:i w:val="0"/>
          <w:iCs/>
          <w:color w:val="auto"/>
          <w:sz w:val="28"/>
          <w:szCs w:val="28"/>
          <w:highlight w:val="none"/>
          <w:u w:val="thick"/>
          <w:lang w:eastAsia="zh-CN"/>
        </w:rPr>
      </w:pPr>
      <w:r>
        <w:rPr>
          <w:rFonts w:hint="eastAsia" w:ascii="仿宋_GB2312" w:hAnsi="宋体" w:eastAsia="仿宋_GB2312" w:cs="宋体"/>
          <w:b/>
          <w:bCs w:val="0"/>
          <w:iCs/>
          <w:sz w:val="28"/>
          <w:szCs w:val="28"/>
        </w:rPr>
        <w:t>销售额（营业额）：</w:t>
      </w:r>
      <w:r>
        <w:rPr>
          <w:rFonts w:hint="eastAsia" w:ascii="仿宋_GB2312" w:hAnsi="宋体" w:eastAsia="仿宋_GB2312" w:cs="宋体"/>
          <w:bCs/>
          <w:iCs/>
          <w:sz w:val="28"/>
          <w:szCs w:val="28"/>
        </w:rPr>
        <w:t>根据企业销售</w:t>
      </w:r>
      <w:r>
        <w:rPr>
          <w:rFonts w:hint="eastAsia" w:ascii="仿宋_GB2312" w:hAnsi="宋体" w:eastAsia="仿宋_GB2312" w:cs="宋体"/>
          <w:bCs/>
          <w:iCs/>
          <w:sz w:val="28"/>
          <w:szCs w:val="28"/>
          <w:lang w:eastAsia="zh-CN"/>
        </w:rPr>
        <w:t>明细账填报</w:t>
      </w:r>
      <w:r>
        <w:rPr>
          <w:rFonts w:hint="eastAsia" w:ascii="仿宋_GB2312" w:hAnsi="宋体" w:eastAsia="仿宋_GB2312" w:cs="宋体"/>
          <w:bCs/>
          <w:iCs/>
          <w:sz w:val="28"/>
          <w:szCs w:val="28"/>
        </w:rPr>
        <w:t>，</w:t>
      </w:r>
      <w:r>
        <w:rPr>
          <w:rFonts w:hint="eastAsia" w:ascii="仿宋_GB2312" w:hAnsi="宋体" w:eastAsia="仿宋_GB2312" w:cs="宋体"/>
          <w:bCs/>
          <w:iCs/>
          <w:sz w:val="28"/>
          <w:szCs w:val="28"/>
          <w:lang w:eastAsia="zh-CN"/>
        </w:rPr>
        <w:t>为</w:t>
      </w:r>
      <w:r>
        <w:rPr>
          <w:rFonts w:hint="eastAsia" w:ascii="仿宋_GB2312" w:hAnsi="宋体" w:eastAsia="仿宋_GB2312" w:cs="宋体"/>
          <w:bCs/>
          <w:iCs/>
          <w:sz w:val="28"/>
          <w:szCs w:val="28"/>
        </w:rPr>
        <w:t>销售收入（营业收入）</w:t>
      </w:r>
      <w:r>
        <w:rPr>
          <w:rFonts w:hint="eastAsia" w:ascii="仿宋_GB2312" w:hAnsi="宋体" w:eastAsia="仿宋_GB2312" w:cs="宋体"/>
          <w:b/>
          <w:iCs/>
          <w:sz w:val="28"/>
          <w:szCs w:val="28"/>
        </w:rPr>
        <w:t>+对应的增值税销项税</w:t>
      </w:r>
      <w:r>
        <w:rPr>
          <w:rFonts w:hint="eastAsia" w:ascii="仿宋_GB2312" w:hAnsi="宋体" w:eastAsia="仿宋_GB2312" w:cs="宋体"/>
          <w:bCs/>
          <w:iCs/>
          <w:sz w:val="28"/>
          <w:szCs w:val="28"/>
        </w:rPr>
        <w:t>，务必提醒企业经营情况表</w:t>
      </w:r>
      <w:r>
        <w:rPr>
          <w:rFonts w:hint="eastAsia" w:ascii="仿宋_GB2312" w:hAnsi="宋体" w:eastAsia="仿宋_GB2312" w:cs="宋体"/>
          <w:bCs/>
          <w:iCs/>
          <w:sz w:val="28"/>
          <w:szCs w:val="28"/>
          <w:lang w:eastAsia="zh-CN"/>
        </w:rPr>
        <w:t>中指标</w:t>
      </w:r>
      <w:r>
        <w:rPr>
          <w:rFonts w:hint="eastAsia" w:ascii="仿宋_GB2312" w:hAnsi="宋体" w:eastAsia="仿宋_GB2312" w:cs="宋体"/>
          <w:b w:val="0"/>
          <w:bCs/>
          <w:i w:val="0"/>
          <w:iCs/>
          <w:color w:val="auto"/>
          <w:sz w:val="28"/>
          <w:szCs w:val="28"/>
          <w:highlight w:val="none"/>
          <w:u w:val="thick"/>
          <w:lang w:eastAsia="zh-CN"/>
        </w:rPr>
        <w:t>带“额”的</w:t>
      </w:r>
      <w:r>
        <w:rPr>
          <w:rFonts w:hint="eastAsia" w:ascii="仿宋_GB2312" w:hAnsi="宋体" w:eastAsia="仿宋_GB2312" w:cs="宋体"/>
          <w:b w:val="0"/>
          <w:bCs/>
          <w:i w:val="0"/>
          <w:iCs/>
          <w:color w:val="auto"/>
          <w:sz w:val="28"/>
          <w:szCs w:val="28"/>
          <w:highlight w:val="none"/>
          <w:u w:val="thick"/>
        </w:rPr>
        <w:t>数据</w:t>
      </w:r>
      <w:r>
        <w:rPr>
          <w:rFonts w:hint="eastAsia" w:ascii="仿宋_GB2312" w:hAnsi="宋体" w:eastAsia="仿宋_GB2312" w:cs="宋体"/>
          <w:b w:val="0"/>
          <w:bCs/>
          <w:i w:val="0"/>
          <w:iCs/>
          <w:color w:val="auto"/>
          <w:sz w:val="28"/>
          <w:szCs w:val="28"/>
          <w:highlight w:val="none"/>
          <w:u w:val="thick"/>
          <w:lang w:eastAsia="zh-CN"/>
        </w:rPr>
        <w:t>都</w:t>
      </w:r>
      <w:r>
        <w:rPr>
          <w:rFonts w:hint="eastAsia" w:ascii="仿宋_GB2312" w:hAnsi="宋体" w:eastAsia="仿宋_GB2312" w:cs="宋体"/>
          <w:b w:val="0"/>
          <w:bCs/>
          <w:i w:val="0"/>
          <w:iCs/>
          <w:color w:val="auto"/>
          <w:sz w:val="28"/>
          <w:szCs w:val="28"/>
          <w:highlight w:val="none"/>
          <w:u w:val="thick"/>
        </w:rPr>
        <w:t>是含税的</w:t>
      </w:r>
      <w:r>
        <w:rPr>
          <w:rFonts w:hint="eastAsia" w:ascii="仿宋_GB2312" w:hAnsi="宋体" w:eastAsia="仿宋_GB2312" w:cs="宋体"/>
          <w:b w:val="0"/>
          <w:bCs/>
          <w:i w:val="0"/>
          <w:iCs/>
          <w:color w:val="auto"/>
          <w:sz w:val="28"/>
          <w:szCs w:val="28"/>
          <w:highlight w:val="none"/>
          <w:u w:val="thick"/>
          <w:lang w:eastAsia="zh-CN"/>
        </w:rPr>
        <w:t>，除非是免税单位，否则当月销售额≠当月营业收入、累计销售额≠累计营业收入。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宋体" w:eastAsia="仿宋_GB2312" w:cs="宋体"/>
          <w:b/>
          <w:sz w:val="28"/>
          <w:szCs w:val="28"/>
        </w:rPr>
      </w:pPr>
      <w:r>
        <w:rPr>
          <w:rFonts w:hint="eastAsia" w:ascii="仿宋_GB2312" w:hAnsi="宋体" w:eastAsia="仿宋_GB2312" w:cs="宋体"/>
          <w:b/>
          <w:sz w:val="28"/>
          <w:szCs w:val="28"/>
        </w:rPr>
        <w:t>3.关注表内绝对平衡关系</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宋体" w:eastAsia="仿宋_GB2312" w:cs="宋体"/>
          <w:b w:val="0"/>
          <w:bCs/>
          <w:color w:val="auto"/>
          <w:sz w:val="28"/>
          <w:szCs w:val="28"/>
        </w:rPr>
      </w:pPr>
      <w:r>
        <w:rPr>
          <w:rFonts w:hint="eastAsia" w:ascii="仿宋_GB2312" w:hAnsi="宋体" w:eastAsia="仿宋_GB2312" w:cs="宋体"/>
          <w:b w:val="0"/>
          <w:bCs/>
          <w:color w:val="auto"/>
          <w:sz w:val="28"/>
          <w:szCs w:val="28"/>
        </w:rPr>
        <w:t>资产总计=负债合计+所有者权益</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val="en-US" w:eastAsia="zh-CN"/>
        </w:rPr>
        <w:t>4.注意表间审核关系：</w:t>
      </w:r>
      <w:r>
        <w:rPr>
          <w:rFonts w:hint="eastAsia" w:ascii="仿宋_GB2312" w:hAnsi="仿宋" w:eastAsia="仿宋_GB2312"/>
          <w:b/>
          <w:bCs/>
          <w:iCs/>
          <w:sz w:val="28"/>
          <w:szCs w:val="32"/>
          <w:lang w:eastAsia="zh-CN"/>
        </w:rPr>
        <w:t>主要为通过财务数据反映</w:t>
      </w:r>
      <w:r>
        <w:rPr>
          <w:rFonts w:hint="eastAsia" w:ascii="仿宋_GB2312" w:hAnsi="仿宋" w:eastAsia="仿宋_GB2312"/>
          <w:b/>
          <w:bCs/>
          <w:iCs/>
          <w:sz w:val="28"/>
          <w:szCs w:val="32"/>
          <w:lang w:val="en-US" w:eastAsia="zh-CN"/>
        </w:rPr>
        <w:t>E/S204-1中</w:t>
      </w:r>
      <w:r>
        <w:rPr>
          <w:rFonts w:hint="eastAsia" w:ascii="仿宋_GB2312" w:hAnsi="仿宋" w:eastAsia="仿宋_GB2312"/>
          <w:b/>
          <w:bCs/>
          <w:iCs/>
          <w:sz w:val="28"/>
          <w:szCs w:val="32"/>
          <w:lang w:eastAsia="zh-CN"/>
        </w:rPr>
        <w:t>部分主营指标的问题：</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val="0"/>
          <w:bCs w:val="0"/>
          <w:iCs/>
          <w:sz w:val="28"/>
          <w:szCs w:val="32"/>
          <w:lang w:val="en-US" w:eastAsia="zh-CN"/>
        </w:rPr>
      </w:pPr>
      <w:r>
        <w:rPr>
          <w:rFonts w:hint="eastAsia" w:ascii="仿宋_GB2312" w:hAnsi="仿宋" w:eastAsia="仿宋_GB2312"/>
          <w:b w:val="0"/>
          <w:bCs w:val="0"/>
          <w:iCs/>
          <w:sz w:val="28"/>
          <w:szCs w:val="32"/>
          <w:lang w:val="en-US" w:eastAsia="zh-CN"/>
        </w:rPr>
        <w:t>1.财务表中营业收入不等于当月或累计商品销售额，即当月或累计商品销售额、营业额勿漏报增值税。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val="0"/>
          <w:bCs w:val="0"/>
          <w:iCs/>
          <w:sz w:val="28"/>
          <w:szCs w:val="32"/>
          <w:lang w:val="en-US" w:eastAsia="zh-CN"/>
        </w:rPr>
      </w:pPr>
      <w:r>
        <w:rPr>
          <w:rFonts w:hint="eastAsia" w:ascii="仿宋_GB2312" w:hAnsi="仿宋" w:eastAsia="仿宋_GB2312"/>
          <w:b w:val="0"/>
          <w:bCs w:val="0"/>
          <w:iCs/>
          <w:sz w:val="28"/>
          <w:szCs w:val="32"/>
          <w:lang w:val="en-US" w:eastAsia="zh-CN"/>
        </w:rPr>
        <w:t>2.财务表中存货不等于期末商品库存额，即期末商品库存额勿漏报增值税。</w:t>
      </w:r>
    </w:p>
    <w:p>
      <w:pPr>
        <w:pStyle w:val="6"/>
        <w:bidi w:val="0"/>
        <w:rPr>
          <w:rFonts w:hint="eastAsia"/>
          <w:lang w:eastAsia="zh-CN"/>
        </w:rPr>
      </w:pPr>
      <w:bookmarkStart w:id="207" w:name="_Toc17298"/>
      <w:bookmarkStart w:id="208" w:name="_Toc27391"/>
      <w:bookmarkStart w:id="209" w:name="_Toc25668"/>
      <w:bookmarkStart w:id="210" w:name="_Toc15592"/>
      <w:bookmarkStart w:id="211" w:name="_Toc31692"/>
      <w:bookmarkStart w:id="212" w:name="_Toc22064"/>
      <w:bookmarkStart w:id="213" w:name="_Toc4058"/>
      <w:r>
        <w:rPr>
          <w:rFonts w:hint="eastAsia"/>
          <w:lang w:eastAsia="zh-CN"/>
        </w:rPr>
        <w:t>（四）常见问题及处理办法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2"/>
        <w:rPr>
          <w:rFonts w:hint="eastAsia" w:ascii="仿宋_GB2312" w:hAnsi="宋体" w:eastAsia="仿宋_GB2312" w:cs="宋体"/>
          <w:b/>
          <w:sz w:val="28"/>
          <w:szCs w:val="28"/>
        </w:rPr>
      </w:pPr>
      <w:r>
        <w:rPr>
          <w:rFonts w:hint="eastAsia" w:ascii="仿宋_GB2312" w:hAnsi="宋体" w:eastAsia="仿宋_GB2312" w:cs="宋体"/>
          <w:b/>
          <w:sz w:val="28"/>
          <w:szCs w:val="28"/>
          <w:lang w:val="en-US" w:eastAsia="zh-CN"/>
        </w:rPr>
        <w:t>1.</w:t>
      </w:r>
      <w:r>
        <w:rPr>
          <w:rFonts w:hint="eastAsia" w:ascii="仿宋_GB2312" w:hAnsi="宋体" w:eastAsia="仿宋_GB2312" w:cs="宋体"/>
          <w:b/>
          <w:sz w:val="28"/>
          <w:szCs w:val="28"/>
        </w:rPr>
        <w:t>累计折旧&gt;固定资产原价</w:t>
      </w:r>
      <w:bookmarkEnd w:id="207"/>
      <w:bookmarkEnd w:id="208"/>
      <w:bookmarkEnd w:id="209"/>
      <w:bookmarkEnd w:id="210"/>
      <w:bookmarkEnd w:id="211"/>
      <w:bookmarkEnd w:id="212"/>
      <w:bookmarkEnd w:id="213"/>
    </w:p>
    <w:p>
      <w:pPr>
        <w:pStyle w:val="47"/>
        <w:keepNext w:val="0"/>
        <w:keepLines w:val="0"/>
        <w:pageBreakBefore w:val="0"/>
        <w:widowControl w:val="0"/>
        <w:kinsoku/>
        <w:wordWrap/>
        <w:overflowPunct/>
        <w:topLinePunct w:val="0"/>
        <w:autoSpaceDE/>
        <w:autoSpaceDN/>
        <w:bidi w:val="0"/>
        <w:adjustRightInd/>
        <w:snapToGrid/>
        <w:spacing w:line="400" w:lineRule="exact"/>
        <w:ind w:firstLine="562"/>
        <w:jc w:val="left"/>
        <w:textAlignment w:val="auto"/>
        <w:rPr>
          <w:rFonts w:hint="eastAsia" w:ascii="仿宋_GB2312" w:hAnsi="宋体" w:eastAsia="仿宋_GB2312" w:cs="宋体"/>
          <w:b/>
          <w:iCs/>
          <w:sz w:val="28"/>
          <w:szCs w:val="28"/>
        </w:rPr>
      </w:pPr>
      <w:r>
        <w:rPr>
          <w:rFonts w:hint="eastAsia" w:ascii="仿宋_GB2312" w:hAnsi="宋体" w:eastAsia="仿宋_GB2312" w:cs="宋体"/>
          <w:b/>
          <w:iCs/>
          <w:sz w:val="28"/>
          <w:szCs w:val="28"/>
        </w:rPr>
        <w:t>出错原因：</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A.固定资产原价取成了净值</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*固定资产原价-累计折旧-资产减值准备=固定资产净额</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
          <w:bCs w:val="0"/>
          <w:iCs/>
          <w:color w:val="auto"/>
          <w:sz w:val="28"/>
          <w:szCs w:val="28"/>
        </w:rPr>
      </w:pPr>
      <w:r>
        <w:rPr>
          <w:rFonts w:hint="eastAsia" w:ascii="仿宋_GB2312" w:hAnsi="宋体" w:eastAsia="仿宋_GB2312" w:cs="宋体"/>
          <w:b/>
          <w:bCs w:val="0"/>
          <w:iCs/>
          <w:color w:val="auto"/>
          <w:sz w:val="28"/>
          <w:szCs w:val="28"/>
        </w:rPr>
        <w:t>注意：固定资产原价一定要填报原价！</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B.累计折旧未考虑资产清理</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C.固定资产原价漏填</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2"/>
        <w:rPr>
          <w:rFonts w:hint="eastAsia" w:ascii="仿宋_GB2312" w:hAnsi="宋体" w:eastAsia="仿宋_GB2312" w:cs="宋体"/>
          <w:b/>
          <w:sz w:val="28"/>
          <w:szCs w:val="28"/>
        </w:rPr>
      </w:pPr>
      <w:bookmarkStart w:id="214" w:name="_Toc11242"/>
      <w:bookmarkStart w:id="215" w:name="_Toc10155"/>
      <w:bookmarkStart w:id="216" w:name="_Toc4667"/>
      <w:bookmarkStart w:id="217" w:name="_Toc31591"/>
      <w:bookmarkStart w:id="218" w:name="_Toc7522"/>
      <w:bookmarkStart w:id="219" w:name="_Toc8001"/>
      <w:bookmarkStart w:id="220" w:name="_Toc21355"/>
      <w:r>
        <w:rPr>
          <w:rFonts w:hint="eastAsia" w:ascii="仿宋_GB2312" w:hAnsi="宋体" w:eastAsia="仿宋_GB2312" w:cs="宋体"/>
          <w:b/>
          <w:sz w:val="28"/>
          <w:szCs w:val="28"/>
          <w:lang w:val="en-US" w:eastAsia="zh-CN"/>
        </w:rPr>
        <w:t>2.</w:t>
      </w:r>
      <w:r>
        <w:rPr>
          <w:rFonts w:hint="eastAsia" w:ascii="仿宋_GB2312" w:hAnsi="宋体" w:eastAsia="仿宋_GB2312" w:cs="宋体"/>
          <w:b/>
          <w:sz w:val="28"/>
          <w:szCs w:val="28"/>
        </w:rPr>
        <w:t>年初存货=存货</w:t>
      </w:r>
      <w:bookmarkEnd w:id="214"/>
      <w:bookmarkEnd w:id="215"/>
      <w:bookmarkEnd w:id="216"/>
      <w:bookmarkEnd w:id="217"/>
      <w:bookmarkEnd w:id="218"/>
      <w:bookmarkEnd w:id="219"/>
      <w:bookmarkEnd w:id="220"/>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年初存货是期初数，存货是期末数，除非是按需采购的单位，</w:t>
      </w:r>
      <w:r>
        <w:rPr>
          <w:rFonts w:hint="eastAsia" w:ascii="仿宋_GB2312" w:hAnsi="宋体" w:eastAsia="仿宋_GB2312" w:cs="宋体"/>
          <w:bCs/>
          <w:iCs/>
          <w:sz w:val="28"/>
          <w:szCs w:val="28"/>
          <w:lang w:eastAsia="zh-CN"/>
        </w:rPr>
        <w:t>否则两个指标数据不应</w:t>
      </w:r>
      <w:r>
        <w:rPr>
          <w:rFonts w:hint="eastAsia" w:ascii="仿宋_GB2312" w:hAnsi="宋体" w:eastAsia="仿宋_GB2312" w:cs="宋体"/>
          <w:bCs/>
          <w:iCs/>
          <w:sz w:val="28"/>
          <w:szCs w:val="28"/>
        </w:rPr>
        <w:t>完全相等。</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2"/>
        <w:rPr>
          <w:rFonts w:hint="eastAsia" w:ascii="仿宋_GB2312" w:hAnsi="宋体" w:eastAsia="仿宋_GB2312" w:cs="宋体"/>
          <w:b/>
          <w:sz w:val="28"/>
          <w:szCs w:val="28"/>
        </w:rPr>
      </w:pPr>
      <w:bookmarkStart w:id="221" w:name="_Toc5850"/>
      <w:bookmarkStart w:id="222" w:name="_Toc18463"/>
      <w:bookmarkStart w:id="223" w:name="_Toc7266"/>
      <w:bookmarkStart w:id="224" w:name="_Toc23331"/>
      <w:bookmarkStart w:id="225" w:name="_Toc7040"/>
      <w:bookmarkStart w:id="226" w:name="_Toc2945"/>
      <w:bookmarkStart w:id="227" w:name="_Toc14381"/>
      <w:r>
        <w:rPr>
          <w:rFonts w:hint="eastAsia" w:ascii="仿宋_GB2312" w:hAnsi="宋体" w:eastAsia="仿宋_GB2312" w:cs="宋体"/>
          <w:b/>
          <w:sz w:val="28"/>
          <w:szCs w:val="28"/>
          <w:lang w:val="en-US" w:eastAsia="zh-CN"/>
        </w:rPr>
        <w:t>3.</w:t>
      </w:r>
      <w:r>
        <w:rPr>
          <w:rFonts w:hint="eastAsia" w:ascii="仿宋_GB2312" w:hAnsi="宋体" w:eastAsia="仿宋_GB2312" w:cs="宋体"/>
          <w:b/>
          <w:sz w:val="28"/>
          <w:szCs w:val="28"/>
        </w:rPr>
        <w:t>本年折旧&lt;</w:t>
      </w:r>
      <w:r>
        <w:rPr>
          <w:rFonts w:hint="default" w:ascii="Times New Roman" w:hAnsi="Times New Roman" w:eastAsia="仿宋_GB2312" w:cs="Times New Roman"/>
          <w:b/>
          <w:sz w:val="28"/>
          <w:szCs w:val="28"/>
        </w:rPr>
        <w:t>0</w:t>
      </w:r>
      <w:bookmarkEnd w:id="221"/>
      <w:bookmarkEnd w:id="222"/>
      <w:bookmarkEnd w:id="223"/>
      <w:bookmarkEnd w:id="224"/>
      <w:bookmarkEnd w:id="225"/>
      <w:bookmarkEnd w:id="226"/>
      <w:bookmarkEnd w:id="227"/>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本年折旧指在报告期内提取的固定资产折旧合计数</w:t>
      </w:r>
      <w:r>
        <w:rPr>
          <w:rFonts w:hint="eastAsia" w:ascii="仿宋_GB2312" w:hAnsi="宋体" w:eastAsia="仿宋_GB2312" w:cs="宋体"/>
          <w:bCs/>
          <w:iCs/>
          <w:sz w:val="28"/>
          <w:szCs w:val="28"/>
          <w:lang w:eastAsia="zh-CN"/>
        </w:rPr>
        <w:t>，</w:t>
      </w:r>
      <w:r>
        <w:rPr>
          <w:rFonts w:hint="eastAsia" w:ascii="仿宋_GB2312" w:hAnsi="宋体" w:eastAsia="仿宋_GB2312" w:cs="宋体"/>
          <w:bCs/>
          <w:iCs/>
          <w:sz w:val="28"/>
          <w:szCs w:val="28"/>
        </w:rPr>
        <w:t>切勿填成“累计折旧”或者用“累计折旧”期末数减期初数倒挤。</w:t>
      </w:r>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iCs/>
          <w:sz w:val="28"/>
          <w:szCs w:val="28"/>
        </w:rPr>
      </w:pPr>
      <w:r>
        <w:rPr>
          <w:rFonts w:hint="eastAsia" w:ascii="仿宋_GB2312" w:hAnsi="宋体" w:eastAsia="仿宋_GB2312" w:cs="宋体"/>
          <w:bCs/>
          <w:iCs/>
          <w:sz w:val="28"/>
          <w:szCs w:val="28"/>
        </w:rPr>
        <w:t>本年折旧不能冲减，也不要漏填。固定资产报废处理，清理旧的固定资产，本年折旧可以为负数，但是累计折旧是不能出现负数的。</w:t>
      </w:r>
    </w:p>
    <w:p>
      <w:pPr>
        <w:pStyle w:val="47"/>
        <w:keepNext w:val="0"/>
        <w:keepLines w:val="0"/>
        <w:pageBreakBefore w:val="0"/>
        <w:widowControl w:val="0"/>
        <w:kinsoku/>
        <w:wordWrap/>
        <w:overflowPunct/>
        <w:topLinePunct w:val="0"/>
        <w:autoSpaceDE/>
        <w:autoSpaceDN/>
        <w:bidi w:val="0"/>
        <w:adjustRightInd/>
        <w:snapToGrid/>
        <w:spacing w:line="400" w:lineRule="exact"/>
        <w:ind w:firstLine="562"/>
        <w:jc w:val="left"/>
        <w:textAlignment w:val="auto"/>
        <w:outlineLvl w:val="2"/>
        <w:rPr>
          <w:rFonts w:hint="eastAsia" w:ascii="仿宋_GB2312" w:hAnsi="宋体" w:eastAsia="仿宋_GB2312" w:cs="宋体"/>
          <w:bCs/>
          <w:iCs/>
          <w:sz w:val="28"/>
          <w:szCs w:val="28"/>
        </w:rPr>
      </w:pPr>
      <w:bookmarkStart w:id="228" w:name="_Toc19343"/>
      <w:bookmarkStart w:id="229" w:name="_Toc19013"/>
      <w:bookmarkStart w:id="230" w:name="_Toc5253"/>
      <w:bookmarkStart w:id="231" w:name="_Toc8013"/>
      <w:bookmarkStart w:id="232" w:name="_Toc3052"/>
      <w:bookmarkStart w:id="233" w:name="_Toc5994"/>
      <w:bookmarkStart w:id="234" w:name="_Toc19415"/>
      <w:r>
        <w:rPr>
          <w:rFonts w:hint="eastAsia" w:ascii="仿宋_GB2312" w:hAnsi="宋体" w:eastAsia="仿宋_GB2312" w:cs="宋体"/>
          <w:b/>
          <w:sz w:val="28"/>
          <w:szCs w:val="28"/>
          <w:lang w:val="en-US" w:eastAsia="zh-CN"/>
        </w:rPr>
        <w:t>4.</w:t>
      </w:r>
      <w:r>
        <w:rPr>
          <w:rFonts w:hint="eastAsia" w:ascii="仿宋_GB2312" w:hAnsi="宋体" w:eastAsia="仿宋_GB2312" w:cs="宋体"/>
          <w:b/>
          <w:sz w:val="28"/>
          <w:szCs w:val="28"/>
          <w:lang w:eastAsia="zh-CN"/>
        </w:rPr>
        <w:t>当期</w:t>
      </w:r>
      <w:r>
        <w:rPr>
          <w:rFonts w:hint="eastAsia" w:ascii="仿宋_GB2312" w:hAnsi="宋体" w:eastAsia="仿宋_GB2312" w:cs="宋体"/>
          <w:b/>
          <w:sz w:val="28"/>
          <w:szCs w:val="28"/>
        </w:rPr>
        <w:t>数据小于上期</w:t>
      </w:r>
      <w:bookmarkEnd w:id="228"/>
      <w:bookmarkEnd w:id="229"/>
      <w:bookmarkEnd w:id="230"/>
      <w:bookmarkEnd w:id="231"/>
      <w:bookmarkEnd w:id="232"/>
      <w:bookmarkEnd w:id="233"/>
      <w:bookmarkEnd w:id="234"/>
    </w:p>
    <w:p>
      <w:pPr>
        <w:pStyle w:val="47"/>
        <w:keepNext w:val="0"/>
        <w:keepLines w:val="0"/>
        <w:pageBreakBefore w:val="0"/>
        <w:widowControl w:val="0"/>
        <w:kinsoku/>
        <w:wordWrap/>
        <w:overflowPunct/>
        <w:topLinePunct w:val="0"/>
        <w:autoSpaceDE/>
        <w:autoSpaceDN/>
        <w:bidi w:val="0"/>
        <w:adjustRightInd/>
        <w:snapToGrid/>
        <w:spacing w:line="400" w:lineRule="exact"/>
        <w:ind w:firstLine="560"/>
        <w:jc w:val="left"/>
        <w:textAlignment w:val="auto"/>
        <w:rPr>
          <w:rFonts w:hint="eastAsia" w:ascii="仿宋_GB2312" w:hAnsi="宋体" w:eastAsia="仿宋_GB2312" w:cs="宋体"/>
          <w:bCs/>
          <w:sz w:val="28"/>
          <w:szCs w:val="28"/>
        </w:rPr>
      </w:pPr>
      <w:r>
        <w:rPr>
          <w:rFonts w:hint="eastAsia" w:ascii="仿宋_GB2312" w:hAnsi="宋体" w:eastAsia="仿宋_GB2312" w:cs="宋体"/>
          <w:bCs/>
          <w:sz w:val="28"/>
          <w:szCs w:val="28"/>
        </w:rPr>
        <w:t>营业收入等指标应上报累计数，一般不应比上月累计数少，</w:t>
      </w:r>
      <w:r>
        <w:rPr>
          <w:rFonts w:hint="eastAsia" w:ascii="仿宋_GB2312" w:hAnsi="宋体" w:eastAsia="仿宋_GB2312" w:cs="宋体"/>
          <w:bCs/>
          <w:sz w:val="28"/>
          <w:szCs w:val="28"/>
          <w:lang w:eastAsia="zh-CN"/>
        </w:rPr>
        <w:t>切忌</w:t>
      </w:r>
      <w:r>
        <w:rPr>
          <w:rFonts w:hint="eastAsia" w:ascii="仿宋_GB2312" w:hAnsi="宋体" w:eastAsia="仿宋_GB2312" w:cs="宋体"/>
          <w:bCs/>
          <w:sz w:val="28"/>
          <w:szCs w:val="28"/>
        </w:rPr>
        <w:t>报成当月或当季度数据。</w:t>
      </w:r>
    </w:p>
    <w:p>
      <w:pPr>
        <w:pStyle w:val="4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jc w:val="left"/>
        <w:textAlignment w:val="auto"/>
        <w:rPr>
          <w:rFonts w:hint="eastAsia" w:ascii="仿宋_GB2312" w:hAnsi="仿宋" w:eastAsia="仿宋_GB2312"/>
          <w:b w:val="0"/>
          <w:bCs/>
          <w:iCs/>
          <w:sz w:val="28"/>
          <w:szCs w:val="28"/>
          <w:highlight w:val="none"/>
          <w:lang w:eastAsia="zh-CN"/>
        </w:rPr>
      </w:pPr>
      <w:r>
        <w:rPr>
          <w:rFonts w:hint="eastAsia" w:ascii="仿宋_GB2312" w:hAnsi="宋体" w:eastAsia="仿宋_GB2312" w:cs="宋体"/>
          <w:b/>
          <w:bCs w:val="0"/>
          <w:sz w:val="28"/>
          <w:szCs w:val="28"/>
          <w:lang w:val="en-US" w:eastAsia="zh-CN"/>
        </w:rPr>
        <w:t>4.</w:t>
      </w:r>
      <w:r>
        <w:rPr>
          <w:rFonts w:hint="eastAsia" w:ascii="仿宋_GB2312" w:hAnsi="宋体" w:eastAsia="仿宋_GB2312" w:cs="宋体"/>
          <w:b/>
          <w:bCs w:val="0"/>
          <w:sz w:val="28"/>
          <w:szCs w:val="28"/>
          <w:lang w:eastAsia="zh-CN"/>
        </w:rPr>
        <w:t>漏填指标、数据极值</w:t>
      </w:r>
    </w:p>
    <w:p>
      <w:pPr>
        <w:pStyle w:val="5"/>
        <w:rPr>
          <w:lang w:val="en-US" w:eastAsia="zh-CN"/>
        </w:rPr>
      </w:pPr>
      <w:bookmarkStart w:id="235" w:name="_Toc27043626"/>
      <w:bookmarkStart w:id="236" w:name="_Toc5168"/>
      <w:bookmarkStart w:id="237" w:name="_Toc6753"/>
      <w:r>
        <w:rPr>
          <w:rFonts w:hint="eastAsia"/>
          <w:lang w:val="en-US" w:eastAsia="zh-CN"/>
        </w:rPr>
        <w:t>三、生产经营</w:t>
      </w:r>
      <w:r>
        <w:rPr>
          <w:lang w:val="en-US" w:eastAsia="zh-CN"/>
        </w:rPr>
        <w:t>景气状况</w:t>
      </w:r>
      <w:r>
        <w:rPr>
          <w:rFonts w:hint="eastAsia"/>
          <w:lang w:val="en-US" w:eastAsia="zh-CN"/>
        </w:rPr>
        <w:t>（E210表）</w:t>
      </w:r>
      <w:bookmarkEnd w:id="235"/>
      <w:bookmarkEnd w:id="236"/>
      <w:bookmarkEnd w:id="237"/>
    </w:p>
    <w:p>
      <w:pPr>
        <w:pStyle w:val="6"/>
        <w:rPr>
          <w:rFonts w:ascii="仿宋_GB2312" w:hAnsi="仿宋" w:eastAsia="仿宋_GB2312"/>
          <w:bCs/>
          <w:iCs/>
          <w:sz w:val="28"/>
          <w:szCs w:val="28"/>
        </w:rPr>
      </w:pPr>
      <w:r>
        <w:rPr>
          <w:rFonts w:hint="eastAsia" w:ascii="仿宋_GB2312" w:hAnsi="仿宋" w:eastAsia="仿宋_GB2312" w:cs="Times New Roman"/>
          <w:b w:val="0"/>
          <w:bCs/>
          <w:iCs/>
          <w:kern w:val="2"/>
          <w:sz w:val="28"/>
          <w:szCs w:val="28"/>
          <w:lang w:val="en-US" w:eastAsia="zh-CN" w:bidi="ar-SA"/>
        </w:rPr>
        <w:t>报送范围</w:t>
      </w:r>
      <w:r>
        <w:rPr>
          <w:rFonts w:hint="eastAsia" w:ascii="仿宋_GB2312" w:hAnsi="仿宋" w:cs="Times New Roman"/>
          <w:b w:val="0"/>
          <w:bCs/>
          <w:iCs/>
          <w:kern w:val="2"/>
          <w:sz w:val="28"/>
          <w:szCs w:val="28"/>
          <w:lang w:val="en-US" w:eastAsia="zh-CN" w:bidi="ar-SA"/>
        </w:rPr>
        <w:t>：</w:t>
      </w:r>
      <w:r>
        <w:rPr>
          <w:rFonts w:hint="eastAsia" w:ascii="仿宋_GB2312" w:hAnsi="仿宋" w:eastAsia="仿宋_GB2312"/>
          <w:bCs/>
          <w:iCs/>
          <w:sz w:val="28"/>
          <w:szCs w:val="28"/>
        </w:rPr>
        <w:t>辖区内大型和部分中小型批发和零售业企业</w:t>
      </w:r>
    </w:p>
    <w:p>
      <w:pPr>
        <w:pStyle w:val="35"/>
        <w:spacing w:line="0" w:lineRule="atLeast"/>
        <w:ind w:firstLine="560"/>
      </w:pPr>
    </w:p>
    <w:sectPr>
      <w:headerReference r:id="rId3" w:type="default"/>
      <w:footerReference r:id="rId5" w:type="default"/>
      <w:headerReference r:id="rId4" w:type="even"/>
      <w:footerReference r:id="rId6" w:type="even"/>
      <w:pgSz w:w="11907" w:h="16840"/>
      <w:pgMar w:top="1134" w:right="1134" w:bottom="1134" w:left="1134" w:header="567" w:footer="454"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entury">
    <w:panose1 w:val="0204060405050502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Nimbus Roman No9 L">
    <w:altName w:val="Segoe Print"/>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 w:name="华文楷体">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汉仪大宋简">
    <w:altName w:val="宋体"/>
    <w:panose1 w:val="02010609000101010101"/>
    <w:charset w:val="86"/>
    <w:family w:val="modern"/>
    <w:pitch w:val="default"/>
    <w:sig w:usb0="00000000" w:usb1="00000000" w:usb2="00000012" w:usb3="00000000" w:csb0="00040000" w:csb1="00000000"/>
  </w:font>
  <w:font w:name="E-BZ-PK748dd-Identity-H">
    <w:altName w:val="宋体"/>
    <w:panose1 w:val="00000000000000000000"/>
    <w:charset w:val="86"/>
    <w:family w:val="auto"/>
    <w:pitch w:val="default"/>
    <w:sig w:usb0="00000000" w:usb1="00000000" w:usb2="00000010" w:usb3="00000000" w:csb0="00040000" w:csb1="00000000"/>
  </w:font>
  <w:font w:name="SSJ-PK748200000a8-Identity-H">
    <w:altName w:val="方正舒体"/>
    <w:panose1 w:val="00000000000000000000"/>
    <w:charset w:val="86"/>
    <w:family w:val="auto"/>
    <w:pitch w:val="default"/>
    <w:sig w:usb0="00000000" w:usb1="00000000" w:usb2="00000010" w:usb3="00000000" w:csb0="00040000" w:csb1="00000000"/>
  </w:font>
  <w:font w:name="Segoe UI">
    <w:panose1 w:val="020B0502040204020203"/>
    <w:charset w:val="00"/>
    <w:family w:val="auto"/>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方正舒体">
    <w:panose1 w:val="02010601030101010101"/>
    <w:charset w:val="86"/>
    <w:family w:val="auto"/>
    <w:pitch w:val="default"/>
    <w:sig w:usb0="00000003"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jc w:val="center"/>
      <w:rPr>
        <w:sz w:val="21"/>
      </w:rPr>
    </w:pPr>
    <w:r>
      <w:rPr>
        <w:rFonts w:hint="eastAsia"/>
        <w:sz w:val="21"/>
      </w:rPr>
      <w:t>批发和零售业培训要点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left"/>
      <w:rPr>
        <w:sz w:val="28"/>
      </w:rPr>
    </w:pPr>
    <w:r>
      <w:rPr>
        <w:rFonts w:hint="eastAsia" w:ascii="宋体" w:hAnsi="宋体"/>
        <w:sz w:val="21"/>
      </w:rPr>
      <w:t>-</w:t>
    </w:r>
    <w:r>
      <w:rPr>
        <w:rFonts w:ascii="宋体" w:hAnsi="宋体"/>
        <w:sz w:val="21"/>
      </w:rPr>
      <w:fldChar w:fldCharType="begin"/>
    </w:r>
    <w:r>
      <w:rPr>
        <w:rFonts w:ascii="宋体" w:hAnsi="宋体"/>
        <w:sz w:val="21"/>
      </w:rPr>
      <w:instrText xml:space="preserve">PAGE   \* MERGEFORMAT</w:instrText>
    </w:r>
    <w:r>
      <w:rPr>
        <w:rFonts w:ascii="宋体" w:hAnsi="宋体"/>
        <w:sz w:val="21"/>
      </w:rPr>
      <w:fldChar w:fldCharType="separate"/>
    </w:r>
    <w:r>
      <w:rPr>
        <w:rFonts w:ascii="宋体" w:hAnsi="宋体"/>
        <w:sz w:val="21"/>
        <w:lang w:val="zh-CN"/>
      </w:rPr>
      <w:t>2</w:t>
    </w:r>
    <w:r>
      <w:rPr>
        <w:rFonts w:ascii="宋体" w:hAnsi="宋体"/>
        <w:sz w:val="21"/>
      </w:rPr>
      <w:fldChar w:fldCharType="end"/>
    </w:r>
    <w:r>
      <w:rPr>
        <w:rFonts w:hint="eastAsia" w:ascii="宋体" w:hAnsi="宋体"/>
        <w:sz w:val="21"/>
      </w:rPr>
      <w:t>-</w:t>
    </w:r>
    <w:r>
      <w:rPr>
        <w:rFonts w:ascii="宋体" w:hAnsi="宋体"/>
        <w:sz w:val="21"/>
      </w:rPr>
      <w:tab/>
    </w:r>
    <w:r>
      <w:rPr>
        <w:rFonts w:ascii="宋体" w:hAnsi="宋体"/>
        <w:sz w:val="21"/>
      </w:rPr>
      <w:t xml:space="preserve">          </w:t>
    </w:r>
    <w:r>
      <w:rPr>
        <w:rFonts w:hint="eastAsia"/>
        <w:sz w:val="21"/>
      </w:rPr>
      <w:t>批发和零售业、住宿和餐饮业培训要点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9F0ED7"/>
    <w:multiLevelType w:val="singleLevel"/>
    <w:tmpl w:val="979F0ED7"/>
    <w:lvl w:ilvl="0" w:tentative="0">
      <w:start w:val="1"/>
      <w:numFmt w:val="decimal"/>
      <w:suff w:val="nothing"/>
      <w:lvlText w:val="（%1）"/>
      <w:lvlJc w:val="left"/>
    </w:lvl>
  </w:abstractNum>
  <w:abstractNum w:abstractNumId="1">
    <w:nsid w:val="D35A3EEF"/>
    <w:multiLevelType w:val="singleLevel"/>
    <w:tmpl w:val="D35A3EEF"/>
    <w:lvl w:ilvl="0" w:tentative="0">
      <w:start w:val="1"/>
      <w:numFmt w:val="bullet"/>
      <w:lvlText w:val=""/>
      <w:lvlJc w:val="left"/>
      <w:pPr>
        <w:tabs>
          <w:tab w:val="left" w:pos="420"/>
        </w:tabs>
        <w:ind w:left="840" w:hanging="420"/>
      </w:pPr>
      <w:rPr>
        <w:rFonts w:hint="default" w:ascii="Wingdings" w:hAnsi="Wingdings"/>
      </w:rPr>
    </w:lvl>
  </w:abstractNum>
  <w:abstractNum w:abstractNumId="2">
    <w:nsid w:val="25903E4B"/>
    <w:multiLevelType w:val="multilevel"/>
    <w:tmpl w:val="25903E4B"/>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3">
    <w:nsid w:val="58836784"/>
    <w:multiLevelType w:val="multilevel"/>
    <w:tmpl w:val="588367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75802FF"/>
    <w:multiLevelType w:val="singleLevel"/>
    <w:tmpl w:val="675802FF"/>
    <w:lvl w:ilvl="0" w:tentative="0">
      <w:start w:val="3"/>
      <w:numFmt w:val="decimal"/>
      <w:suff w:val="nothing"/>
      <w:lvlText w:val="（%1）"/>
      <w:lvlJc w:val="left"/>
    </w:lvl>
  </w:abstractNum>
  <w:abstractNum w:abstractNumId="5">
    <w:nsid w:val="67580379"/>
    <w:multiLevelType w:val="singleLevel"/>
    <w:tmpl w:val="67580379"/>
    <w:lvl w:ilvl="0" w:tentative="0">
      <w:start w:val="1"/>
      <w:numFmt w:val="upperLetter"/>
      <w:suff w:val="nothing"/>
      <w:lvlText w:val="%1."/>
      <w:lvlJc w:val="left"/>
    </w:lvl>
  </w:abstractNum>
  <w:abstractNum w:abstractNumId="6">
    <w:nsid w:val="675803CD"/>
    <w:multiLevelType w:val="singleLevel"/>
    <w:tmpl w:val="675803CD"/>
    <w:lvl w:ilvl="0" w:tentative="0">
      <w:start w:val="5"/>
      <w:numFmt w:val="decimal"/>
      <w:suff w:val="nothing"/>
      <w:lvlText w:val="（%1）"/>
      <w:lvlJc w:val="left"/>
    </w:lvl>
  </w:abstractNum>
  <w:abstractNum w:abstractNumId="7">
    <w:nsid w:val="6758EA85"/>
    <w:multiLevelType w:val="singleLevel"/>
    <w:tmpl w:val="6758EA85"/>
    <w:lvl w:ilvl="0" w:tentative="0">
      <w:start w:val="8"/>
      <w:numFmt w:val="decimal"/>
      <w:suff w:val="nothing"/>
      <w:lvlText w:val="%1."/>
      <w:lvlJc w:val="left"/>
    </w:lvl>
  </w:abstractNum>
  <w:abstractNum w:abstractNumId="8">
    <w:nsid w:val="6758EE74"/>
    <w:multiLevelType w:val="singleLevel"/>
    <w:tmpl w:val="6758EE74"/>
    <w:lvl w:ilvl="0" w:tentative="0">
      <w:start w:val="6"/>
      <w:numFmt w:val="decimal"/>
      <w:suff w:val="nothing"/>
      <w:lvlText w:val="%1."/>
      <w:lvlJc w:val="left"/>
    </w:lvl>
  </w:abstractNum>
  <w:abstractNum w:abstractNumId="9">
    <w:nsid w:val="6758EE9C"/>
    <w:multiLevelType w:val="singleLevel"/>
    <w:tmpl w:val="6758EE9C"/>
    <w:lvl w:ilvl="0" w:tentative="0">
      <w:start w:val="1"/>
      <w:numFmt w:val="bullet"/>
      <w:lvlText w:val=""/>
      <w:lvlJc w:val="left"/>
      <w:pPr>
        <w:ind w:left="420" w:leftChars="0" w:hanging="420" w:firstLineChars="0"/>
      </w:pPr>
      <w:rPr>
        <w:rFonts w:hint="default" w:ascii="Wingdings" w:hAnsi="Wingdings"/>
      </w:rPr>
    </w:lvl>
  </w:abstractNum>
  <w:abstractNum w:abstractNumId="10">
    <w:nsid w:val="6758F096"/>
    <w:multiLevelType w:val="singleLevel"/>
    <w:tmpl w:val="6758F096"/>
    <w:lvl w:ilvl="0" w:tentative="0">
      <w:start w:val="1"/>
      <w:numFmt w:val="bullet"/>
      <w:lvlText w:val=""/>
      <w:lvlJc w:val="left"/>
      <w:pPr>
        <w:ind w:left="420" w:leftChars="0" w:hanging="420" w:firstLineChars="0"/>
      </w:pPr>
      <w:rPr>
        <w:rFonts w:hint="default" w:ascii="Wingdings" w:hAnsi="Wingdings"/>
      </w:rPr>
    </w:lvl>
  </w:abstractNum>
  <w:abstractNum w:abstractNumId="11">
    <w:nsid w:val="6759351F"/>
    <w:multiLevelType w:val="singleLevel"/>
    <w:tmpl w:val="6759351F"/>
    <w:lvl w:ilvl="0" w:tentative="0">
      <w:start w:val="7"/>
      <w:numFmt w:val="decimal"/>
      <w:suff w:val="nothing"/>
      <w:lvlText w:val="%1."/>
      <w:lvlJc w:val="left"/>
    </w:lvl>
  </w:abstractNum>
  <w:abstractNum w:abstractNumId="12">
    <w:nsid w:val="6759452F"/>
    <w:multiLevelType w:val="singleLevel"/>
    <w:tmpl w:val="6759452F"/>
    <w:lvl w:ilvl="0" w:tentative="0">
      <w:start w:val="1"/>
      <w:numFmt w:val="bullet"/>
      <w:lvlText w:val=""/>
      <w:lvlJc w:val="left"/>
      <w:pPr>
        <w:ind w:left="420" w:leftChars="0" w:hanging="420" w:firstLineChars="0"/>
      </w:pPr>
      <w:rPr>
        <w:rFonts w:hint="default" w:ascii="Wingdings" w:hAnsi="Wingdings"/>
      </w:rPr>
    </w:lvl>
  </w:abstractNum>
  <w:abstractNum w:abstractNumId="13">
    <w:nsid w:val="766A1323"/>
    <w:multiLevelType w:val="singleLevel"/>
    <w:tmpl w:val="766A1323"/>
    <w:lvl w:ilvl="0" w:tentative="0">
      <w:start w:val="2"/>
      <w:numFmt w:val="decimal"/>
      <w:lvlText w:val="%1."/>
      <w:lvlJc w:val="left"/>
      <w:pPr>
        <w:tabs>
          <w:tab w:val="left" w:pos="312"/>
        </w:tabs>
      </w:pPr>
    </w:lvl>
  </w:abstractNum>
  <w:num w:numId="1">
    <w:abstractNumId w:val="0"/>
  </w:num>
  <w:num w:numId="2">
    <w:abstractNumId w:val="13"/>
  </w:num>
  <w:num w:numId="3">
    <w:abstractNumId w:val="4"/>
  </w:num>
  <w:num w:numId="4">
    <w:abstractNumId w:val="5"/>
  </w:num>
  <w:num w:numId="5">
    <w:abstractNumId w:val="6"/>
  </w:num>
  <w:num w:numId="6">
    <w:abstractNumId w:val="1"/>
  </w:num>
  <w:num w:numId="7">
    <w:abstractNumId w:val="3"/>
  </w:num>
  <w:num w:numId="8">
    <w:abstractNumId w:val="7"/>
  </w:num>
  <w:num w:numId="9">
    <w:abstractNumId w:val="2"/>
  </w:num>
  <w:num w:numId="10">
    <w:abstractNumId w:val="8"/>
  </w:num>
  <w:num w:numId="11">
    <w:abstractNumId w:val="9"/>
  </w:num>
  <w:num w:numId="12">
    <w:abstractNumId w:val="1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hideSpellingErrors/>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4E69"/>
    <w:rsid w:val="000015C9"/>
    <w:rsid w:val="0000250F"/>
    <w:rsid w:val="00005349"/>
    <w:rsid w:val="00005643"/>
    <w:rsid w:val="00007667"/>
    <w:rsid w:val="00010BB7"/>
    <w:rsid w:val="00011365"/>
    <w:rsid w:val="00013AD0"/>
    <w:rsid w:val="00014173"/>
    <w:rsid w:val="00015322"/>
    <w:rsid w:val="000158B1"/>
    <w:rsid w:val="00016C34"/>
    <w:rsid w:val="00017065"/>
    <w:rsid w:val="0002013B"/>
    <w:rsid w:val="0002063E"/>
    <w:rsid w:val="00020C08"/>
    <w:rsid w:val="000220AC"/>
    <w:rsid w:val="00022B17"/>
    <w:rsid w:val="00022FE7"/>
    <w:rsid w:val="00023E23"/>
    <w:rsid w:val="00025D07"/>
    <w:rsid w:val="00025EB0"/>
    <w:rsid w:val="0002704E"/>
    <w:rsid w:val="00027689"/>
    <w:rsid w:val="00027C99"/>
    <w:rsid w:val="0003155C"/>
    <w:rsid w:val="000323B3"/>
    <w:rsid w:val="000327FA"/>
    <w:rsid w:val="00033BDD"/>
    <w:rsid w:val="00035305"/>
    <w:rsid w:val="000364E1"/>
    <w:rsid w:val="00036DE1"/>
    <w:rsid w:val="00037B45"/>
    <w:rsid w:val="00037E76"/>
    <w:rsid w:val="00040FE3"/>
    <w:rsid w:val="00044490"/>
    <w:rsid w:val="00044C54"/>
    <w:rsid w:val="000463AE"/>
    <w:rsid w:val="00051F6F"/>
    <w:rsid w:val="000537AF"/>
    <w:rsid w:val="00053D6D"/>
    <w:rsid w:val="000544B6"/>
    <w:rsid w:val="00057283"/>
    <w:rsid w:val="00060FFA"/>
    <w:rsid w:val="00061834"/>
    <w:rsid w:val="00064755"/>
    <w:rsid w:val="00064E5B"/>
    <w:rsid w:val="00064F00"/>
    <w:rsid w:val="00065627"/>
    <w:rsid w:val="00065BEA"/>
    <w:rsid w:val="000667D1"/>
    <w:rsid w:val="00067BCA"/>
    <w:rsid w:val="0007033D"/>
    <w:rsid w:val="000709AD"/>
    <w:rsid w:val="00073EFF"/>
    <w:rsid w:val="000754B6"/>
    <w:rsid w:val="000768EC"/>
    <w:rsid w:val="00076EF0"/>
    <w:rsid w:val="00082569"/>
    <w:rsid w:val="000834A5"/>
    <w:rsid w:val="00083D7D"/>
    <w:rsid w:val="00084CA5"/>
    <w:rsid w:val="00085EBD"/>
    <w:rsid w:val="00087A5C"/>
    <w:rsid w:val="00087E7D"/>
    <w:rsid w:val="000916E4"/>
    <w:rsid w:val="00091B94"/>
    <w:rsid w:val="00091DC3"/>
    <w:rsid w:val="00092528"/>
    <w:rsid w:val="00092C72"/>
    <w:rsid w:val="00093552"/>
    <w:rsid w:val="000937C0"/>
    <w:rsid w:val="00093900"/>
    <w:rsid w:val="00093BC1"/>
    <w:rsid w:val="00093FF2"/>
    <w:rsid w:val="000945F7"/>
    <w:rsid w:val="00095EC5"/>
    <w:rsid w:val="000A16F8"/>
    <w:rsid w:val="000A2A48"/>
    <w:rsid w:val="000A50C2"/>
    <w:rsid w:val="000B0326"/>
    <w:rsid w:val="000B13A2"/>
    <w:rsid w:val="000B2100"/>
    <w:rsid w:val="000B7A7E"/>
    <w:rsid w:val="000C1236"/>
    <w:rsid w:val="000C1F17"/>
    <w:rsid w:val="000C2423"/>
    <w:rsid w:val="000C336D"/>
    <w:rsid w:val="000C3D1A"/>
    <w:rsid w:val="000C78BB"/>
    <w:rsid w:val="000D0463"/>
    <w:rsid w:val="000D398F"/>
    <w:rsid w:val="000D6370"/>
    <w:rsid w:val="000D6659"/>
    <w:rsid w:val="000D7ECE"/>
    <w:rsid w:val="000E2731"/>
    <w:rsid w:val="000E4349"/>
    <w:rsid w:val="000E481A"/>
    <w:rsid w:val="000E4B4E"/>
    <w:rsid w:val="000E4CEF"/>
    <w:rsid w:val="000E76FE"/>
    <w:rsid w:val="000E7CFA"/>
    <w:rsid w:val="000F313A"/>
    <w:rsid w:val="000F319C"/>
    <w:rsid w:val="000F3771"/>
    <w:rsid w:val="000F3F93"/>
    <w:rsid w:val="000F3FE0"/>
    <w:rsid w:val="000F4500"/>
    <w:rsid w:val="000F48CC"/>
    <w:rsid w:val="000F4F66"/>
    <w:rsid w:val="000F6167"/>
    <w:rsid w:val="001000BB"/>
    <w:rsid w:val="00101B79"/>
    <w:rsid w:val="00103D23"/>
    <w:rsid w:val="001058A2"/>
    <w:rsid w:val="001067DF"/>
    <w:rsid w:val="00110507"/>
    <w:rsid w:val="00111FB7"/>
    <w:rsid w:val="001120F3"/>
    <w:rsid w:val="001155F3"/>
    <w:rsid w:val="0011590F"/>
    <w:rsid w:val="001166BB"/>
    <w:rsid w:val="001166F4"/>
    <w:rsid w:val="00120122"/>
    <w:rsid w:val="00120B34"/>
    <w:rsid w:val="00121834"/>
    <w:rsid w:val="00121BDA"/>
    <w:rsid w:val="00124924"/>
    <w:rsid w:val="00126974"/>
    <w:rsid w:val="00131494"/>
    <w:rsid w:val="00132AFD"/>
    <w:rsid w:val="00133221"/>
    <w:rsid w:val="001337B3"/>
    <w:rsid w:val="00135402"/>
    <w:rsid w:val="00135685"/>
    <w:rsid w:val="00140C73"/>
    <w:rsid w:val="00141960"/>
    <w:rsid w:val="00146DCA"/>
    <w:rsid w:val="00146EB4"/>
    <w:rsid w:val="0014721E"/>
    <w:rsid w:val="001502E7"/>
    <w:rsid w:val="00150C28"/>
    <w:rsid w:val="001510EB"/>
    <w:rsid w:val="001528B7"/>
    <w:rsid w:val="00154B01"/>
    <w:rsid w:val="0015578B"/>
    <w:rsid w:val="00160D3A"/>
    <w:rsid w:val="00162F5E"/>
    <w:rsid w:val="00162F8B"/>
    <w:rsid w:val="00164747"/>
    <w:rsid w:val="00172A05"/>
    <w:rsid w:val="00172C29"/>
    <w:rsid w:val="00173C3A"/>
    <w:rsid w:val="00175FF6"/>
    <w:rsid w:val="00176C04"/>
    <w:rsid w:val="00177FDC"/>
    <w:rsid w:val="001807D1"/>
    <w:rsid w:val="00180AD8"/>
    <w:rsid w:val="001815F7"/>
    <w:rsid w:val="00181DE0"/>
    <w:rsid w:val="00182064"/>
    <w:rsid w:val="00184586"/>
    <w:rsid w:val="00186D95"/>
    <w:rsid w:val="0019249E"/>
    <w:rsid w:val="001929AD"/>
    <w:rsid w:val="0019437A"/>
    <w:rsid w:val="001949AD"/>
    <w:rsid w:val="001957C7"/>
    <w:rsid w:val="00196E51"/>
    <w:rsid w:val="00196ECF"/>
    <w:rsid w:val="001A1291"/>
    <w:rsid w:val="001A308B"/>
    <w:rsid w:val="001A6534"/>
    <w:rsid w:val="001A6846"/>
    <w:rsid w:val="001B0339"/>
    <w:rsid w:val="001B0513"/>
    <w:rsid w:val="001B1AE1"/>
    <w:rsid w:val="001B5549"/>
    <w:rsid w:val="001B5BE8"/>
    <w:rsid w:val="001B720A"/>
    <w:rsid w:val="001C0496"/>
    <w:rsid w:val="001C0B81"/>
    <w:rsid w:val="001C0EA7"/>
    <w:rsid w:val="001C0FFA"/>
    <w:rsid w:val="001C1342"/>
    <w:rsid w:val="001C630D"/>
    <w:rsid w:val="001C6518"/>
    <w:rsid w:val="001D157D"/>
    <w:rsid w:val="001D5F8E"/>
    <w:rsid w:val="001D7A39"/>
    <w:rsid w:val="001E077A"/>
    <w:rsid w:val="001E0877"/>
    <w:rsid w:val="001E1761"/>
    <w:rsid w:val="001E2100"/>
    <w:rsid w:val="001E2797"/>
    <w:rsid w:val="001E27F5"/>
    <w:rsid w:val="001E4763"/>
    <w:rsid w:val="001E491C"/>
    <w:rsid w:val="001E5006"/>
    <w:rsid w:val="001E649C"/>
    <w:rsid w:val="001E681B"/>
    <w:rsid w:val="001E7271"/>
    <w:rsid w:val="001F0A42"/>
    <w:rsid w:val="001F2CA7"/>
    <w:rsid w:val="001F5AE0"/>
    <w:rsid w:val="001F7607"/>
    <w:rsid w:val="001F7ED2"/>
    <w:rsid w:val="002019F1"/>
    <w:rsid w:val="0020240B"/>
    <w:rsid w:val="00202A8E"/>
    <w:rsid w:val="00206C61"/>
    <w:rsid w:val="00206E6D"/>
    <w:rsid w:val="00213CD2"/>
    <w:rsid w:val="002147AB"/>
    <w:rsid w:val="00215D00"/>
    <w:rsid w:val="002202BA"/>
    <w:rsid w:val="002202C6"/>
    <w:rsid w:val="002212C9"/>
    <w:rsid w:val="002220BD"/>
    <w:rsid w:val="00223090"/>
    <w:rsid w:val="00224210"/>
    <w:rsid w:val="0022474F"/>
    <w:rsid w:val="00231DAA"/>
    <w:rsid w:val="00232B31"/>
    <w:rsid w:val="00232B7C"/>
    <w:rsid w:val="002349E8"/>
    <w:rsid w:val="00237216"/>
    <w:rsid w:val="00240BAB"/>
    <w:rsid w:val="00242973"/>
    <w:rsid w:val="00242B0B"/>
    <w:rsid w:val="00246735"/>
    <w:rsid w:val="00246B6F"/>
    <w:rsid w:val="002500AF"/>
    <w:rsid w:val="00251768"/>
    <w:rsid w:val="002520F5"/>
    <w:rsid w:val="00254437"/>
    <w:rsid w:val="00255F3C"/>
    <w:rsid w:val="00256FDD"/>
    <w:rsid w:val="00260B72"/>
    <w:rsid w:val="00262191"/>
    <w:rsid w:val="002635FE"/>
    <w:rsid w:val="002640F0"/>
    <w:rsid w:val="00264587"/>
    <w:rsid w:val="002654CB"/>
    <w:rsid w:val="00266BB8"/>
    <w:rsid w:val="00266D83"/>
    <w:rsid w:val="0027086C"/>
    <w:rsid w:val="00271552"/>
    <w:rsid w:val="00273707"/>
    <w:rsid w:val="00274261"/>
    <w:rsid w:val="00274C03"/>
    <w:rsid w:val="00275356"/>
    <w:rsid w:val="002765EF"/>
    <w:rsid w:val="00283297"/>
    <w:rsid w:val="00284604"/>
    <w:rsid w:val="00284900"/>
    <w:rsid w:val="00286EDD"/>
    <w:rsid w:val="0029082B"/>
    <w:rsid w:val="00293760"/>
    <w:rsid w:val="00293E5A"/>
    <w:rsid w:val="00293EA8"/>
    <w:rsid w:val="00294BE2"/>
    <w:rsid w:val="00294C56"/>
    <w:rsid w:val="002973CF"/>
    <w:rsid w:val="002A080B"/>
    <w:rsid w:val="002A0FFF"/>
    <w:rsid w:val="002A179D"/>
    <w:rsid w:val="002A1AAD"/>
    <w:rsid w:val="002A1D20"/>
    <w:rsid w:val="002A21E4"/>
    <w:rsid w:val="002A2443"/>
    <w:rsid w:val="002A3BDF"/>
    <w:rsid w:val="002A40F7"/>
    <w:rsid w:val="002A5B25"/>
    <w:rsid w:val="002A6459"/>
    <w:rsid w:val="002A6623"/>
    <w:rsid w:val="002A6A8D"/>
    <w:rsid w:val="002B01F5"/>
    <w:rsid w:val="002B1059"/>
    <w:rsid w:val="002B251D"/>
    <w:rsid w:val="002B3DBF"/>
    <w:rsid w:val="002B474D"/>
    <w:rsid w:val="002B4CE5"/>
    <w:rsid w:val="002B56D5"/>
    <w:rsid w:val="002B6403"/>
    <w:rsid w:val="002B6BBD"/>
    <w:rsid w:val="002C153F"/>
    <w:rsid w:val="002C2923"/>
    <w:rsid w:val="002C313C"/>
    <w:rsid w:val="002C3D6D"/>
    <w:rsid w:val="002C4899"/>
    <w:rsid w:val="002C52BA"/>
    <w:rsid w:val="002C6A25"/>
    <w:rsid w:val="002C6D98"/>
    <w:rsid w:val="002C7A4C"/>
    <w:rsid w:val="002D449C"/>
    <w:rsid w:val="002D4979"/>
    <w:rsid w:val="002D6686"/>
    <w:rsid w:val="002D6E56"/>
    <w:rsid w:val="002D6F24"/>
    <w:rsid w:val="002E07C4"/>
    <w:rsid w:val="002E0884"/>
    <w:rsid w:val="002E0A99"/>
    <w:rsid w:val="002E1DDE"/>
    <w:rsid w:val="002E1F22"/>
    <w:rsid w:val="002E236E"/>
    <w:rsid w:val="002E23B9"/>
    <w:rsid w:val="002E26D0"/>
    <w:rsid w:val="002E2EEE"/>
    <w:rsid w:val="002E6015"/>
    <w:rsid w:val="002E77BF"/>
    <w:rsid w:val="002F2B95"/>
    <w:rsid w:val="002F3E47"/>
    <w:rsid w:val="002F40B9"/>
    <w:rsid w:val="002F423B"/>
    <w:rsid w:val="002F50D8"/>
    <w:rsid w:val="002F6839"/>
    <w:rsid w:val="002F6CCF"/>
    <w:rsid w:val="003005B8"/>
    <w:rsid w:val="00301CC2"/>
    <w:rsid w:val="00304A54"/>
    <w:rsid w:val="00305917"/>
    <w:rsid w:val="003061E1"/>
    <w:rsid w:val="00307A36"/>
    <w:rsid w:val="003100DB"/>
    <w:rsid w:val="00311DD8"/>
    <w:rsid w:val="0031359F"/>
    <w:rsid w:val="003170B9"/>
    <w:rsid w:val="00320946"/>
    <w:rsid w:val="003245D8"/>
    <w:rsid w:val="0032746B"/>
    <w:rsid w:val="003279AC"/>
    <w:rsid w:val="003325C9"/>
    <w:rsid w:val="003348E6"/>
    <w:rsid w:val="00335BFD"/>
    <w:rsid w:val="00337784"/>
    <w:rsid w:val="00337B5C"/>
    <w:rsid w:val="00341019"/>
    <w:rsid w:val="00343C4C"/>
    <w:rsid w:val="003441BB"/>
    <w:rsid w:val="00344BAA"/>
    <w:rsid w:val="00347484"/>
    <w:rsid w:val="00350E1C"/>
    <w:rsid w:val="00352243"/>
    <w:rsid w:val="0035602D"/>
    <w:rsid w:val="00364B76"/>
    <w:rsid w:val="0036515A"/>
    <w:rsid w:val="00365FDE"/>
    <w:rsid w:val="003666A7"/>
    <w:rsid w:val="003675CD"/>
    <w:rsid w:val="00367C09"/>
    <w:rsid w:val="00372FA6"/>
    <w:rsid w:val="0037360F"/>
    <w:rsid w:val="00373D6B"/>
    <w:rsid w:val="00376794"/>
    <w:rsid w:val="003823CD"/>
    <w:rsid w:val="00382DE5"/>
    <w:rsid w:val="0038375F"/>
    <w:rsid w:val="00385669"/>
    <w:rsid w:val="00385CCA"/>
    <w:rsid w:val="00390E46"/>
    <w:rsid w:val="00391013"/>
    <w:rsid w:val="003925CB"/>
    <w:rsid w:val="00394AE2"/>
    <w:rsid w:val="00395CBE"/>
    <w:rsid w:val="00397C32"/>
    <w:rsid w:val="003A0456"/>
    <w:rsid w:val="003A127D"/>
    <w:rsid w:val="003A138A"/>
    <w:rsid w:val="003A3A2F"/>
    <w:rsid w:val="003A3E52"/>
    <w:rsid w:val="003A56A2"/>
    <w:rsid w:val="003B01CA"/>
    <w:rsid w:val="003B1EBE"/>
    <w:rsid w:val="003B5237"/>
    <w:rsid w:val="003B5AEB"/>
    <w:rsid w:val="003B6918"/>
    <w:rsid w:val="003B7492"/>
    <w:rsid w:val="003C1886"/>
    <w:rsid w:val="003C306D"/>
    <w:rsid w:val="003C431F"/>
    <w:rsid w:val="003C5509"/>
    <w:rsid w:val="003C60BE"/>
    <w:rsid w:val="003C62C5"/>
    <w:rsid w:val="003D1567"/>
    <w:rsid w:val="003D1E14"/>
    <w:rsid w:val="003D3354"/>
    <w:rsid w:val="003D4D5B"/>
    <w:rsid w:val="003D7A91"/>
    <w:rsid w:val="003E0F9F"/>
    <w:rsid w:val="003E2230"/>
    <w:rsid w:val="003E2D7C"/>
    <w:rsid w:val="003E3521"/>
    <w:rsid w:val="003E4D6F"/>
    <w:rsid w:val="003E6EE3"/>
    <w:rsid w:val="003F06F4"/>
    <w:rsid w:val="003F0AC6"/>
    <w:rsid w:val="003F1567"/>
    <w:rsid w:val="003F1B53"/>
    <w:rsid w:val="003F244C"/>
    <w:rsid w:val="003F3258"/>
    <w:rsid w:val="003F40CA"/>
    <w:rsid w:val="003F4B1D"/>
    <w:rsid w:val="003F528B"/>
    <w:rsid w:val="003F582F"/>
    <w:rsid w:val="003F5C5A"/>
    <w:rsid w:val="003F775C"/>
    <w:rsid w:val="003F7DA7"/>
    <w:rsid w:val="004009B9"/>
    <w:rsid w:val="00401AED"/>
    <w:rsid w:val="004035A5"/>
    <w:rsid w:val="00404737"/>
    <w:rsid w:val="00406194"/>
    <w:rsid w:val="00410BC8"/>
    <w:rsid w:val="004115F4"/>
    <w:rsid w:val="00411EA7"/>
    <w:rsid w:val="00411FF7"/>
    <w:rsid w:val="00412728"/>
    <w:rsid w:val="00413DFE"/>
    <w:rsid w:val="0041614E"/>
    <w:rsid w:val="00416C07"/>
    <w:rsid w:val="00417197"/>
    <w:rsid w:val="004173BC"/>
    <w:rsid w:val="004179BB"/>
    <w:rsid w:val="00420379"/>
    <w:rsid w:val="0042079D"/>
    <w:rsid w:val="00424E50"/>
    <w:rsid w:val="00425C48"/>
    <w:rsid w:val="0042702B"/>
    <w:rsid w:val="00427388"/>
    <w:rsid w:val="0042749E"/>
    <w:rsid w:val="00432B24"/>
    <w:rsid w:val="00436C18"/>
    <w:rsid w:val="00440120"/>
    <w:rsid w:val="00441452"/>
    <w:rsid w:val="00442380"/>
    <w:rsid w:val="00442F7C"/>
    <w:rsid w:val="00443169"/>
    <w:rsid w:val="004458D0"/>
    <w:rsid w:val="00445B0E"/>
    <w:rsid w:val="0044634C"/>
    <w:rsid w:val="00447325"/>
    <w:rsid w:val="0045123B"/>
    <w:rsid w:val="0045136F"/>
    <w:rsid w:val="0045353D"/>
    <w:rsid w:val="00455096"/>
    <w:rsid w:val="004555E1"/>
    <w:rsid w:val="00460931"/>
    <w:rsid w:val="004615C0"/>
    <w:rsid w:val="00461876"/>
    <w:rsid w:val="004622AB"/>
    <w:rsid w:val="00463E05"/>
    <w:rsid w:val="00463F4C"/>
    <w:rsid w:val="00464137"/>
    <w:rsid w:val="00465536"/>
    <w:rsid w:val="0046639F"/>
    <w:rsid w:val="004664CB"/>
    <w:rsid w:val="004666C9"/>
    <w:rsid w:val="00467B22"/>
    <w:rsid w:val="00471FC0"/>
    <w:rsid w:val="00474469"/>
    <w:rsid w:val="00477175"/>
    <w:rsid w:val="004801C0"/>
    <w:rsid w:val="00482234"/>
    <w:rsid w:val="00482D36"/>
    <w:rsid w:val="00483818"/>
    <w:rsid w:val="00486FAC"/>
    <w:rsid w:val="004902B6"/>
    <w:rsid w:val="004905A3"/>
    <w:rsid w:val="004927A6"/>
    <w:rsid w:val="004929A9"/>
    <w:rsid w:val="00494F87"/>
    <w:rsid w:val="00495E0E"/>
    <w:rsid w:val="00495E24"/>
    <w:rsid w:val="00496A45"/>
    <w:rsid w:val="00496E65"/>
    <w:rsid w:val="004978AC"/>
    <w:rsid w:val="00497A81"/>
    <w:rsid w:val="004A062E"/>
    <w:rsid w:val="004A4318"/>
    <w:rsid w:val="004A6D0B"/>
    <w:rsid w:val="004A7AE1"/>
    <w:rsid w:val="004B12BC"/>
    <w:rsid w:val="004B194B"/>
    <w:rsid w:val="004B3CDB"/>
    <w:rsid w:val="004B4581"/>
    <w:rsid w:val="004B5286"/>
    <w:rsid w:val="004B5BEF"/>
    <w:rsid w:val="004B615F"/>
    <w:rsid w:val="004B61D2"/>
    <w:rsid w:val="004B6F30"/>
    <w:rsid w:val="004B74F8"/>
    <w:rsid w:val="004C12CD"/>
    <w:rsid w:val="004C47E5"/>
    <w:rsid w:val="004C4C99"/>
    <w:rsid w:val="004D0E47"/>
    <w:rsid w:val="004D1A36"/>
    <w:rsid w:val="004D2695"/>
    <w:rsid w:val="004D3C31"/>
    <w:rsid w:val="004D4CB9"/>
    <w:rsid w:val="004D7776"/>
    <w:rsid w:val="004D7C9A"/>
    <w:rsid w:val="004D7CF8"/>
    <w:rsid w:val="004E007B"/>
    <w:rsid w:val="004E2386"/>
    <w:rsid w:val="004E2D09"/>
    <w:rsid w:val="004E2E68"/>
    <w:rsid w:val="004E2F86"/>
    <w:rsid w:val="004E4788"/>
    <w:rsid w:val="004E5838"/>
    <w:rsid w:val="004E6506"/>
    <w:rsid w:val="004E7CB7"/>
    <w:rsid w:val="004F0E08"/>
    <w:rsid w:val="004F52BE"/>
    <w:rsid w:val="004F569F"/>
    <w:rsid w:val="004F5DF8"/>
    <w:rsid w:val="004F6746"/>
    <w:rsid w:val="004F7CF2"/>
    <w:rsid w:val="005014F2"/>
    <w:rsid w:val="005023A3"/>
    <w:rsid w:val="00503BF4"/>
    <w:rsid w:val="005043B0"/>
    <w:rsid w:val="005065A7"/>
    <w:rsid w:val="0051039A"/>
    <w:rsid w:val="0051039B"/>
    <w:rsid w:val="00511D33"/>
    <w:rsid w:val="0051316B"/>
    <w:rsid w:val="005137FA"/>
    <w:rsid w:val="00513B98"/>
    <w:rsid w:val="005146AD"/>
    <w:rsid w:val="005149C7"/>
    <w:rsid w:val="005158AF"/>
    <w:rsid w:val="00520C45"/>
    <w:rsid w:val="00521A01"/>
    <w:rsid w:val="00521AC0"/>
    <w:rsid w:val="00521C5B"/>
    <w:rsid w:val="00522299"/>
    <w:rsid w:val="0052238C"/>
    <w:rsid w:val="00523381"/>
    <w:rsid w:val="00525670"/>
    <w:rsid w:val="0052577B"/>
    <w:rsid w:val="00525F7B"/>
    <w:rsid w:val="00526361"/>
    <w:rsid w:val="00530981"/>
    <w:rsid w:val="0053213A"/>
    <w:rsid w:val="00532DC8"/>
    <w:rsid w:val="005334F0"/>
    <w:rsid w:val="0053439C"/>
    <w:rsid w:val="00534B25"/>
    <w:rsid w:val="005354A6"/>
    <w:rsid w:val="0053564B"/>
    <w:rsid w:val="005357A4"/>
    <w:rsid w:val="00535BBE"/>
    <w:rsid w:val="0053628E"/>
    <w:rsid w:val="00536726"/>
    <w:rsid w:val="005368E9"/>
    <w:rsid w:val="005377A8"/>
    <w:rsid w:val="00540B48"/>
    <w:rsid w:val="0054151D"/>
    <w:rsid w:val="005417D5"/>
    <w:rsid w:val="005418BF"/>
    <w:rsid w:val="0054366C"/>
    <w:rsid w:val="005459A6"/>
    <w:rsid w:val="005462ED"/>
    <w:rsid w:val="005466A2"/>
    <w:rsid w:val="00550A17"/>
    <w:rsid w:val="0055112E"/>
    <w:rsid w:val="00551D65"/>
    <w:rsid w:val="00552F18"/>
    <w:rsid w:val="005546EA"/>
    <w:rsid w:val="00554B46"/>
    <w:rsid w:val="00555FA5"/>
    <w:rsid w:val="00556CD3"/>
    <w:rsid w:val="00560FF2"/>
    <w:rsid w:val="00561896"/>
    <w:rsid w:val="00562B84"/>
    <w:rsid w:val="005632A6"/>
    <w:rsid w:val="00563B5C"/>
    <w:rsid w:val="005656F0"/>
    <w:rsid w:val="00570F65"/>
    <w:rsid w:val="005717EA"/>
    <w:rsid w:val="005723AA"/>
    <w:rsid w:val="00573929"/>
    <w:rsid w:val="00573D7B"/>
    <w:rsid w:val="00573F09"/>
    <w:rsid w:val="00574289"/>
    <w:rsid w:val="0057463E"/>
    <w:rsid w:val="0057705B"/>
    <w:rsid w:val="0057796C"/>
    <w:rsid w:val="005817C3"/>
    <w:rsid w:val="00582655"/>
    <w:rsid w:val="00582CFD"/>
    <w:rsid w:val="00582FD3"/>
    <w:rsid w:val="0058526E"/>
    <w:rsid w:val="00586AD7"/>
    <w:rsid w:val="00590B66"/>
    <w:rsid w:val="00590B7C"/>
    <w:rsid w:val="0059125F"/>
    <w:rsid w:val="00591BC9"/>
    <w:rsid w:val="00594383"/>
    <w:rsid w:val="00596561"/>
    <w:rsid w:val="00597E4A"/>
    <w:rsid w:val="00597E6F"/>
    <w:rsid w:val="005A05D8"/>
    <w:rsid w:val="005A5CF4"/>
    <w:rsid w:val="005A6390"/>
    <w:rsid w:val="005A6788"/>
    <w:rsid w:val="005B1461"/>
    <w:rsid w:val="005B169F"/>
    <w:rsid w:val="005B1841"/>
    <w:rsid w:val="005B1F65"/>
    <w:rsid w:val="005B2AA6"/>
    <w:rsid w:val="005B2CA1"/>
    <w:rsid w:val="005B2CD9"/>
    <w:rsid w:val="005B3F2A"/>
    <w:rsid w:val="005B48C4"/>
    <w:rsid w:val="005B5A27"/>
    <w:rsid w:val="005B7B85"/>
    <w:rsid w:val="005C2AFE"/>
    <w:rsid w:val="005C2C20"/>
    <w:rsid w:val="005C41A9"/>
    <w:rsid w:val="005C475E"/>
    <w:rsid w:val="005C6611"/>
    <w:rsid w:val="005D013B"/>
    <w:rsid w:val="005D0980"/>
    <w:rsid w:val="005D1452"/>
    <w:rsid w:val="005D1CE6"/>
    <w:rsid w:val="005D2162"/>
    <w:rsid w:val="005D2763"/>
    <w:rsid w:val="005D43C2"/>
    <w:rsid w:val="005D4A7C"/>
    <w:rsid w:val="005D4AD8"/>
    <w:rsid w:val="005D53FA"/>
    <w:rsid w:val="005D629D"/>
    <w:rsid w:val="005D66EC"/>
    <w:rsid w:val="005D6A7D"/>
    <w:rsid w:val="005D7809"/>
    <w:rsid w:val="005E11C8"/>
    <w:rsid w:val="005E1B1C"/>
    <w:rsid w:val="005E4D07"/>
    <w:rsid w:val="005E5329"/>
    <w:rsid w:val="005E5EAE"/>
    <w:rsid w:val="005E67DA"/>
    <w:rsid w:val="005E70A1"/>
    <w:rsid w:val="005E7189"/>
    <w:rsid w:val="005E7A24"/>
    <w:rsid w:val="005F13EA"/>
    <w:rsid w:val="005F1D6F"/>
    <w:rsid w:val="005F233A"/>
    <w:rsid w:val="005F51D7"/>
    <w:rsid w:val="005F6360"/>
    <w:rsid w:val="006006A8"/>
    <w:rsid w:val="00601754"/>
    <w:rsid w:val="006018AB"/>
    <w:rsid w:val="00601C04"/>
    <w:rsid w:val="00605160"/>
    <w:rsid w:val="00605727"/>
    <w:rsid w:val="00610F57"/>
    <w:rsid w:val="006116BF"/>
    <w:rsid w:val="0061270F"/>
    <w:rsid w:val="00612FB6"/>
    <w:rsid w:val="00613070"/>
    <w:rsid w:val="00613319"/>
    <w:rsid w:val="00615F1F"/>
    <w:rsid w:val="0061648F"/>
    <w:rsid w:val="00617C16"/>
    <w:rsid w:val="00617FC8"/>
    <w:rsid w:val="00620AFF"/>
    <w:rsid w:val="00621FDF"/>
    <w:rsid w:val="00623288"/>
    <w:rsid w:val="00623D2F"/>
    <w:rsid w:val="006258FB"/>
    <w:rsid w:val="00625CB8"/>
    <w:rsid w:val="00632812"/>
    <w:rsid w:val="00634B0E"/>
    <w:rsid w:val="0064254A"/>
    <w:rsid w:val="006427D4"/>
    <w:rsid w:val="00642E96"/>
    <w:rsid w:val="00643256"/>
    <w:rsid w:val="00643B4B"/>
    <w:rsid w:val="0064575A"/>
    <w:rsid w:val="00645916"/>
    <w:rsid w:val="00650B50"/>
    <w:rsid w:val="00650C2C"/>
    <w:rsid w:val="00651BAE"/>
    <w:rsid w:val="006520BE"/>
    <w:rsid w:val="00652AAF"/>
    <w:rsid w:val="006536F8"/>
    <w:rsid w:val="00653F62"/>
    <w:rsid w:val="00653FE2"/>
    <w:rsid w:val="00654289"/>
    <w:rsid w:val="006561FB"/>
    <w:rsid w:val="006569C7"/>
    <w:rsid w:val="006577DF"/>
    <w:rsid w:val="006601BF"/>
    <w:rsid w:val="0066071E"/>
    <w:rsid w:val="006610F6"/>
    <w:rsid w:val="00664EAB"/>
    <w:rsid w:val="006667B6"/>
    <w:rsid w:val="00667289"/>
    <w:rsid w:val="00667471"/>
    <w:rsid w:val="00667AC5"/>
    <w:rsid w:val="006718FC"/>
    <w:rsid w:val="006730D5"/>
    <w:rsid w:val="006732B3"/>
    <w:rsid w:val="006734F3"/>
    <w:rsid w:val="006740FE"/>
    <w:rsid w:val="00674988"/>
    <w:rsid w:val="00674C3B"/>
    <w:rsid w:val="006753C7"/>
    <w:rsid w:val="00675AE9"/>
    <w:rsid w:val="006760A1"/>
    <w:rsid w:val="00681D6B"/>
    <w:rsid w:val="00682CF9"/>
    <w:rsid w:val="0068443D"/>
    <w:rsid w:val="00684876"/>
    <w:rsid w:val="00687336"/>
    <w:rsid w:val="0068789E"/>
    <w:rsid w:val="00691D2A"/>
    <w:rsid w:val="00691E79"/>
    <w:rsid w:val="00692915"/>
    <w:rsid w:val="0069360B"/>
    <w:rsid w:val="006970A4"/>
    <w:rsid w:val="006A1A85"/>
    <w:rsid w:val="006A1B1F"/>
    <w:rsid w:val="006A2E2F"/>
    <w:rsid w:val="006A2EF1"/>
    <w:rsid w:val="006A3995"/>
    <w:rsid w:val="006A4248"/>
    <w:rsid w:val="006A4DFA"/>
    <w:rsid w:val="006A5D72"/>
    <w:rsid w:val="006A7C63"/>
    <w:rsid w:val="006B0038"/>
    <w:rsid w:val="006B035E"/>
    <w:rsid w:val="006B0A2B"/>
    <w:rsid w:val="006B1246"/>
    <w:rsid w:val="006B2AA3"/>
    <w:rsid w:val="006B30D1"/>
    <w:rsid w:val="006B388B"/>
    <w:rsid w:val="006B3B7E"/>
    <w:rsid w:val="006B3BA2"/>
    <w:rsid w:val="006B3F99"/>
    <w:rsid w:val="006B5282"/>
    <w:rsid w:val="006B58A0"/>
    <w:rsid w:val="006C12FC"/>
    <w:rsid w:val="006C17E4"/>
    <w:rsid w:val="006C4222"/>
    <w:rsid w:val="006C4FE4"/>
    <w:rsid w:val="006C61B5"/>
    <w:rsid w:val="006C647C"/>
    <w:rsid w:val="006D0422"/>
    <w:rsid w:val="006D441B"/>
    <w:rsid w:val="006D63BD"/>
    <w:rsid w:val="006E2078"/>
    <w:rsid w:val="006E2649"/>
    <w:rsid w:val="006E442B"/>
    <w:rsid w:val="006E6528"/>
    <w:rsid w:val="006E7927"/>
    <w:rsid w:val="006F27BD"/>
    <w:rsid w:val="006F3C7F"/>
    <w:rsid w:val="006F4356"/>
    <w:rsid w:val="006F4B19"/>
    <w:rsid w:val="006F4E6F"/>
    <w:rsid w:val="006F4ED5"/>
    <w:rsid w:val="006F56F4"/>
    <w:rsid w:val="006F64D5"/>
    <w:rsid w:val="006F6B91"/>
    <w:rsid w:val="006F76BD"/>
    <w:rsid w:val="00702D98"/>
    <w:rsid w:val="00705FED"/>
    <w:rsid w:val="0070770D"/>
    <w:rsid w:val="00707EB6"/>
    <w:rsid w:val="00710E2A"/>
    <w:rsid w:val="00710F53"/>
    <w:rsid w:val="00711677"/>
    <w:rsid w:val="00712E8D"/>
    <w:rsid w:val="00713AB8"/>
    <w:rsid w:val="0071543A"/>
    <w:rsid w:val="00715B00"/>
    <w:rsid w:val="007160B2"/>
    <w:rsid w:val="007167DA"/>
    <w:rsid w:val="00717250"/>
    <w:rsid w:val="00720A7B"/>
    <w:rsid w:val="00720E44"/>
    <w:rsid w:val="0072130C"/>
    <w:rsid w:val="007219F8"/>
    <w:rsid w:val="0072780B"/>
    <w:rsid w:val="00731235"/>
    <w:rsid w:val="0073131B"/>
    <w:rsid w:val="0073170D"/>
    <w:rsid w:val="00732022"/>
    <w:rsid w:val="0073255E"/>
    <w:rsid w:val="00733F4D"/>
    <w:rsid w:val="00734219"/>
    <w:rsid w:val="0073442D"/>
    <w:rsid w:val="0073632E"/>
    <w:rsid w:val="00741A83"/>
    <w:rsid w:val="007423DB"/>
    <w:rsid w:val="00742CFF"/>
    <w:rsid w:val="00743AA9"/>
    <w:rsid w:val="00743DA9"/>
    <w:rsid w:val="00747A41"/>
    <w:rsid w:val="00747A92"/>
    <w:rsid w:val="00747C70"/>
    <w:rsid w:val="00750B7B"/>
    <w:rsid w:val="007516E0"/>
    <w:rsid w:val="0075395C"/>
    <w:rsid w:val="00754C31"/>
    <w:rsid w:val="0075530A"/>
    <w:rsid w:val="00755857"/>
    <w:rsid w:val="00755D51"/>
    <w:rsid w:val="00757402"/>
    <w:rsid w:val="007609E0"/>
    <w:rsid w:val="007609FB"/>
    <w:rsid w:val="00760E1C"/>
    <w:rsid w:val="00761D53"/>
    <w:rsid w:val="0076310F"/>
    <w:rsid w:val="007656EC"/>
    <w:rsid w:val="007666BE"/>
    <w:rsid w:val="00766DBC"/>
    <w:rsid w:val="007719C6"/>
    <w:rsid w:val="00772B34"/>
    <w:rsid w:val="00774A2B"/>
    <w:rsid w:val="0077560D"/>
    <w:rsid w:val="00776D1C"/>
    <w:rsid w:val="00777503"/>
    <w:rsid w:val="00777A4C"/>
    <w:rsid w:val="00780A30"/>
    <w:rsid w:val="00781C94"/>
    <w:rsid w:val="00781E2A"/>
    <w:rsid w:val="0078506C"/>
    <w:rsid w:val="007855D8"/>
    <w:rsid w:val="00786BA6"/>
    <w:rsid w:val="007878DD"/>
    <w:rsid w:val="00787911"/>
    <w:rsid w:val="00791215"/>
    <w:rsid w:val="0079137E"/>
    <w:rsid w:val="00793C41"/>
    <w:rsid w:val="00794523"/>
    <w:rsid w:val="007947F2"/>
    <w:rsid w:val="00795A1B"/>
    <w:rsid w:val="007962B7"/>
    <w:rsid w:val="007965FC"/>
    <w:rsid w:val="00796EA3"/>
    <w:rsid w:val="007A0695"/>
    <w:rsid w:val="007A1797"/>
    <w:rsid w:val="007A50FC"/>
    <w:rsid w:val="007A5354"/>
    <w:rsid w:val="007A5499"/>
    <w:rsid w:val="007A5535"/>
    <w:rsid w:val="007A72EA"/>
    <w:rsid w:val="007B1B45"/>
    <w:rsid w:val="007B1CCB"/>
    <w:rsid w:val="007B1D2A"/>
    <w:rsid w:val="007B32B4"/>
    <w:rsid w:val="007B5F5B"/>
    <w:rsid w:val="007B6974"/>
    <w:rsid w:val="007B6F67"/>
    <w:rsid w:val="007B7060"/>
    <w:rsid w:val="007B70C4"/>
    <w:rsid w:val="007B79B6"/>
    <w:rsid w:val="007C1A0E"/>
    <w:rsid w:val="007C1D19"/>
    <w:rsid w:val="007C3389"/>
    <w:rsid w:val="007C4783"/>
    <w:rsid w:val="007D035D"/>
    <w:rsid w:val="007D03FD"/>
    <w:rsid w:val="007D05A1"/>
    <w:rsid w:val="007D0FF7"/>
    <w:rsid w:val="007D15D6"/>
    <w:rsid w:val="007D22D1"/>
    <w:rsid w:val="007D2B66"/>
    <w:rsid w:val="007D2DA2"/>
    <w:rsid w:val="007D3E30"/>
    <w:rsid w:val="007D5162"/>
    <w:rsid w:val="007D5998"/>
    <w:rsid w:val="007D7C74"/>
    <w:rsid w:val="007E22C5"/>
    <w:rsid w:val="007E2BF0"/>
    <w:rsid w:val="007E2F3A"/>
    <w:rsid w:val="007E499D"/>
    <w:rsid w:val="007E66D8"/>
    <w:rsid w:val="007E730C"/>
    <w:rsid w:val="007F0B1B"/>
    <w:rsid w:val="007F0DAD"/>
    <w:rsid w:val="007F217E"/>
    <w:rsid w:val="00800105"/>
    <w:rsid w:val="008023C5"/>
    <w:rsid w:val="00802748"/>
    <w:rsid w:val="00802A70"/>
    <w:rsid w:val="00802D35"/>
    <w:rsid w:val="008035AB"/>
    <w:rsid w:val="0080571C"/>
    <w:rsid w:val="00806738"/>
    <w:rsid w:val="00807592"/>
    <w:rsid w:val="00807E21"/>
    <w:rsid w:val="00810712"/>
    <w:rsid w:val="00811419"/>
    <w:rsid w:val="00812C09"/>
    <w:rsid w:val="008130A2"/>
    <w:rsid w:val="0081382B"/>
    <w:rsid w:val="00814552"/>
    <w:rsid w:val="0081504F"/>
    <w:rsid w:val="00816D83"/>
    <w:rsid w:val="00816E0E"/>
    <w:rsid w:val="00817440"/>
    <w:rsid w:val="00821054"/>
    <w:rsid w:val="00821C50"/>
    <w:rsid w:val="0082228B"/>
    <w:rsid w:val="008236A9"/>
    <w:rsid w:val="00823D41"/>
    <w:rsid w:val="00823E40"/>
    <w:rsid w:val="008253F1"/>
    <w:rsid w:val="00827F9C"/>
    <w:rsid w:val="008320D9"/>
    <w:rsid w:val="00832530"/>
    <w:rsid w:val="008328E6"/>
    <w:rsid w:val="00832AA1"/>
    <w:rsid w:val="00834A5B"/>
    <w:rsid w:val="008361E6"/>
    <w:rsid w:val="00836474"/>
    <w:rsid w:val="00840BAD"/>
    <w:rsid w:val="0084115C"/>
    <w:rsid w:val="00842428"/>
    <w:rsid w:val="00842C1B"/>
    <w:rsid w:val="008435EF"/>
    <w:rsid w:val="00843BEF"/>
    <w:rsid w:val="008449E9"/>
    <w:rsid w:val="00847E41"/>
    <w:rsid w:val="0085199D"/>
    <w:rsid w:val="008532EC"/>
    <w:rsid w:val="008546F2"/>
    <w:rsid w:val="008548A5"/>
    <w:rsid w:val="00855924"/>
    <w:rsid w:val="00855D85"/>
    <w:rsid w:val="008563A9"/>
    <w:rsid w:val="00857AC1"/>
    <w:rsid w:val="008609C9"/>
    <w:rsid w:val="008634F5"/>
    <w:rsid w:val="008649CE"/>
    <w:rsid w:val="0086526E"/>
    <w:rsid w:val="00865D7E"/>
    <w:rsid w:val="008668F5"/>
    <w:rsid w:val="00866E24"/>
    <w:rsid w:val="0086767B"/>
    <w:rsid w:val="00870EA2"/>
    <w:rsid w:val="00871C37"/>
    <w:rsid w:val="008774DC"/>
    <w:rsid w:val="00877971"/>
    <w:rsid w:val="00880268"/>
    <w:rsid w:val="008802A6"/>
    <w:rsid w:val="00880E1E"/>
    <w:rsid w:val="00881538"/>
    <w:rsid w:val="0088272C"/>
    <w:rsid w:val="0088292D"/>
    <w:rsid w:val="0088337F"/>
    <w:rsid w:val="00885C6E"/>
    <w:rsid w:val="00886C81"/>
    <w:rsid w:val="00886D22"/>
    <w:rsid w:val="00886DBC"/>
    <w:rsid w:val="00887E87"/>
    <w:rsid w:val="00891206"/>
    <w:rsid w:val="008922FF"/>
    <w:rsid w:val="008933C9"/>
    <w:rsid w:val="008933F9"/>
    <w:rsid w:val="00894496"/>
    <w:rsid w:val="00894FBB"/>
    <w:rsid w:val="008961DC"/>
    <w:rsid w:val="00897F98"/>
    <w:rsid w:val="008A36DD"/>
    <w:rsid w:val="008A3F11"/>
    <w:rsid w:val="008A5706"/>
    <w:rsid w:val="008A59B1"/>
    <w:rsid w:val="008A5E7D"/>
    <w:rsid w:val="008A65CC"/>
    <w:rsid w:val="008A69CC"/>
    <w:rsid w:val="008B0928"/>
    <w:rsid w:val="008B0E2A"/>
    <w:rsid w:val="008B0FD5"/>
    <w:rsid w:val="008B17D4"/>
    <w:rsid w:val="008B247F"/>
    <w:rsid w:val="008B3390"/>
    <w:rsid w:val="008B37D3"/>
    <w:rsid w:val="008B45A1"/>
    <w:rsid w:val="008B4D00"/>
    <w:rsid w:val="008B53CA"/>
    <w:rsid w:val="008B5C8B"/>
    <w:rsid w:val="008B661B"/>
    <w:rsid w:val="008B67AC"/>
    <w:rsid w:val="008B75FD"/>
    <w:rsid w:val="008B7F83"/>
    <w:rsid w:val="008C1211"/>
    <w:rsid w:val="008C20F5"/>
    <w:rsid w:val="008C6728"/>
    <w:rsid w:val="008D32EC"/>
    <w:rsid w:val="008D3D9C"/>
    <w:rsid w:val="008D4316"/>
    <w:rsid w:val="008D4345"/>
    <w:rsid w:val="008D5ABB"/>
    <w:rsid w:val="008D647E"/>
    <w:rsid w:val="008D7807"/>
    <w:rsid w:val="008E20BA"/>
    <w:rsid w:val="008E2F17"/>
    <w:rsid w:val="008E3CF1"/>
    <w:rsid w:val="008E3F4C"/>
    <w:rsid w:val="008E5AF2"/>
    <w:rsid w:val="008E6731"/>
    <w:rsid w:val="008E79C2"/>
    <w:rsid w:val="008F05F7"/>
    <w:rsid w:val="008F18B8"/>
    <w:rsid w:val="008F250A"/>
    <w:rsid w:val="008F5310"/>
    <w:rsid w:val="008F5B38"/>
    <w:rsid w:val="008F7882"/>
    <w:rsid w:val="0090102C"/>
    <w:rsid w:val="00902C8B"/>
    <w:rsid w:val="00903B49"/>
    <w:rsid w:val="00903F72"/>
    <w:rsid w:val="00904B31"/>
    <w:rsid w:val="00904EA4"/>
    <w:rsid w:val="009055E0"/>
    <w:rsid w:val="00907315"/>
    <w:rsid w:val="0091039C"/>
    <w:rsid w:val="00910833"/>
    <w:rsid w:val="009121C1"/>
    <w:rsid w:val="00916E89"/>
    <w:rsid w:val="0091740E"/>
    <w:rsid w:val="00923C50"/>
    <w:rsid w:val="00924D3C"/>
    <w:rsid w:val="00926A02"/>
    <w:rsid w:val="0092738E"/>
    <w:rsid w:val="00930FEF"/>
    <w:rsid w:val="00931297"/>
    <w:rsid w:val="00932F8F"/>
    <w:rsid w:val="00933CC5"/>
    <w:rsid w:val="00935788"/>
    <w:rsid w:val="00935D76"/>
    <w:rsid w:val="00937F53"/>
    <w:rsid w:val="00940576"/>
    <w:rsid w:val="00940E02"/>
    <w:rsid w:val="00941657"/>
    <w:rsid w:val="00941B6E"/>
    <w:rsid w:val="00941BF9"/>
    <w:rsid w:val="00943B34"/>
    <w:rsid w:val="009465AD"/>
    <w:rsid w:val="00946FC4"/>
    <w:rsid w:val="00947B1C"/>
    <w:rsid w:val="00951358"/>
    <w:rsid w:val="00952AD4"/>
    <w:rsid w:val="0095327B"/>
    <w:rsid w:val="00953797"/>
    <w:rsid w:val="00953FEF"/>
    <w:rsid w:val="00954CBA"/>
    <w:rsid w:val="009553D7"/>
    <w:rsid w:val="00960F9E"/>
    <w:rsid w:val="0096361A"/>
    <w:rsid w:val="00964201"/>
    <w:rsid w:val="009652AE"/>
    <w:rsid w:val="0096576B"/>
    <w:rsid w:val="00966D1F"/>
    <w:rsid w:val="0096715B"/>
    <w:rsid w:val="009672E5"/>
    <w:rsid w:val="009730CF"/>
    <w:rsid w:val="00973F9B"/>
    <w:rsid w:val="00974F6A"/>
    <w:rsid w:val="0098071D"/>
    <w:rsid w:val="009823D2"/>
    <w:rsid w:val="009827B9"/>
    <w:rsid w:val="00982A0A"/>
    <w:rsid w:val="00982AFC"/>
    <w:rsid w:val="00982C54"/>
    <w:rsid w:val="009840FB"/>
    <w:rsid w:val="009856BC"/>
    <w:rsid w:val="009863A1"/>
    <w:rsid w:val="00986831"/>
    <w:rsid w:val="00986F24"/>
    <w:rsid w:val="0098781C"/>
    <w:rsid w:val="00990799"/>
    <w:rsid w:val="00991199"/>
    <w:rsid w:val="00992764"/>
    <w:rsid w:val="0099372A"/>
    <w:rsid w:val="00993E74"/>
    <w:rsid w:val="00994418"/>
    <w:rsid w:val="009A002F"/>
    <w:rsid w:val="009A0D06"/>
    <w:rsid w:val="009A10AA"/>
    <w:rsid w:val="009A1832"/>
    <w:rsid w:val="009A32A7"/>
    <w:rsid w:val="009A38BA"/>
    <w:rsid w:val="009A4023"/>
    <w:rsid w:val="009A6095"/>
    <w:rsid w:val="009A7F14"/>
    <w:rsid w:val="009B08CB"/>
    <w:rsid w:val="009B1244"/>
    <w:rsid w:val="009B12D2"/>
    <w:rsid w:val="009B1BE3"/>
    <w:rsid w:val="009B487D"/>
    <w:rsid w:val="009B489E"/>
    <w:rsid w:val="009B48A0"/>
    <w:rsid w:val="009B49E7"/>
    <w:rsid w:val="009B6C11"/>
    <w:rsid w:val="009B72D4"/>
    <w:rsid w:val="009C1368"/>
    <w:rsid w:val="009C2070"/>
    <w:rsid w:val="009C298B"/>
    <w:rsid w:val="009C33CA"/>
    <w:rsid w:val="009C5107"/>
    <w:rsid w:val="009C510D"/>
    <w:rsid w:val="009C60A2"/>
    <w:rsid w:val="009C7184"/>
    <w:rsid w:val="009C71D3"/>
    <w:rsid w:val="009C7B3E"/>
    <w:rsid w:val="009D0663"/>
    <w:rsid w:val="009D0790"/>
    <w:rsid w:val="009D2D8B"/>
    <w:rsid w:val="009D45DB"/>
    <w:rsid w:val="009D5C55"/>
    <w:rsid w:val="009E02A6"/>
    <w:rsid w:val="009E0663"/>
    <w:rsid w:val="009E09F2"/>
    <w:rsid w:val="009E1594"/>
    <w:rsid w:val="009E31CC"/>
    <w:rsid w:val="009E3BA2"/>
    <w:rsid w:val="009E52BA"/>
    <w:rsid w:val="009E5BC5"/>
    <w:rsid w:val="009E5FA6"/>
    <w:rsid w:val="009E77B9"/>
    <w:rsid w:val="009F0574"/>
    <w:rsid w:val="009F05E8"/>
    <w:rsid w:val="009F0D9E"/>
    <w:rsid w:val="009F113D"/>
    <w:rsid w:val="009F13E7"/>
    <w:rsid w:val="009F215D"/>
    <w:rsid w:val="009F3178"/>
    <w:rsid w:val="009F3D37"/>
    <w:rsid w:val="00A00E2B"/>
    <w:rsid w:val="00A00E99"/>
    <w:rsid w:val="00A031AF"/>
    <w:rsid w:val="00A03C27"/>
    <w:rsid w:val="00A05494"/>
    <w:rsid w:val="00A05CD0"/>
    <w:rsid w:val="00A05F74"/>
    <w:rsid w:val="00A05FF0"/>
    <w:rsid w:val="00A10449"/>
    <w:rsid w:val="00A10585"/>
    <w:rsid w:val="00A10C5E"/>
    <w:rsid w:val="00A10E8E"/>
    <w:rsid w:val="00A10FD1"/>
    <w:rsid w:val="00A113B0"/>
    <w:rsid w:val="00A11D7E"/>
    <w:rsid w:val="00A12C00"/>
    <w:rsid w:val="00A2223F"/>
    <w:rsid w:val="00A233DD"/>
    <w:rsid w:val="00A24221"/>
    <w:rsid w:val="00A27975"/>
    <w:rsid w:val="00A3087D"/>
    <w:rsid w:val="00A30E67"/>
    <w:rsid w:val="00A31F52"/>
    <w:rsid w:val="00A33697"/>
    <w:rsid w:val="00A35634"/>
    <w:rsid w:val="00A367C6"/>
    <w:rsid w:val="00A36F0E"/>
    <w:rsid w:val="00A3739D"/>
    <w:rsid w:val="00A409B1"/>
    <w:rsid w:val="00A418A3"/>
    <w:rsid w:val="00A430C2"/>
    <w:rsid w:val="00A4356F"/>
    <w:rsid w:val="00A438B6"/>
    <w:rsid w:val="00A44BF3"/>
    <w:rsid w:val="00A458A7"/>
    <w:rsid w:val="00A46085"/>
    <w:rsid w:val="00A50F57"/>
    <w:rsid w:val="00A510E7"/>
    <w:rsid w:val="00A52B77"/>
    <w:rsid w:val="00A56C64"/>
    <w:rsid w:val="00A57A44"/>
    <w:rsid w:val="00A60814"/>
    <w:rsid w:val="00A62957"/>
    <w:rsid w:val="00A63873"/>
    <w:rsid w:val="00A64B48"/>
    <w:rsid w:val="00A65627"/>
    <w:rsid w:val="00A66A6F"/>
    <w:rsid w:val="00A675EF"/>
    <w:rsid w:val="00A67D0A"/>
    <w:rsid w:val="00A72155"/>
    <w:rsid w:val="00A73B4E"/>
    <w:rsid w:val="00A75894"/>
    <w:rsid w:val="00A7594A"/>
    <w:rsid w:val="00A77A02"/>
    <w:rsid w:val="00A820DD"/>
    <w:rsid w:val="00A83ECA"/>
    <w:rsid w:val="00A84511"/>
    <w:rsid w:val="00A84710"/>
    <w:rsid w:val="00A848EE"/>
    <w:rsid w:val="00A84D4D"/>
    <w:rsid w:val="00A854D8"/>
    <w:rsid w:val="00A85531"/>
    <w:rsid w:val="00A869A5"/>
    <w:rsid w:val="00A91BD2"/>
    <w:rsid w:val="00A91D06"/>
    <w:rsid w:val="00A92B65"/>
    <w:rsid w:val="00A93923"/>
    <w:rsid w:val="00A93D74"/>
    <w:rsid w:val="00A9606D"/>
    <w:rsid w:val="00A96777"/>
    <w:rsid w:val="00A976B2"/>
    <w:rsid w:val="00AA0626"/>
    <w:rsid w:val="00AA0C02"/>
    <w:rsid w:val="00AA299D"/>
    <w:rsid w:val="00AB03BA"/>
    <w:rsid w:val="00AB2F12"/>
    <w:rsid w:val="00AB5379"/>
    <w:rsid w:val="00AB5A89"/>
    <w:rsid w:val="00AB6E53"/>
    <w:rsid w:val="00AB7C5C"/>
    <w:rsid w:val="00AC001F"/>
    <w:rsid w:val="00AC0427"/>
    <w:rsid w:val="00AC1254"/>
    <w:rsid w:val="00AC14F0"/>
    <w:rsid w:val="00AC16A4"/>
    <w:rsid w:val="00AC1A79"/>
    <w:rsid w:val="00AC2AE7"/>
    <w:rsid w:val="00AC31F3"/>
    <w:rsid w:val="00AC5257"/>
    <w:rsid w:val="00AC5C57"/>
    <w:rsid w:val="00AC6F2A"/>
    <w:rsid w:val="00AD2036"/>
    <w:rsid w:val="00AD2B93"/>
    <w:rsid w:val="00AD349E"/>
    <w:rsid w:val="00AD3701"/>
    <w:rsid w:val="00AD4E53"/>
    <w:rsid w:val="00AE1673"/>
    <w:rsid w:val="00AE2F18"/>
    <w:rsid w:val="00AE3AF8"/>
    <w:rsid w:val="00AE4F41"/>
    <w:rsid w:val="00AE7B28"/>
    <w:rsid w:val="00AF1DE0"/>
    <w:rsid w:val="00AF22A5"/>
    <w:rsid w:val="00AF38A9"/>
    <w:rsid w:val="00AF3E4E"/>
    <w:rsid w:val="00AF4639"/>
    <w:rsid w:val="00AF472C"/>
    <w:rsid w:val="00AF526F"/>
    <w:rsid w:val="00AF7726"/>
    <w:rsid w:val="00AF7808"/>
    <w:rsid w:val="00B00122"/>
    <w:rsid w:val="00B009E5"/>
    <w:rsid w:val="00B02458"/>
    <w:rsid w:val="00B0412C"/>
    <w:rsid w:val="00B055CB"/>
    <w:rsid w:val="00B109CA"/>
    <w:rsid w:val="00B12F70"/>
    <w:rsid w:val="00B1552C"/>
    <w:rsid w:val="00B172AF"/>
    <w:rsid w:val="00B217EC"/>
    <w:rsid w:val="00B2305E"/>
    <w:rsid w:val="00B230E3"/>
    <w:rsid w:val="00B248E1"/>
    <w:rsid w:val="00B24CD3"/>
    <w:rsid w:val="00B27DE6"/>
    <w:rsid w:val="00B312B3"/>
    <w:rsid w:val="00B33316"/>
    <w:rsid w:val="00B35244"/>
    <w:rsid w:val="00B3557E"/>
    <w:rsid w:val="00B35C04"/>
    <w:rsid w:val="00B36E18"/>
    <w:rsid w:val="00B37D1F"/>
    <w:rsid w:val="00B37DA4"/>
    <w:rsid w:val="00B4076F"/>
    <w:rsid w:val="00B40843"/>
    <w:rsid w:val="00B40B79"/>
    <w:rsid w:val="00B40FEA"/>
    <w:rsid w:val="00B41892"/>
    <w:rsid w:val="00B41B24"/>
    <w:rsid w:val="00B42700"/>
    <w:rsid w:val="00B427A2"/>
    <w:rsid w:val="00B443B8"/>
    <w:rsid w:val="00B4595F"/>
    <w:rsid w:val="00B46FC6"/>
    <w:rsid w:val="00B47555"/>
    <w:rsid w:val="00B50299"/>
    <w:rsid w:val="00B50FBE"/>
    <w:rsid w:val="00B5258F"/>
    <w:rsid w:val="00B52656"/>
    <w:rsid w:val="00B52DBE"/>
    <w:rsid w:val="00B542BB"/>
    <w:rsid w:val="00B54347"/>
    <w:rsid w:val="00B55248"/>
    <w:rsid w:val="00B559D2"/>
    <w:rsid w:val="00B55C23"/>
    <w:rsid w:val="00B5765E"/>
    <w:rsid w:val="00B57C57"/>
    <w:rsid w:val="00B644C1"/>
    <w:rsid w:val="00B6515A"/>
    <w:rsid w:val="00B65E98"/>
    <w:rsid w:val="00B65FDA"/>
    <w:rsid w:val="00B67BAC"/>
    <w:rsid w:val="00B705C9"/>
    <w:rsid w:val="00B70BCF"/>
    <w:rsid w:val="00B70F2A"/>
    <w:rsid w:val="00B71433"/>
    <w:rsid w:val="00B730DB"/>
    <w:rsid w:val="00B73A69"/>
    <w:rsid w:val="00B748C5"/>
    <w:rsid w:val="00B7552D"/>
    <w:rsid w:val="00B764F7"/>
    <w:rsid w:val="00B7784F"/>
    <w:rsid w:val="00B80581"/>
    <w:rsid w:val="00B819C4"/>
    <w:rsid w:val="00B839F9"/>
    <w:rsid w:val="00B845BC"/>
    <w:rsid w:val="00B84879"/>
    <w:rsid w:val="00B85A87"/>
    <w:rsid w:val="00B86CC4"/>
    <w:rsid w:val="00B8704E"/>
    <w:rsid w:val="00B907E8"/>
    <w:rsid w:val="00B91CFF"/>
    <w:rsid w:val="00B9527D"/>
    <w:rsid w:val="00B95F24"/>
    <w:rsid w:val="00B969F4"/>
    <w:rsid w:val="00B97FAD"/>
    <w:rsid w:val="00BA0019"/>
    <w:rsid w:val="00BA04C5"/>
    <w:rsid w:val="00BA08DB"/>
    <w:rsid w:val="00BA34EA"/>
    <w:rsid w:val="00BA3AED"/>
    <w:rsid w:val="00BA415F"/>
    <w:rsid w:val="00BA6A6C"/>
    <w:rsid w:val="00BA71BE"/>
    <w:rsid w:val="00BB0877"/>
    <w:rsid w:val="00BB0B68"/>
    <w:rsid w:val="00BB2FC7"/>
    <w:rsid w:val="00BB4310"/>
    <w:rsid w:val="00BB60A0"/>
    <w:rsid w:val="00BC1CAA"/>
    <w:rsid w:val="00BC4595"/>
    <w:rsid w:val="00BC45FC"/>
    <w:rsid w:val="00BC59A6"/>
    <w:rsid w:val="00BD0838"/>
    <w:rsid w:val="00BD0E24"/>
    <w:rsid w:val="00BD1726"/>
    <w:rsid w:val="00BD1894"/>
    <w:rsid w:val="00BD4598"/>
    <w:rsid w:val="00BD595D"/>
    <w:rsid w:val="00BD7A1A"/>
    <w:rsid w:val="00BD7D46"/>
    <w:rsid w:val="00BE154B"/>
    <w:rsid w:val="00BE2B02"/>
    <w:rsid w:val="00BE2BF0"/>
    <w:rsid w:val="00BE2E26"/>
    <w:rsid w:val="00BE3938"/>
    <w:rsid w:val="00BE4286"/>
    <w:rsid w:val="00BE45E4"/>
    <w:rsid w:val="00BE5C77"/>
    <w:rsid w:val="00BE6454"/>
    <w:rsid w:val="00BE657C"/>
    <w:rsid w:val="00BE6614"/>
    <w:rsid w:val="00BE6AB0"/>
    <w:rsid w:val="00BE7348"/>
    <w:rsid w:val="00BE7F92"/>
    <w:rsid w:val="00BF01BA"/>
    <w:rsid w:val="00BF0D0D"/>
    <w:rsid w:val="00BF10F4"/>
    <w:rsid w:val="00BF1230"/>
    <w:rsid w:val="00BF194A"/>
    <w:rsid w:val="00BF23A1"/>
    <w:rsid w:val="00BF3D85"/>
    <w:rsid w:val="00BF424A"/>
    <w:rsid w:val="00BF4DA0"/>
    <w:rsid w:val="00BF63D6"/>
    <w:rsid w:val="00BF6EF1"/>
    <w:rsid w:val="00C00662"/>
    <w:rsid w:val="00C0118B"/>
    <w:rsid w:val="00C048D5"/>
    <w:rsid w:val="00C05970"/>
    <w:rsid w:val="00C05EC8"/>
    <w:rsid w:val="00C06EBF"/>
    <w:rsid w:val="00C07A0F"/>
    <w:rsid w:val="00C11130"/>
    <w:rsid w:val="00C117D7"/>
    <w:rsid w:val="00C12046"/>
    <w:rsid w:val="00C1387E"/>
    <w:rsid w:val="00C141F4"/>
    <w:rsid w:val="00C14387"/>
    <w:rsid w:val="00C164ED"/>
    <w:rsid w:val="00C16D92"/>
    <w:rsid w:val="00C20379"/>
    <w:rsid w:val="00C216D8"/>
    <w:rsid w:val="00C21CB6"/>
    <w:rsid w:val="00C21E51"/>
    <w:rsid w:val="00C22129"/>
    <w:rsid w:val="00C2339C"/>
    <w:rsid w:val="00C235EE"/>
    <w:rsid w:val="00C2463B"/>
    <w:rsid w:val="00C24756"/>
    <w:rsid w:val="00C24EFF"/>
    <w:rsid w:val="00C250AF"/>
    <w:rsid w:val="00C250E8"/>
    <w:rsid w:val="00C2629B"/>
    <w:rsid w:val="00C26BC1"/>
    <w:rsid w:val="00C31084"/>
    <w:rsid w:val="00C32C01"/>
    <w:rsid w:val="00C32F54"/>
    <w:rsid w:val="00C340FE"/>
    <w:rsid w:val="00C35B51"/>
    <w:rsid w:val="00C36766"/>
    <w:rsid w:val="00C36E66"/>
    <w:rsid w:val="00C40DA8"/>
    <w:rsid w:val="00C42D5A"/>
    <w:rsid w:val="00C45F29"/>
    <w:rsid w:val="00C46BF8"/>
    <w:rsid w:val="00C47EE0"/>
    <w:rsid w:val="00C51A16"/>
    <w:rsid w:val="00C52CE1"/>
    <w:rsid w:val="00C5356C"/>
    <w:rsid w:val="00C5357E"/>
    <w:rsid w:val="00C551FF"/>
    <w:rsid w:val="00C60A00"/>
    <w:rsid w:val="00C61838"/>
    <w:rsid w:val="00C61D48"/>
    <w:rsid w:val="00C6210F"/>
    <w:rsid w:val="00C63C5B"/>
    <w:rsid w:val="00C64D9E"/>
    <w:rsid w:val="00C70FD8"/>
    <w:rsid w:val="00C71673"/>
    <w:rsid w:val="00C72146"/>
    <w:rsid w:val="00C73097"/>
    <w:rsid w:val="00C75A16"/>
    <w:rsid w:val="00C80339"/>
    <w:rsid w:val="00C81442"/>
    <w:rsid w:val="00C820CC"/>
    <w:rsid w:val="00C825B5"/>
    <w:rsid w:val="00C82DDE"/>
    <w:rsid w:val="00C845F9"/>
    <w:rsid w:val="00C84FB0"/>
    <w:rsid w:val="00C85077"/>
    <w:rsid w:val="00C85ABB"/>
    <w:rsid w:val="00C8675E"/>
    <w:rsid w:val="00C8773D"/>
    <w:rsid w:val="00C902BA"/>
    <w:rsid w:val="00C91ABE"/>
    <w:rsid w:val="00C934DD"/>
    <w:rsid w:val="00C945C7"/>
    <w:rsid w:val="00C94B77"/>
    <w:rsid w:val="00C94C91"/>
    <w:rsid w:val="00C94FCC"/>
    <w:rsid w:val="00C95368"/>
    <w:rsid w:val="00C9562E"/>
    <w:rsid w:val="00C96657"/>
    <w:rsid w:val="00C97482"/>
    <w:rsid w:val="00C97B1A"/>
    <w:rsid w:val="00CA166D"/>
    <w:rsid w:val="00CA46F3"/>
    <w:rsid w:val="00CA49AE"/>
    <w:rsid w:val="00CB23E6"/>
    <w:rsid w:val="00CB367B"/>
    <w:rsid w:val="00CB370C"/>
    <w:rsid w:val="00CB4C81"/>
    <w:rsid w:val="00CB5379"/>
    <w:rsid w:val="00CB5F6F"/>
    <w:rsid w:val="00CB6F4F"/>
    <w:rsid w:val="00CB7AB1"/>
    <w:rsid w:val="00CC2610"/>
    <w:rsid w:val="00CC2CA9"/>
    <w:rsid w:val="00CC35AA"/>
    <w:rsid w:val="00CC46EE"/>
    <w:rsid w:val="00CC573F"/>
    <w:rsid w:val="00CC669B"/>
    <w:rsid w:val="00CC7CE5"/>
    <w:rsid w:val="00CD2690"/>
    <w:rsid w:val="00CD2A57"/>
    <w:rsid w:val="00CD55D0"/>
    <w:rsid w:val="00CD5EB7"/>
    <w:rsid w:val="00CD61B7"/>
    <w:rsid w:val="00CD7491"/>
    <w:rsid w:val="00CE0F2E"/>
    <w:rsid w:val="00CE1FA3"/>
    <w:rsid w:val="00CE2048"/>
    <w:rsid w:val="00CE3C65"/>
    <w:rsid w:val="00CE5C0A"/>
    <w:rsid w:val="00CE7242"/>
    <w:rsid w:val="00CF002D"/>
    <w:rsid w:val="00CF19F6"/>
    <w:rsid w:val="00CF2AF3"/>
    <w:rsid w:val="00CF33DA"/>
    <w:rsid w:val="00CF3E11"/>
    <w:rsid w:val="00CF400F"/>
    <w:rsid w:val="00CF6362"/>
    <w:rsid w:val="00CF7179"/>
    <w:rsid w:val="00CF7339"/>
    <w:rsid w:val="00CF7F9B"/>
    <w:rsid w:val="00D01A99"/>
    <w:rsid w:val="00D043B1"/>
    <w:rsid w:val="00D0474F"/>
    <w:rsid w:val="00D05AC8"/>
    <w:rsid w:val="00D0640C"/>
    <w:rsid w:val="00D06C20"/>
    <w:rsid w:val="00D07EC0"/>
    <w:rsid w:val="00D13D28"/>
    <w:rsid w:val="00D14A05"/>
    <w:rsid w:val="00D166B2"/>
    <w:rsid w:val="00D17634"/>
    <w:rsid w:val="00D21791"/>
    <w:rsid w:val="00D226E2"/>
    <w:rsid w:val="00D22722"/>
    <w:rsid w:val="00D23CAD"/>
    <w:rsid w:val="00D2665B"/>
    <w:rsid w:val="00D26956"/>
    <w:rsid w:val="00D26D7A"/>
    <w:rsid w:val="00D277D2"/>
    <w:rsid w:val="00D30A9C"/>
    <w:rsid w:val="00D31233"/>
    <w:rsid w:val="00D3173D"/>
    <w:rsid w:val="00D3338A"/>
    <w:rsid w:val="00D33EB5"/>
    <w:rsid w:val="00D3416A"/>
    <w:rsid w:val="00D40089"/>
    <w:rsid w:val="00D41A48"/>
    <w:rsid w:val="00D464BA"/>
    <w:rsid w:val="00D469B7"/>
    <w:rsid w:val="00D46CF4"/>
    <w:rsid w:val="00D4777E"/>
    <w:rsid w:val="00D47F1C"/>
    <w:rsid w:val="00D51438"/>
    <w:rsid w:val="00D52921"/>
    <w:rsid w:val="00D52EFE"/>
    <w:rsid w:val="00D54672"/>
    <w:rsid w:val="00D56385"/>
    <w:rsid w:val="00D60473"/>
    <w:rsid w:val="00D6180B"/>
    <w:rsid w:val="00D633E0"/>
    <w:rsid w:val="00D643E9"/>
    <w:rsid w:val="00D660D8"/>
    <w:rsid w:val="00D700DB"/>
    <w:rsid w:val="00D72242"/>
    <w:rsid w:val="00D72BCA"/>
    <w:rsid w:val="00D734FA"/>
    <w:rsid w:val="00D7475E"/>
    <w:rsid w:val="00D764C1"/>
    <w:rsid w:val="00D76885"/>
    <w:rsid w:val="00D80409"/>
    <w:rsid w:val="00D807B7"/>
    <w:rsid w:val="00D817BF"/>
    <w:rsid w:val="00D8300A"/>
    <w:rsid w:val="00D85CAF"/>
    <w:rsid w:val="00D85D01"/>
    <w:rsid w:val="00D85F3F"/>
    <w:rsid w:val="00D86889"/>
    <w:rsid w:val="00D86BE1"/>
    <w:rsid w:val="00D9001D"/>
    <w:rsid w:val="00D902F0"/>
    <w:rsid w:val="00D91268"/>
    <w:rsid w:val="00D91D41"/>
    <w:rsid w:val="00D92BEA"/>
    <w:rsid w:val="00D93744"/>
    <w:rsid w:val="00D939EF"/>
    <w:rsid w:val="00D9407A"/>
    <w:rsid w:val="00D9418B"/>
    <w:rsid w:val="00D951D3"/>
    <w:rsid w:val="00D956DE"/>
    <w:rsid w:val="00D9593A"/>
    <w:rsid w:val="00D977C7"/>
    <w:rsid w:val="00DA07A1"/>
    <w:rsid w:val="00DA0F8D"/>
    <w:rsid w:val="00DA1483"/>
    <w:rsid w:val="00DA20C9"/>
    <w:rsid w:val="00DA2E4C"/>
    <w:rsid w:val="00DA33F7"/>
    <w:rsid w:val="00DA44DC"/>
    <w:rsid w:val="00DA53EF"/>
    <w:rsid w:val="00DA6523"/>
    <w:rsid w:val="00DA70DE"/>
    <w:rsid w:val="00DB045C"/>
    <w:rsid w:val="00DB0E88"/>
    <w:rsid w:val="00DB0E8F"/>
    <w:rsid w:val="00DB1A8C"/>
    <w:rsid w:val="00DB2B75"/>
    <w:rsid w:val="00DB3678"/>
    <w:rsid w:val="00DB7A25"/>
    <w:rsid w:val="00DC2C27"/>
    <w:rsid w:val="00DC3D96"/>
    <w:rsid w:val="00DC6D97"/>
    <w:rsid w:val="00DD032E"/>
    <w:rsid w:val="00DD06DA"/>
    <w:rsid w:val="00DD1282"/>
    <w:rsid w:val="00DD21FE"/>
    <w:rsid w:val="00DD23F7"/>
    <w:rsid w:val="00DD2D3E"/>
    <w:rsid w:val="00DD35FB"/>
    <w:rsid w:val="00DD3E0D"/>
    <w:rsid w:val="00DD4114"/>
    <w:rsid w:val="00DD5115"/>
    <w:rsid w:val="00DD59D1"/>
    <w:rsid w:val="00DD6D5E"/>
    <w:rsid w:val="00DE086D"/>
    <w:rsid w:val="00DE310D"/>
    <w:rsid w:val="00DE3C24"/>
    <w:rsid w:val="00DE4D65"/>
    <w:rsid w:val="00DE561F"/>
    <w:rsid w:val="00DE5B66"/>
    <w:rsid w:val="00DE6965"/>
    <w:rsid w:val="00DE6BBF"/>
    <w:rsid w:val="00DE73F1"/>
    <w:rsid w:val="00DE78C4"/>
    <w:rsid w:val="00DF056A"/>
    <w:rsid w:val="00DF09F2"/>
    <w:rsid w:val="00DF1D3A"/>
    <w:rsid w:val="00DF2050"/>
    <w:rsid w:val="00DF2216"/>
    <w:rsid w:val="00DF2B3A"/>
    <w:rsid w:val="00DF470F"/>
    <w:rsid w:val="00DF5AF8"/>
    <w:rsid w:val="00DF768E"/>
    <w:rsid w:val="00E01260"/>
    <w:rsid w:val="00E0165F"/>
    <w:rsid w:val="00E022D1"/>
    <w:rsid w:val="00E02DE1"/>
    <w:rsid w:val="00E0311A"/>
    <w:rsid w:val="00E0552D"/>
    <w:rsid w:val="00E07023"/>
    <w:rsid w:val="00E10AAC"/>
    <w:rsid w:val="00E10C82"/>
    <w:rsid w:val="00E11BF7"/>
    <w:rsid w:val="00E11D34"/>
    <w:rsid w:val="00E13E46"/>
    <w:rsid w:val="00E155C5"/>
    <w:rsid w:val="00E156B9"/>
    <w:rsid w:val="00E15E70"/>
    <w:rsid w:val="00E15F8D"/>
    <w:rsid w:val="00E16CDA"/>
    <w:rsid w:val="00E21180"/>
    <w:rsid w:val="00E276C8"/>
    <w:rsid w:val="00E2772A"/>
    <w:rsid w:val="00E314C9"/>
    <w:rsid w:val="00E3186F"/>
    <w:rsid w:val="00E329A5"/>
    <w:rsid w:val="00E33C0F"/>
    <w:rsid w:val="00E357B0"/>
    <w:rsid w:val="00E35A0A"/>
    <w:rsid w:val="00E370EC"/>
    <w:rsid w:val="00E377F1"/>
    <w:rsid w:val="00E37CC6"/>
    <w:rsid w:val="00E40D77"/>
    <w:rsid w:val="00E4122C"/>
    <w:rsid w:val="00E42311"/>
    <w:rsid w:val="00E43887"/>
    <w:rsid w:val="00E460AF"/>
    <w:rsid w:val="00E5062F"/>
    <w:rsid w:val="00E51A03"/>
    <w:rsid w:val="00E52A10"/>
    <w:rsid w:val="00E52A97"/>
    <w:rsid w:val="00E547C9"/>
    <w:rsid w:val="00E55233"/>
    <w:rsid w:val="00E55332"/>
    <w:rsid w:val="00E554DC"/>
    <w:rsid w:val="00E55AED"/>
    <w:rsid w:val="00E568C3"/>
    <w:rsid w:val="00E60842"/>
    <w:rsid w:val="00E60D34"/>
    <w:rsid w:val="00E63E1A"/>
    <w:rsid w:val="00E67068"/>
    <w:rsid w:val="00E723BD"/>
    <w:rsid w:val="00E730E2"/>
    <w:rsid w:val="00E76BC4"/>
    <w:rsid w:val="00E77CBF"/>
    <w:rsid w:val="00E77E93"/>
    <w:rsid w:val="00E8296B"/>
    <w:rsid w:val="00E82A2B"/>
    <w:rsid w:val="00E84B86"/>
    <w:rsid w:val="00E84EDD"/>
    <w:rsid w:val="00E8578F"/>
    <w:rsid w:val="00E85BA4"/>
    <w:rsid w:val="00E87630"/>
    <w:rsid w:val="00E87695"/>
    <w:rsid w:val="00E87AC7"/>
    <w:rsid w:val="00E90235"/>
    <w:rsid w:val="00E90A04"/>
    <w:rsid w:val="00E91473"/>
    <w:rsid w:val="00E91B73"/>
    <w:rsid w:val="00E91C46"/>
    <w:rsid w:val="00E92941"/>
    <w:rsid w:val="00E92A80"/>
    <w:rsid w:val="00E937FA"/>
    <w:rsid w:val="00E93DC1"/>
    <w:rsid w:val="00E9408B"/>
    <w:rsid w:val="00E951E2"/>
    <w:rsid w:val="00E962D2"/>
    <w:rsid w:val="00E9672E"/>
    <w:rsid w:val="00E97289"/>
    <w:rsid w:val="00EA0A5C"/>
    <w:rsid w:val="00EA2E69"/>
    <w:rsid w:val="00EA4AD1"/>
    <w:rsid w:val="00EA5702"/>
    <w:rsid w:val="00EA6772"/>
    <w:rsid w:val="00EA677D"/>
    <w:rsid w:val="00EA7525"/>
    <w:rsid w:val="00EB1E34"/>
    <w:rsid w:val="00EB20AF"/>
    <w:rsid w:val="00EB4078"/>
    <w:rsid w:val="00EB40F5"/>
    <w:rsid w:val="00EB4469"/>
    <w:rsid w:val="00EB4669"/>
    <w:rsid w:val="00EB50AD"/>
    <w:rsid w:val="00EB695D"/>
    <w:rsid w:val="00EB765E"/>
    <w:rsid w:val="00EB7CCE"/>
    <w:rsid w:val="00EC3B3F"/>
    <w:rsid w:val="00EC3B7A"/>
    <w:rsid w:val="00EC5ACB"/>
    <w:rsid w:val="00EC5DC6"/>
    <w:rsid w:val="00ED0AA4"/>
    <w:rsid w:val="00ED130E"/>
    <w:rsid w:val="00ED32BB"/>
    <w:rsid w:val="00ED4595"/>
    <w:rsid w:val="00ED5889"/>
    <w:rsid w:val="00ED63B0"/>
    <w:rsid w:val="00ED6A86"/>
    <w:rsid w:val="00ED6C20"/>
    <w:rsid w:val="00ED7D4A"/>
    <w:rsid w:val="00ED7F0F"/>
    <w:rsid w:val="00EE00AB"/>
    <w:rsid w:val="00EE25F4"/>
    <w:rsid w:val="00EE263C"/>
    <w:rsid w:val="00EE3A63"/>
    <w:rsid w:val="00EE6BC9"/>
    <w:rsid w:val="00EE7D4A"/>
    <w:rsid w:val="00EF013E"/>
    <w:rsid w:val="00EF2984"/>
    <w:rsid w:val="00EF5D8D"/>
    <w:rsid w:val="00EF7A7C"/>
    <w:rsid w:val="00F000E6"/>
    <w:rsid w:val="00F01835"/>
    <w:rsid w:val="00F04BBB"/>
    <w:rsid w:val="00F05170"/>
    <w:rsid w:val="00F06508"/>
    <w:rsid w:val="00F06BB1"/>
    <w:rsid w:val="00F073BC"/>
    <w:rsid w:val="00F1021E"/>
    <w:rsid w:val="00F11241"/>
    <w:rsid w:val="00F11929"/>
    <w:rsid w:val="00F12870"/>
    <w:rsid w:val="00F12D40"/>
    <w:rsid w:val="00F153A3"/>
    <w:rsid w:val="00F1688B"/>
    <w:rsid w:val="00F20C7A"/>
    <w:rsid w:val="00F227C9"/>
    <w:rsid w:val="00F23207"/>
    <w:rsid w:val="00F266B1"/>
    <w:rsid w:val="00F273E2"/>
    <w:rsid w:val="00F27A78"/>
    <w:rsid w:val="00F3063E"/>
    <w:rsid w:val="00F31EAD"/>
    <w:rsid w:val="00F32F93"/>
    <w:rsid w:val="00F3362C"/>
    <w:rsid w:val="00F33E7B"/>
    <w:rsid w:val="00F3515A"/>
    <w:rsid w:val="00F35E7B"/>
    <w:rsid w:val="00F3671D"/>
    <w:rsid w:val="00F36E98"/>
    <w:rsid w:val="00F37675"/>
    <w:rsid w:val="00F37C2A"/>
    <w:rsid w:val="00F37E38"/>
    <w:rsid w:val="00F403A3"/>
    <w:rsid w:val="00F4274F"/>
    <w:rsid w:val="00F427FD"/>
    <w:rsid w:val="00F43E95"/>
    <w:rsid w:val="00F45AAC"/>
    <w:rsid w:val="00F468FD"/>
    <w:rsid w:val="00F47A21"/>
    <w:rsid w:val="00F50030"/>
    <w:rsid w:val="00F51FA6"/>
    <w:rsid w:val="00F5345A"/>
    <w:rsid w:val="00F54AFF"/>
    <w:rsid w:val="00F63FAC"/>
    <w:rsid w:val="00F642A4"/>
    <w:rsid w:val="00F656B6"/>
    <w:rsid w:val="00F67934"/>
    <w:rsid w:val="00F701A1"/>
    <w:rsid w:val="00F701A3"/>
    <w:rsid w:val="00F70DC8"/>
    <w:rsid w:val="00F70FA4"/>
    <w:rsid w:val="00F7395E"/>
    <w:rsid w:val="00F73CA2"/>
    <w:rsid w:val="00F74297"/>
    <w:rsid w:val="00F75C6F"/>
    <w:rsid w:val="00F75D95"/>
    <w:rsid w:val="00F762C6"/>
    <w:rsid w:val="00F802EA"/>
    <w:rsid w:val="00F818FC"/>
    <w:rsid w:val="00F81A0E"/>
    <w:rsid w:val="00F83656"/>
    <w:rsid w:val="00F8384A"/>
    <w:rsid w:val="00F857CF"/>
    <w:rsid w:val="00F86A20"/>
    <w:rsid w:val="00F873AB"/>
    <w:rsid w:val="00F876D8"/>
    <w:rsid w:val="00F87E27"/>
    <w:rsid w:val="00F90409"/>
    <w:rsid w:val="00F9075B"/>
    <w:rsid w:val="00F91BD7"/>
    <w:rsid w:val="00F9416E"/>
    <w:rsid w:val="00F9473E"/>
    <w:rsid w:val="00F94E5D"/>
    <w:rsid w:val="00FA080F"/>
    <w:rsid w:val="00FA2A4B"/>
    <w:rsid w:val="00FA4BB6"/>
    <w:rsid w:val="00FA500A"/>
    <w:rsid w:val="00FA52EC"/>
    <w:rsid w:val="00FA5C07"/>
    <w:rsid w:val="00FB05B9"/>
    <w:rsid w:val="00FB0F75"/>
    <w:rsid w:val="00FB381D"/>
    <w:rsid w:val="00FB39DA"/>
    <w:rsid w:val="00FB3DD3"/>
    <w:rsid w:val="00FB447E"/>
    <w:rsid w:val="00FB4E69"/>
    <w:rsid w:val="00FB54E5"/>
    <w:rsid w:val="00FB65DD"/>
    <w:rsid w:val="00FB6678"/>
    <w:rsid w:val="00FC0110"/>
    <w:rsid w:val="00FC106A"/>
    <w:rsid w:val="00FC17F3"/>
    <w:rsid w:val="00FC1C3B"/>
    <w:rsid w:val="00FC477C"/>
    <w:rsid w:val="00FC4B10"/>
    <w:rsid w:val="00FC50E1"/>
    <w:rsid w:val="00FD21DE"/>
    <w:rsid w:val="00FD3904"/>
    <w:rsid w:val="00FE01DE"/>
    <w:rsid w:val="00FE1181"/>
    <w:rsid w:val="00FE16AA"/>
    <w:rsid w:val="00FE2221"/>
    <w:rsid w:val="00FE2B22"/>
    <w:rsid w:val="00FE2C6A"/>
    <w:rsid w:val="00FE2F89"/>
    <w:rsid w:val="00FE6A49"/>
    <w:rsid w:val="00FF3203"/>
    <w:rsid w:val="00FF3431"/>
    <w:rsid w:val="00FF587F"/>
    <w:rsid w:val="015749E4"/>
    <w:rsid w:val="0200793B"/>
    <w:rsid w:val="02334535"/>
    <w:rsid w:val="02FC48C9"/>
    <w:rsid w:val="0349694C"/>
    <w:rsid w:val="047F14F6"/>
    <w:rsid w:val="06A13882"/>
    <w:rsid w:val="077F678A"/>
    <w:rsid w:val="0784181A"/>
    <w:rsid w:val="078A6392"/>
    <w:rsid w:val="080148AF"/>
    <w:rsid w:val="08964A5B"/>
    <w:rsid w:val="08BB01F5"/>
    <w:rsid w:val="08BE3D0E"/>
    <w:rsid w:val="091273C8"/>
    <w:rsid w:val="095A3EB3"/>
    <w:rsid w:val="09AF5D8A"/>
    <w:rsid w:val="0A8C5B50"/>
    <w:rsid w:val="0AE201AF"/>
    <w:rsid w:val="0AF9000A"/>
    <w:rsid w:val="0B0621DE"/>
    <w:rsid w:val="0B9C50A6"/>
    <w:rsid w:val="0BEA0144"/>
    <w:rsid w:val="0C57383E"/>
    <w:rsid w:val="0C842B19"/>
    <w:rsid w:val="0D152FD1"/>
    <w:rsid w:val="0DAA6EE3"/>
    <w:rsid w:val="0EA80F3D"/>
    <w:rsid w:val="0EE76EA3"/>
    <w:rsid w:val="0F275AD6"/>
    <w:rsid w:val="0F52345A"/>
    <w:rsid w:val="0F8E7161"/>
    <w:rsid w:val="0FCA655C"/>
    <w:rsid w:val="0FDE7607"/>
    <w:rsid w:val="0FE24A85"/>
    <w:rsid w:val="10250DBF"/>
    <w:rsid w:val="1042203A"/>
    <w:rsid w:val="1085201F"/>
    <w:rsid w:val="111120E9"/>
    <w:rsid w:val="1265375F"/>
    <w:rsid w:val="132C0B0D"/>
    <w:rsid w:val="13AE1A89"/>
    <w:rsid w:val="14757048"/>
    <w:rsid w:val="152D686C"/>
    <w:rsid w:val="15897082"/>
    <w:rsid w:val="15BF6A4E"/>
    <w:rsid w:val="15C01492"/>
    <w:rsid w:val="15F225A4"/>
    <w:rsid w:val="15FA6A8E"/>
    <w:rsid w:val="169F24F9"/>
    <w:rsid w:val="16B26543"/>
    <w:rsid w:val="172719ED"/>
    <w:rsid w:val="17C2019D"/>
    <w:rsid w:val="17C2701D"/>
    <w:rsid w:val="181628CA"/>
    <w:rsid w:val="184B1F52"/>
    <w:rsid w:val="184C635D"/>
    <w:rsid w:val="185A0E47"/>
    <w:rsid w:val="18C81CC2"/>
    <w:rsid w:val="18DC6385"/>
    <w:rsid w:val="19222175"/>
    <w:rsid w:val="193773E7"/>
    <w:rsid w:val="1950788F"/>
    <w:rsid w:val="19A31644"/>
    <w:rsid w:val="19B7782E"/>
    <w:rsid w:val="19DD6A73"/>
    <w:rsid w:val="19E35A58"/>
    <w:rsid w:val="19F63BD3"/>
    <w:rsid w:val="1A9F7CAF"/>
    <w:rsid w:val="1AD85BDB"/>
    <w:rsid w:val="1BE52324"/>
    <w:rsid w:val="1DC00FB1"/>
    <w:rsid w:val="1DFB2B4C"/>
    <w:rsid w:val="1E6221EE"/>
    <w:rsid w:val="1EA22379"/>
    <w:rsid w:val="1ED86482"/>
    <w:rsid w:val="1F732005"/>
    <w:rsid w:val="1FC41F93"/>
    <w:rsid w:val="207627DD"/>
    <w:rsid w:val="207A158C"/>
    <w:rsid w:val="20ED7B22"/>
    <w:rsid w:val="2144345A"/>
    <w:rsid w:val="21EA7088"/>
    <w:rsid w:val="22066840"/>
    <w:rsid w:val="22676272"/>
    <w:rsid w:val="226B76F3"/>
    <w:rsid w:val="2284006D"/>
    <w:rsid w:val="22F27EB9"/>
    <w:rsid w:val="23C57000"/>
    <w:rsid w:val="23F92771"/>
    <w:rsid w:val="23FE1D42"/>
    <w:rsid w:val="248A2691"/>
    <w:rsid w:val="25300C6A"/>
    <w:rsid w:val="25515C4F"/>
    <w:rsid w:val="25C85D51"/>
    <w:rsid w:val="2614277F"/>
    <w:rsid w:val="263C781E"/>
    <w:rsid w:val="27E847FB"/>
    <w:rsid w:val="28007CDD"/>
    <w:rsid w:val="284D226C"/>
    <w:rsid w:val="286F2458"/>
    <w:rsid w:val="288917EC"/>
    <w:rsid w:val="28A91EE6"/>
    <w:rsid w:val="2AD2132A"/>
    <w:rsid w:val="2B481B94"/>
    <w:rsid w:val="2B8E186D"/>
    <w:rsid w:val="2BBC2FE2"/>
    <w:rsid w:val="2BF0483A"/>
    <w:rsid w:val="2C8262BD"/>
    <w:rsid w:val="2D31597C"/>
    <w:rsid w:val="2D3647AC"/>
    <w:rsid w:val="2DCD79AA"/>
    <w:rsid w:val="2E31349D"/>
    <w:rsid w:val="2E3660CD"/>
    <w:rsid w:val="2E9221AB"/>
    <w:rsid w:val="2ED87585"/>
    <w:rsid w:val="30353F53"/>
    <w:rsid w:val="3046513C"/>
    <w:rsid w:val="30725375"/>
    <w:rsid w:val="31307693"/>
    <w:rsid w:val="328D1E6E"/>
    <w:rsid w:val="339103DF"/>
    <w:rsid w:val="342F2A3B"/>
    <w:rsid w:val="34454F35"/>
    <w:rsid w:val="3456457B"/>
    <w:rsid w:val="34753CDE"/>
    <w:rsid w:val="348D1B16"/>
    <w:rsid w:val="34C446FA"/>
    <w:rsid w:val="34EF02DD"/>
    <w:rsid w:val="356A19F8"/>
    <w:rsid w:val="356E25E3"/>
    <w:rsid w:val="36080CF8"/>
    <w:rsid w:val="362F31E5"/>
    <w:rsid w:val="36351DF0"/>
    <w:rsid w:val="364B5C23"/>
    <w:rsid w:val="36AA0D9D"/>
    <w:rsid w:val="372B6750"/>
    <w:rsid w:val="380520D2"/>
    <w:rsid w:val="38266DB2"/>
    <w:rsid w:val="38B5192E"/>
    <w:rsid w:val="38BA023F"/>
    <w:rsid w:val="39C5733F"/>
    <w:rsid w:val="39F26384"/>
    <w:rsid w:val="3A132737"/>
    <w:rsid w:val="3A174566"/>
    <w:rsid w:val="3A702FD2"/>
    <w:rsid w:val="3A8C0530"/>
    <w:rsid w:val="3ABE189E"/>
    <w:rsid w:val="3B031C15"/>
    <w:rsid w:val="3BC57566"/>
    <w:rsid w:val="3C5575A6"/>
    <w:rsid w:val="3DE87529"/>
    <w:rsid w:val="3E344C49"/>
    <w:rsid w:val="3E967F60"/>
    <w:rsid w:val="3F3F52D5"/>
    <w:rsid w:val="3F6C2A30"/>
    <w:rsid w:val="3FBB0143"/>
    <w:rsid w:val="401D5610"/>
    <w:rsid w:val="40645A98"/>
    <w:rsid w:val="40EE0D4C"/>
    <w:rsid w:val="41017D05"/>
    <w:rsid w:val="4265529E"/>
    <w:rsid w:val="42E32959"/>
    <w:rsid w:val="43AD12F5"/>
    <w:rsid w:val="43F23297"/>
    <w:rsid w:val="43F96090"/>
    <w:rsid w:val="446E79F3"/>
    <w:rsid w:val="44E2320A"/>
    <w:rsid w:val="45304030"/>
    <w:rsid w:val="45DB24DD"/>
    <w:rsid w:val="460D7EA6"/>
    <w:rsid w:val="47734578"/>
    <w:rsid w:val="48552A62"/>
    <w:rsid w:val="48B76DC3"/>
    <w:rsid w:val="48FD65EB"/>
    <w:rsid w:val="4AC07D22"/>
    <w:rsid w:val="4B030190"/>
    <w:rsid w:val="4BA35108"/>
    <w:rsid w:val="4BDB55CC"/>
    <w:rsid w:val="4C3C4249"/>
    <w:rsid w:val="4C9A1224"/>
    <w:rsid w:val="4DB14B5B"/>
    <w:rsid w:val="4DC745CF"/>
    <w:rsid w:val="4E963E3A"/>
    <w:rsid w:val="4ED8405C"/>
    <w:rsid w:val="4F18534C"/>
    <w:rsid w:val="4F564BC8"/>
    <w:rsid w:val="504F4434"/>
    <w:rsid w:val="507E5072"/>
    <w:rsid w:val="508F405E"/>
    <w:rsid w:val="50A03B7F"/>
    <w:rsid w:val="50F20767"/>
    <w:rsid w:val="51054F4B"/>
    <w:rsid w:val="52ED4C51"/>
    <w:rsid w:val="534D0081"/>
    <w:rsid w:val="55700E66"/>
    <w:rsid w:val="55A03A9E"/>
    <w:rsid w:val="55CC7DFC"/>
    <w:rsid w:val="565B4997"/>
    <w:rsid w:val="56CB084A"/>
    <w:rsid w:val="56CE3B28"/>
    <w:rsid w:val="572F18D8"/>
    <w:rsid w:val="577C16F5"/>
    <w:rsid w:val="57925508"/>
    <w:rsid w:val="579D7BB8"/>
    <w:rsid w:val="57AA3D01"/>
    <w:rsid w:val="57C76FD5"/>
    <w:rsid w:val="587A679A"/>
    <w:rsid w:val="58D5148B"/>
    <w:rsid w:val="593F51EB"/>
    <w:rsid w:val="595B142D"/>
    <w:rsid w:val="595C1C70"/>
    <w:rsid w:val="5B47473B"/>
    <w:rsid w:val="5C6D1EBA"/>
    <w:rsid w:val="5CA870E8"/>
    <w:rsid w:val="5CC81A62"/>
    <w:rsid w:val="5D170151"/>
    <w:rsid w:val="5DBA396B"/>
    <w:rsid w:val="5E651B1C"/>
    <w:rsid w:val="5E8B0D12"/>
    <w:rsid w:val="5F160C66"/>
    <w:rsid w:val="604D5A47"/>
    <w:rsid w:val="60C1288A"/>
    <w:rsid w:val="60DF4A08"/>
    <w:rsid w:val="615936E8"/>
    <w:rsid w:val="626E3366"/>
    <w:rsid w:val="62C12216"/>
    <w:rsid w:val="6374283A"/>
    <w:rsid w:val="640A45B0"/>
    <w:rsid w:val="64D24F1B"/>
    <w:rsid w:val="65114189"/>
    <w:rsid w:val="654E1474"/>
    <w:rsid w:val="65837877"/>
    <w:rsid w:val="65F5498B"/>
    <w:rsid w:val="66224D3F"/>
    <w:rsid w:val="66314A54"/>
    <w:rsid w:val="67365D2F"/>
    <w:rsid w:val="67C6161A"/>
    <w:rsid w:val="685B4CAB"/>
    <w:rsid w:val="68864D88"/>
    <w:rsid w:val="68D92BFC"/>
    <w:rsid w:val="690F1984"/>
    <w:rsid w:val="69323A69"/>
    <w:rsid w:val="69766BF9"/>
    <w:rsid w:val="69D93CB3"/>
    <w:rsid w:val="6B253E3B"/>
    <w:rsid w:val="6B3F3D98"/>
    <w:rsid w:val="6B6838D8"/>
    <w:rsid w:val="6BCF0E2D"/>
    <w:rsid w:val="6C1A2D62"/>
    <w:rsid w:val="6D402506"/>
    <w:rsid w:val="6D77645E"/>
    <w:rsid w:val="6DCC0D66"/>
    <w:rsid w:val="6DD4578E"/>
    <w:rsid w:val="6E8F65C9"/>
    <w:rsid w:val="6F637138"/>
    <w:rsid w:val="70206E50"/>
    <w:rsid w:val="70BA00E3"/>
    <w:rsid w:val="71E93A99"/>
    <w:rsid w:val="722D7B13"/>
    <w:rsid w:val="723504C5"/>
    <w:rsid w:val="72450471"/>
    <w:rsid w:val="72906DEE"/>
    <w:rsid w:val="729D1F49"/>
    <w:rsid w:val="735C2FA6"/>
    <w:rsid w:val="7389024B"/>
    <w:rsid w:val="74702F95"/>
    <w:rsid w:val="74A05D96"/>
    <w:rsid w:val="74B11DC2"/>
    <w:rsid w:val="75EF3877"/>
    <w:rsid w:val="76935272"/>
    <w:rsid w:val="78B17B19"/>
    <w:rsid w:val="78C32883"/>
    <w:rsid w:val="79601BAC"/>
    <w:rsid w:val="79F66AC9"/>
    <w:rsid w:val="79FF388B"/>
    <w:rsid w:val="7A6E22AF"/>
    <w:rsid w:val="7AF57BA1"/>
    <w:rsid w:val="7C154A56"/>
    <w:rsid w:val="7C6972D0"/>
    <w:rsid w:val="7C99393F"/>
    <w:rsid w:val="7CF729A9"/>
    <w:rsid w:val="7D031220"/>
    <w:rsid w:val="7DD97EAD"/>
    <w:rsid w:val="7F247A4A"/>
    <w:rsid w:val="7F4E42E1"/>
    <w:rsid w:val="7FCF21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0"/>
    <w:pPr>
      <w:keepNext/>
      <w:keepLines/>
      <w:spacing w:before="340" w:after="330" w:line="578" w:lineRule="auto"/>
      <w:outlineLvl w:val="0"/>
    </w:pPr>
    <w:rPr>
      <w:rFonts w:ascii="Times New Roman" w:hAnsi="Times New Roman" w:eastAsia="黑体"/>
      <w:b/>
      <w:bCs/>
      <w:kern w:val="44"/>
      <w:sz w:val="32"/>
      <w:szCs w:val="44"/>
    </w:rPr>
  </w:style>
  <w:style w:type="paragraph" w:styleId="5">
    <w:name w:val="heading 2"/>
    <w:basedOn w:val="1"/>
    <w:next w:val="1"/>
    <w:link w:val="32"/>
    <w:qFormat/>
    <w:uiPriority w:val="0"/>
    <w:pPr>
      <w:keepNext/>
      <w:keepLines/>
      <w:spacing w:before="260" w:after="260" w:line="360" w:lineRule="exact"/>
      <w:outlineLvl w:val="1"/>
    </w:pPr>
    <w:rPr>
      <w:rFonts w:ascii="Cambria" w:hAnsi="Cambria" w:eastAsia="楷体_GB2312"/>
      <w:b/>
      <w:bCs/>
      <w:sz w:val="32"/>
      <w:szCs w:val="32"/>
    </w:rPr>
  </w:style>
  <w:style w:type="paragraph" w:styleId="6">
    <w:name w:val="heading 3"/>
    <w:basedOn w:val="1"/>
    <w:next w:val="1"/>
    <w:link w:val="33"/>
    <w:qFormat/>
    <w:uiPriority w:val="0"/>
    <w:pPr>
      <w:keepNext/>
      <w:keepLines/>
      <w:spacing w:before="260" w:after="140" w:line="360" w:lineRule="exact"/>
      <w:jc w:val="left"/>
      <w:outlineLvl w:val="2"/>
    </w:pPr>
    <w:rPr>
      <w:rFonts w:ascii="Times New Roman" w:hAnsi="Times New Roman" w:eastAsia="仿宋_GB2312"/>
      <w:b/>
      <w:bCs/>
      <w:sz w:val="32"/>
      <w:szCs w:val="32"/>
    </w:rPr>
  </w:style>
  <w:style w:type="paragraph" w:styleId="7">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99"/>
    <w:pPr>
      <w:adjustRightInd w:val="0"/>
      <w:spacing w:line="360" w:lineRule="atLeast"/>
      <w:ind w:firstLine="600"/>
      <w:textAlignment w:val="baseline"/>
    </w:pPr>
    <w:rPr>
      <w:kern w:val="0"/>
      <w:sz w:val="30"/>
      <w:szCs w:val="20"/>
    </w:rPr>
  </w:style>
  <w:style w:type="paragraph" w:styleId="8">
    <w:name w:val="toc 7"/>
    <w:basedOn w:val="1"/>
    <w:next w:val="1"/>
    <w:unhideWhenUsed/>
    <w:qFormat/>
    <w:uiPriority w:val="39"/>
    <w:pPr>
      <w:ind w:left="1260"/>
      <w:jc w:val="left"/>
    </w:pPr>
    <w:rPr>
      <w:rFonts w:ascii="Calibri" w:hAnsi="Calibri"/>
      <w:sz w:val="18"/>
      <w:szCs w:val="18"/>
    </w:rPr>
  </w:style>
  <w:style w:type="paragraph" w:styleId="9">
    <w:name w:val="Normal Indent"/>
    <w:basedOn w:val="1"/>
    <w:next w:val="10"/>
    <w:qFormat/>
    <w:uiPriority w:val="0"/>
    <w:pPr>
      <w:ind w:firstLine="420" w:firstLineChars="200"/>
    </w:pPr>
    <w:rPr>
      <w:rFonts w:ascii="Times New Roman" w:hAnsi="Times New Roman" w:cs="Times New Roman"/>
      <w:szCs w:val="20"/>
    </w:rPr>
  </w:style>
  <w:style w:type="paragraph" w:styleId="10">
    <w:name w:val="Body Text"/>
    <w:basedOn w:val="1"/>
    <w:next w:val="11"/>
    <w:qFormat/>
    <w:uiPriority w:val="0"/>
    <w:pPr>
      <w:spacing w:after="120" w:afterLines="0" w:afterAutospacing="0" w:line="600" w:lineRule="exact"/>
      <w:ind w:firstLine="883" w:firstLineChars="200"/>
    </w:pPr>
    <w:rPr>
      <w:rFonts w:ascii="仿宋_GB2312" w:hAnsi="仿宋_GB2312" w:eastAsia="仿宋_GB2312"/>
      <w:sz w:val="32"/>
    </w:rPr>
  </w:style>
  <w:style w:type="paragraph" w:styleId="11">
    <w:name w:val="Title"/>
    <w:basedOn w:val="1"/>
    <w:next w:val="1"/>
    <w:qFormat/>
    <w:uiPriority w:val="0"/>
    <w:pPr>
      <w:widowControl/>
      <w:spacing w:before="240" w:after="60"/>
      <w:jc w:val="center"/>
      <w:outlineLvl w:val="0"/>
    </w:pPr>
    <w:rPr>
      <w:rFonts w:ascii="Cambria" w:hAnsi="Cambria"/>
      <w:b/>
      <w:bCs/>
      <w:sz w:val="32"/>
      <w:szCs w:val="32"/>
    </w:rPr>
  </w:style>
  <w:style w:type="paragraph" w:styleId="12">
    <w:name w:val="Block Text"/>
    <w:basedOn w:val="1"/>
    <w:qFormat/>
    <w:uiPriority w:val="0"/>
    <w:pPr>
      <w:ind w:firstLine="200" w:firstLineChars="200"/>
    </w:pPr>
    <w:rPr>
      <w:rFonts w:ascii="Calibri" w:hAnsi="Calibri" w:eastAsia="仿宋_GB2312"/>
      <w:sz w:val="32"/>
    </w:rPr>
  </w:style>
  <w:style w:type="paragraph" w:styleId="13">
    <w:name w:val="toc 5"/>
    <w:basedOn w:val="1"/>
    <w:next w:val="1"/>
    <w:unhideWhenUsed/>
    <w:qFormat/>
    <w:uiPriority w:val="39"/>
    <w:pPr>
      <w:ind w:left="840"/>
      <w:jc w:val="left"/>
    </w:pPr>
    <w:rPr>
      <w:rFonts w:ascii="Calibri" w:hAnsi="Calibri"/>
      <w:sz w:val="18"/>
      <w:szCs w:val="18"/>
    </w:rPr>
  </w:style>
  <w:style w:type="paragraph" w:styleId="14">
    <w:name w:val="toc 3"/>
    <w:basedOn w:val="1"/>
    <w:next w:val="1"/>
    <w:qFormat/>
    <w:uiPriority w:val="39"/>
    <w:pPr>
      <w:ind w:left="420"/>
      <w:jc w:val="left"/>
    </w:pPr>
    <w:rPr>
      <w:rFonts w:ascii="Calibri" w:hAnsi="Calibri"/>
      <w:i/>
      <w:iCs/>
      <w:sz w:val="20"/>
      <w:szCs w:val="20"/>
    </w:rPr>
  </w:style>
  <w:style w:type="paragraph" w:styleId="15">
    <w:name w:val="Plain Text"/>
    <w:basedOn w:val="1"/>
    <w:qFormat/>
    <w:uiPriority w:val="0"/>
    <w:rPr>
      <w:rFonts w:ascii="宋体" w:hAnsi="Courier New"/>
      <w:szCs w:val="20"/>
    </w:rPr>
  </w:style>
  <w:style w:type="paragraph" w:styleId="16">
    <w:name w:val="toc 8"/>
    <w:basedOn w:val="1"/>
    <w:next w:val="1"/>
    <w:unhideWhenUsed/>
    <w:qFormat/>
    <w:uiPriority w:val="39"/>
    <w:pPr>
      <w:ind w:left="1470"/>
      <w:jc w:val="left"/>
    </w:pPr>
    <w:rPr>
      <w:rFonts w:ascii="Calibri" w:hAnsi="Calibri"/>
      <w:sz w:val="18"/>
      <w:szCs w:val="18"/>
    </w:rPr>
  </w:style>
  <w:style w:type="paragraph" w:styleId="17">
    <w:name w:val="Date"/>
    <w:basedOn w:val="1"/>
    <w:next w:val="1"/>
    <w:qFormat/>
    <w:uiPriority w:val="0"/>
    <w:pPr>
      <w:ind w:left="100" w:leftChars="2500"/>
    </w:pPr>
  </w:style>
  <w:style w:type="paragraph" w:styleId="18">
    <w:name w:val="Balloon Text"/>
    <w:basedOn w:val="1"/>
    <w:semiHidden/>
    <w:qFormat/>
    <w:uiPriority w:val="0"/>
    <w:rPr>
      <w:sz w:val="18"/>
      <w:szCs w:val="18"/>
    </w:rPr>
  </w:style>
  <w:style w:type="paragraph" w:styleId="19">
    <w:name w:val="footer"/>
    <w:basedOn w:val="1"/>
    <w:link w:val="36"/>
    <w:qFormat/>
    <w:uiPriority w:val="99"/>
    <w:pPr>
      <w:tabs>
        <w:tab w:val="center" w:pos="4153"/>
        <w:tab w:val="right" w:pos="8306"/>
      </w:tabs>
      <w:snapToGrid w:val="0"/>
      <w:jc w:val="left"/>
    </w:pPr>
    <w:rPr>
      <w:sz w:val="18"/>
      <w:szCs w:val="18"/>
    </w:rPr>
  </w:style>
  <w:style w:type="paragraph" w:styleId="20">
    <w:name w:val="header"/>
    <w:basedOn w:val="1"/>
    <w:link w:val="4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left" w:pos="1050"/>
        <w:tab w:val="right" w:leader="dot" w:pos="9629"/>
      </w:tabs>
      <w:adjustRightInd w:val="0"/>
      <w:spacing w:line="288" w:lineRule="auto"/>
      <w:ind w:left="210" w:leftChars="100"/>
    </w:pPr>
    <w:rPr>
      <w:rFonts w:ascii="宋体" w:hAnsi="宋体" w:cs="宋体"/>
      <w:b/>
      <w:bCs/>
      <w:caps/>
      <w:szCs w:val="21"/>
      <w:lang w:val="zh-CN"/>
    </w:rPr>
  </w:style>
  <w:style w:type="paragraph" w:styleId="22">
    <w:name w:val="toc 4"/>
    <w:basedOn w:val="1"/>
    <w:next w:val="1"/>
    <w:unhideWhenUsed/>
    <w:qFormat/>
    <w:uiPriority w:val="39"/>
    <w:pPr>
      <w:ind w:left="630"/>
      <w:jc w:val="left"/>
    </w:pPr>
    <w:rPr>
      <w:rFonts w:ascii="Calibri" w:hAnsi="Calibri"/>
      <w:sz w:val="18"/>
      <w:szCs w:val="18"/>
    </w:rPr>
  </w:style>
  <w:style w:type="paragraph" w:styleId="23">
    <w:name w:val="toc 6"/>
    <w:basedOn w:val="1"/>
    <w:next w:val="1"/>
    <w:unhideWhenUsed/>
    <w:qFormat/>
    <w:uiPriority w:val="39"/>
    <w:pPr>
      <w:ind w:left="1050"/>
      <w:jc w:val="left"/>
    </w:pPr>
    <w:rPr>
      <w:rFonts w:ascii="Calibri" w:hAnsi="Calibri"/>
      <w:sz w:val="18"/>
      <w:szCs w:val="18"/>
    </w:rPr>
  </w:style>
  <w:style w:type="paragraph" w:styleId="24">
    <w:name w:val="toc 2"/>
    <w:basedOn w:val="1"/>
    <w:next w:val="1"/>
    <w:qFormat/>
    <w:uiPriority w:val="39"/>
    <w:pPr>
      <w:tabs>
        <w:tab w:val="left" w:pos="1050"/>
        <w:tab w:val="left" w:pos="1470"/>
        <w:tab w:val="right" w:leader="dot" w:pos="9629"/>
      </w:tabs>
      <w:spacing w:line="360" w:lineRule="auto"/>
      <w:ind w:firstLine="420" w:firstLineChars="200"/>
      <w:jc w:val="left"/>
    </w:pPr>
    <w:rPr>
      <w:rFonts w:ascii="宋体" w:hAnsi="宋体"/>
      <w:b/>
      <w:bCs/>
      <w:iCs/>
      <w:smallCaps/>
      <w:szCs w:val="21"/>
    </w:rPr>
  </w:style>
  <w:style w:type="paragraph" w:styleId="25">
    <w:name w:val="toc 9"/>
    <w:basedOn w:val="1"/>
    <w:next w:val="1"/>
    <w:unhideWhenUsed/>
    <w:qFormat/>
    <w:uiPriority w:val="39"/>
    <w:pPr>
      <w:ind w:left="1680"/>
      <w:jc w:val="left"/>
    </w:pPr>
    <w:rPr>
      <w:rFonts w:ascii="Calibri" w:hAnsi="Calibri"/>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28">
    <w:name w:val="Hyperlink"/>
    <w:unhideWhenUsed/>
    <w:qFormat/>
    <w:uiPriority w:val="99"/>
    <w:rPr>
      <w:color w:val="0000FF"/>
      <w:u w:val="single"/>
    </w:rPr>
  </w:style>
  <w:style w:type="table" w:styleId="30">
    <w:name w:val="Table Grid"/>
    <w:basedOn w:val="29"/>
    <w:qFormat/>
    <w:uiPriority w:val="59"/>
    <w:pPr>
      <w:jc w:val="center"/>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1">
    <w:name w:val="标题 1 Char"/>
    <w:link w:val="4"/>
    <w:qFormat/>
    <w:uiPriority w:val="0"/>
    <w:rPr>
      <w:rFonts w:ascii="Times New Roman" w:hAnsi="Times New Roman" w:eastAsia="黑体"/>
      <w:b/>
      <w:bCs/>
      <w:kern w:val="44"/>
      <w:sz w:val="32"/>
      <w:szCs w:val="44"/>
    </w:rPr>
  </w:style>
  <w:style w:type="character" w:customStyle="1" w:styleId="32">
    <w:name w:val="标题 2 Char"/>
    <w:link w:val="5"/>
    <w:semiHidden/>
    <w:qFormat/>
    <w:uiPriority w:val="0"/>
    <w:rPr>
      <w:rFonts w:ascii="Cambria" w:hAnsi="Cambria" w:eastAsia="楷体_GB2312" w:cs="Times New Roman"/>
      <w:b/>
      <w:bCs/>
      <w:kern w:val="2"/>
      <w:sz w:val="32"/>
      <w:szCs w:val="32"/>
    </w:rPr>
  </w:style>
  <w:style w:type="character" w:customStyle="1" w:styleId="33">
    <w:name w:val="标题 3 Char"/>
    <w:link w:val="6"/>
    <w:semiHidden/>
    <w:qFormat/>
    <w:uiPriority w:val="0"/>
    <w:rPr>
      <w:rFonts w:ascii="Times New Roman" w:hAnsi="Times New Roman" w:eastAsia="仿宋_GB2312"/>
      <w:b/>
      <w:bCs/>
      <w:kern w:val="2"/>
      <w:sz w:val="32"/>
      <w:szCs w:val="32"/>
    </w:rPr>
  </w:style>
  <w:style w:type="character" w:customStyle="1" w:styleId="34">
    <w:name w:val="标题 4 Char"/>
    <w:link w:val="7"/>
    <w:semiHidden/>
    <w:qFormat/>
    <w:uiPriority w:val="0"/>
    <w:rPr>
      <w:rFonts w:ascii="Cambria" w:hAnsi="Cambria" w:eastAsia="宋体" w:cs="Times New Roman"/>
      <w:b/>
      <w:bCs/>
      <w:kern w:val="2"/>
      <w:sz w:val="28"/>
      <w:szCs w:val="28"/>
    </w:rPr>
  </w:style>
  <w:style w:type="paragraph" w:customStyle="1" w:styleId="35">
    <w:name w:val="List Paragraph"/>
    <w:basedOn w:val="1"/>
    <w:qFormat/>
    <w:uiPriority w:val="34"/>
    <w:pPr>
      <w:ind w:firstLine="420" w:firstLineChars="200"/>
    </w:pPr>
    <w:rPr>
      <w:rFonts w:ascii="Calibri" w:hAnsi="Calibri"/>
      <w:szCs w:val="22"/>
    </w:rPr>
  </w:style>
  <w:style w:type="character" w:customStyle="1" w:styleId="36">
    <w:name w:val="页脚 Char"/>
    <w:link w:val="19"/>
    <w:qFormat/>
    <w:uiPriority w:val="99"/>
    <w:rPr>
      <w:kern w:val="2"/>
      <w:sz w:val="18"/>
      <w:szCs w:val="18"/>
    </w:rPr>
  </w:style>
  <w:style w:type="paragraph" w:customStyle="1" w:styleId="37">
    <w:name w:val="TOC 标题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8">
    <w:name w:val="样式1"/>
    <w:basedOn w:val="20"/>
    <w:link w:val="39"/>
    <w:qFormat/>
    <w:uiPriority w:val="0"/>
    <w:pPr>
      <w:pBdr>
        <w:bottom w:val="none" w:color="auto" w:sz="0" w:space="0"/>
      </w:pBdr>
      <w:ind w:firstLine="360"/>
    </w:pPr>
  </w:style>
  <w:style w:type="character" w:customStyle="1" w:styleId="39">
    <w:name w:val="样式1 Char"/>
    <w:link w:val="38"/>
    <w:qFormat/>
    <w:uiPriority w:val="0"/>
    <w:rPr>
      <w:kern w:val="2"/>
      <w:sz w:val="18"/>
      <w:szCs w:val="18"/>
    </w:rPr>
  </w:style>
  <w:style w:type="character" w:customStyle="1" w:styleId="40">
    <w:name w:val="Heading 1 Char"/>
    <w:qFormat/>
    <w:locked/>
    <w:uiPriority w:val="0"/>
    <w:rPr>
      <w:rFonts w:ascii="Times New Roman" w:hAnsi="Times New Roman" w:eastAsia="宋体" w:cs="Times New Roman"/>
      <w:b/>
      <w:bCs/>
      <w:kern w:val="44"/>
      <w:sz w:val="44"/>
      <w:szCs w:val="44"/>
    </w:rPr>
  </w:style>
  <w:style w:type="character" w:customStyle="1" w:styleId="41">
    <w:name w:val="Heading 3 Char"/>
    <w:qFormat/>
    <w:locked/>
    <w:uiPriority w:val="0"/>
    <w:rPr>
      <w:rFonts w:ascii="Times New Roman" w:hAnsi="Times New Roman" w:eastAsia="宋体" w:cs="Times New Roman"/>
      <w:b/>
      <w:bCs/>
      <w:sz w:val="32"/>
      <w:szCs w:val="32"/>
    </w:rPr>
  </w:style>
  <w:style w:type="paragraph" w:customStyle="1" w:styleId="42">
    <w:name w:val="默认段落字体 Para Char Char"/>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页眉 Char"/>
    <w:link w:val="20"/>
    <w:qFormat/>
    <w:uiPriority w:val="99"/>
    <w:rPr>
      <w:kern w:val="2"/>
      <w:sz w:val="18"/>
      <w:szCs w:val="18"/>
    </w:rPr>
  </w:style>
  <w:style w:type="character" w:customStyle="1" w:styleId="45">
    <w:name w:val="标题 2 字符"/>
    <w:semiHidden/>
    <w:qFormat/>
    <w:uiPriority w:val="0"/>
    <w:rPr>
      <w:rFonts w:ascii="Cambria" w:hAnsi="Cambria" w:eastAsia="宋体" w:cs="Times New Roman"/>
      <w:b/>
      <w:bCs/>
      <w:kern w:val="2"/>
      <w:sz w:val="32"/>
      <w:szCs w:val="32"/>
    </w:rPr>
  </w:style>
  <w:style w:type="paragraph" w:customStyle="1" w:styleId="46">
    <w:name w:val="样式2"/>
    <w:basedOn w:val="1"/>
    <w:qFormat/>
    <w:uiPriority w:val="0"/>
    <w:pPr>
      <w:topLinePunct/>
      <w:spacing w:line="420" w:lineRule="exact"/>
      <w:ind w:firstLine="422" w:firstLineChars="200"/>
    </w:pPr>
    <w:rPr>
      <w:rFonts w:ascii="宋体" w:hAnsi="宋体"/>
      <w:b/>
      <w:szCs w:val="21"/>
    </w:rPr>
  </w:style>
  <w:style w:type="paragraph" w:customStyle="1" w:styleId="47">
    <w:name w:val="列出段落11"/>
    <w:basedOn w:val="1"/>
    <w:qFormat/>
    <w:uiPriority w:val="34"/>
    <w:pPr>
      <w:ind w:firstLine="420" w:firstLineChars="200"/>
    </w:pPr>
    <w:rPr>
      <w:rFonts w:ascii="Calibri" w:hAnsi="Calibri"/>
    </w:rPr>
  </w:style>
  <w:style w:type="paragraph" w:customStyle="1" w:styleId="48">
    <w:name w:val="列出段落1"/>
    <w:basedOn w:val="1"/>
    <w:qFormat/>
    <w:uiPriority w:val="34"/>
    <w:pPr>
      <w:ind w:firstLine="420" w:firstLineChars="200"/>
    </w:pPr>
    <w:rPr>
      <w:rFonts w:ascii="Calibri" w:hAnsi="Calibri"/>
      <w:szCs w:val="22"/>
    </w:rPr>
  </w:style>
  <w:style w:type="paragraph" w:customStyle="1" w:styleId="49">
    <w:name w:val="xl30"/>
    <w:basedOn w:val="1"/>
    <w:qFormat/>
    <w:uiPriority w:val="0"/>
    <w:pPr>
      <w:widowControl/>
      <w:spacing w:before="100" w:beforeLines="0" w:beforeAutospacing="1" w:after="100" w:afterLines="0" w:afterAutospacing="1"/>
      <w:textAlignment w:val="top"/>
    </w:pPr>
    <w:rPr>
      <w:rFonts w:ascii="Arial Unicode MS" w:hAnsi="Arial Unicode MS" w:eastAsia="Arial Unicode MS" w:cs="Century"/>
      <w:color w:val="000000"/>
      <w:kern w:val="0"/>
      <w:sz w:val="18"/>
      <w:szCs w:val="18"/>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xl28"/>
    <w:basedOn w:val="1"/>
    <w:qFormat/>
    <w:uiPriority w:val="0"/>
    <w:pPr>
      <w:widowControl/>
      <w:pBdr>
        <w:right w:val="single" w:color="auto" w:sz="4" w:space="0"/>
      </w:pBdr>
      <w:spacing w:before="100" w:beforeLines="0" w:beforeAutospacing="1" w:after="100" w:afterLines="0" w:afterAutospacing="1"/>
      <w:textAlignment w:val="top"/>
    </w:pPr>
    <w:rPr>
      <w:rFonts w:ascii="Arial Unicode MS" w:hAnsi="Arial Unicode MS" w:eastAsia="Arial Unicode MS" w:cs="Century"/>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5AC71-EAD2-4693-B51D-90DBDEF670B5}">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24</Pages>
  <Words>3086</Words>
  <Characters>17591</Characters>
  <Lines>146</Lines>
  <Paragraphs>41</Paragraphs>
  <ScaleCrop>false</ScaleCrop>
  <LinksUpToDate>false</LinksUpToDate>
  <CharactersWithSpaces>20636</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2017-12-04T02:28:00Z</dcterms:created>
  <dc:creator>徐凯</dc:creator>
  <cp:lastModifiedBy>Administrator</cp:lastModifiedBy>
  <cp:lastPrinted>2021-12-13T09:38:00Z</cp:lastPrinted>
  <dcterms:modified xsi:type="dcterms:W3CDTF">2024-12-19T09:12:03Z</dcterms:modified>
  <dc:title>经济普查街乡培训要求</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