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0892" w14:textId="77777777" w:rsidR="00B526A3" w:rsidRDefault="00B526A3">
      <w:pPr>
        <w:spacing w:line="600" w:lineRule="exact"/>
        <w:ind w:firstLineChars="200" w:firstLine="640"/>
        <w:rPr>
          <w:rFonts w:ascii="黑体" w:eastAsia="黑体" w:hAnsi="黑体" w:cs="黑体" w:hint="eastAsia"/>
          <w:sz w:val="32"/>
          <w:szCs w:val="32"/>
        </w:rPr>
      </w:pPr>
    </w:p>
    <w:p w14:paraId="7095AC9E" w14:textId="77777777" w:rsidR="00B526A3" w:rsidRDefault="00000000">
      <w:pPr>
        <w:spacing w:line="480" w:lineRule="exact"/>
        <w:rPr>
          <w:rFonts w:ascii="方正小标宋简体" w:eastAsia="方正小标宋简体"/>
          <w:sz w:val="36"/>
          <w:szCs w:val="36"/>
        </w:rPr>
      </w:pPr>
      <w:r>
        <w:rPr>
          <w:rFonts w:ascii="黑体" w:eastAsia="黑体" w:hAnsi="黑体" w:hint="eastAsia"/>
          <w:sz w:val="32"/>
          <w:szCs w:val="32"/>
        </w:rPr>
        <w:t>附件1</w:t>
      </w:r>
    </w:p>
    <w:p w14:paraId="390C1299" w14:textId="77777777" w:rsidR="00B526A3" w:rsidRDefault="0000000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2024年北京奥林匹克中心区管理委员会</w:t>
      </w:r>
    </w:p>
    <w:p w14:paraId="1F325253" w14:textId="77777777" w:rsidR="00B526A3" w:rsidRDefault="0000000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14:paraId="688CEC5A" w14:textId="77777777" w:rsidR="00B526A3" w:rsidRDefault="00B526A3">
      <w:pPr>
        <w:jc w:val="center"/>
        <w:rPr>
          <w:rFonts w:ascii="仿宋_GB2312"/>
          <w:szCs w:val="30"/>
        </w:rPr>
      </w:pPr>
    </w:p>
    <w:p w14:paraId="01542D5D" w14:textId="77777777" w:rsidR="00B526A3" w:rsidRDefault="00B526A3">
      <w:pPr>
        <w:jc w:val="center"/>
        <w:rPr>
          <w:rFonts w:ascii="仿宋_GB2312"/>
          <w:szCs w:val="30"/>
        </w:rPr>
      </w:pPr>
    </w:p>
    <w:p w14:paraId="155CF525" w14:textId="77777777" w:rsidR="00B526A3" w:rsidRDefault="00000000">
      <w:pPr>
        <w:spacing w:line="60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一、部门概况</w:t>
      </w:r>
    </w:p>
    <w:p w14:paraId="2A35544D" w14:textId="77777777" w:rsidR="00B526A3" w:rsidRDefault="00000000">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14:paraId="5AEFD45E"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1．机构设置</w:t>
      </w:r>
    </w:p>
    <w:p w14:paraId="3DB2F9CB"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根据中共北京市朝阳区委办公室文件《中共北京市朝阳区委奥林匹克中心区工作委员会、北京奥林匹克中心区管理委员会职能配置、内设机构和人员编制规定》(京朝办字〔2022〕4号)和《中共北京市朝阳区委编制委员会办公室关于调整奥林匹克公园执法大队机构编制的通知》（京朝编办〔2024〕42号），北京奥林匹克中心区管理委员会内设六个机构，分别为综合部、平安建设部、景区管理部、市政管理部、发展研究部、党建工作部；下属一个执法队（非独立核算）和一个事业单位北京奥林匹克公园服务中心（独立核算）。 </w:t>
      </w:r>
    </w:p>
    <w:p w14:paraId="1625C899" w14:textId="77777777" w:rsidR="00B526A3" w:rsidRDefault="00000000">
      <w:pPr>
        <w:numPr>
          <w:ilvl w:val="0"/>
          <w:numId w:val="1"/>
        </w:num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职责工作任务</w:t>
      </w:r>
    </w:p>
    <w:p w14:paraId="428D65FB"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(1)贯彻落实国家和北京市相关法律法规、规章和政策，</w:t>
      </w:r>
      <w:r>
        <w:rPr>
          <w:rFonts w:ascii="仿宋_GB2312" w:eastAsia="仿宋_GB2312" w:hAnsi="仿宋_GB2312" w:cs="仿宋_GB2312" w:hint="eastAsia"/>
          <w:sz w:val="32"/>
          <w:szCs w:val="32"/>
        </w:rPr>
        <w:lastRenderedPageBreak/>
        <w:t>执行区委、区政府的有关决议、决定。</w:t>
      </w:r>
    </w:p>
    <w:p w14:paraId="458E2434"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(2)参与拟订中心区建设规划，组织制定、实施旅游服务、运行管理等专项规划。</w:t>
      </w:r>
    </w:p>
    <w:p w14:paraId="790FA672"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(3)负责推进中心区品牌建设和平台建设。</w:t>
      </w:r>
    </w:p>
    <w:p w14:paraId="68714F29"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(4)负责中心区内大型活动的组织管理和服务保障工作。</w:t>
      </w:r>
    </w:p>
    <w:p w14:paraId="5DF6B986"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组织协调中心区市政基础设施、城市绿化、市容市貌、公共卫生、社会治安、反恐防暴、消防安全、市场秩序、交通秩序、应急管理等工作，拟订相关建设、管理、服务的规划、标准并组织实施。统筹园区及周边景观管理工作，实施标准化的城市管理。</w:t>
      </w:r>
    </w:p>
    <w:p w14:paraId="5D383D84"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(6)负责推进中心区全域国家5A级景区建设，推进景区发展品质提升，承担景区红色旅游工作。</w:t>
      </w:r>
    </w:p>
    <w:p w14:paraId="519CEA1D"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(7)充分发挥统筹协调作用，督促驻区企业、相关责任单位履职尽责，解决安全生产工作中的突出矛盾和问题。 协助有关部门和属地街乡依法履行安全生产管理职责。</w:t>
      </w:r>
    </w:p>
    <w:p w14:paraId="0BCE295D" w14:textId="77777777" w:rsidR="00B526A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(8)完成区委、区政府交办的其他任务。</w:t>
      </w:r>
    </w:p>
    <w:p w14:paraId="7F158B8E" w14:textId="77777777" w:rsidR="00B526A3" w:rsidRDefault="00000000">
      <w:pPr>
        <w:numPr>
          <w:ilvl w:val="0"/>
          <w:numId w:val="2"/>
        </w:numPr>
        <w:spacing w:line="600" w:lineRule="exact"/>
        <w:ind w:firstLineChars="200" w:firstLine="640"/>
        <w:rPr>
          <w:rFonts w:ascii="楷体_GB2312" w:eastAsia="楷体_GB2312"/>
          <w:sz w:val="32"/>
          <w:szCs w:val="32"/>
        </w:rPr>
      </w:pPr>
      <w:r>
        <w:rPr>
          <w:rFonts w:ascii="楷体_GB2312" w:eastAsia="楷体_GB2312" w:hint="eastAsia"/>
          <w:sz w:val="32"/>
          <w:szCs w:val="32"/>
        </w:rPr>
        <w:t>部门整体绩效目标设立情况</w:t>
      </w:r>
    </w:p>
    <w:p w14:paraId="7897BE51" w14:textId="77777777" w:rsidR="00B526A3" w:rsidRDefault="00000000">
      <w:pPr>
        <w:spacing w:line="600" w:lineRule="exact"/>
        <w:ind w:firstLineChars="200" w:firstLine="640"/>
        <w:rPr>
          <w:rFonts w:ascii="楷体_GB2312" w:eastAsia="楷体_GB2312"/>
          <w:sz w:val="32"/>
          <w:szCs w:val="32"/>
        </w:rPr>
      </w:pPr>
      <w:r>
        <w:rPr>
          <w:rFonts w:ascii="仿宋_GB2312" w:eastAsia="仿宋_GB2312" w:hAnsi="仿宋_GB2312" w:cs="仿宋_GB2312" w:hint="eastAsia"/>
          <w:sz w:val="32"/>
          <w:szCs w:val="32"/>
        </w:rPr>
        <w:t>部门整体绩效目标的设立依据当年的主要工作任务，进一步贯彻执行党的路线、方针、政策和区委的决议、决定，</w:t>
      </w:r>
      <w:r>
        <w:rPr>
          <w:rFonts w:ascii="仿宋_GB2312" w:eastAsia="仿宋_GB2312" w:hAnsi="仿宋_GB2312" w:cs="仿宋_GB2312" w:hint="eastAsia"/>
          <w:sz w:val="32"/>
          <w:szCs w:val="32"/>
        </w:rPr>
        <w:lastRenderedPageBreak/>
        <w:t>加强对奥林匹克中心区内大型活动的组织管理和服务保障工作，加强组织、协调、统筹奥林匹克中心区内的产业发展和促进工作。</w:t>
      </w:r>
    </w:p>
    <w:p w14:paraId="706D33D1" w14:textId="77777777" w:rsidR="00B526A3" w:rsidRDefault="00000000">
      <w:pPr>
        <w:numPr>
          <w:ilvl w:val="0"/>
          <w:numId w:val="3"/>
        </w:numPr>
        <w:spacing w:line="60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14:paraId="3DCBAA5D" w14:textId="58EFB362" w:rsidR="004F5B65" w:rsidRDefault="00000000">
      <w:pPr>
        <w:spacing w:line="600" w:lineRule="exact"/>
        <w:ind w:leftChars="50" w:left="105" w:firstLineChars="150" w:firstLine="480"/>
        <w:rPr>
          <w:rFonts w:ascii="仿宋_GB2312" w:eastAsia="仿宋_GB2312" w:hAnsi="宋体" w:cs="宋体" w:hint="eastAsia"/>
          <w:color w:val="000000"/>
          <w:kern w:val="0"/>
          <w:sz w:val="32"/>
          <w:szCs w:val="32"/>
        </w:rPr>
      </w:pPr>
      <w:bookmarkStart w:id="0" w:name="OLE_LINK2"/>
      <w:r w:rsidRPr="00F22C73">
        <w:rPr>
          <w:rFonts w:ascii="仿宋_GB2312" w:eastAsia="仿宋_GB2312" w:hAnsi="宋体" w:cs="宋体" w:hint="eastAsia"/>
          <w:color w:val="000000"/>
          <w:kern w:val="0"/>
          <w:sz w:val="32"/>
          <w:szCs w:val="32"/>
        </w:rPr>
        <w:t>2024年全年预算数</w:t>
      </w:r>
      <w:r w:rsidR="005867AD" w:rsidRPr="00F22C73">
        <w:rPr>
          <w:rFonts w:ascii="仿宋_GB2312" w:eastAsia="仿宋_GB2312" w:hAnsi="宋体" w:cs="宋体"/>
          <w:color w:val="000000"/>
          <w:kern w:val="0"/>
          <w:sz w:val="32"/>
          <w:szCs w:val="32"/>
        </w:rPr>
        <w:t>16,618.31</w:t>
      </w:r>
      <w:r w:rsidRPr="00F22C73">
        <w:rPr>
          <w:rFonts w:ascii="仿宋_GB2312" w:eastAsia="仿宋_GB2312" w:hAnsi="宋体" w:cs="宋体" w:hint="eastAsia"/>
          <w:color w:val="000000"/>
          <w:kern w:val="0"/>
          <w:sz w:val="32"/>
          <w:szCs w:val="32"/>
        </w:rPr>
        <w:t>万元，其中，基本支出预算数</w:t>
      </w:r>
      <w:r w:rsidR="00F22C73" w:rsidRPr="00F22C73">
        <w:rPr>
          <w:rFonts w:ascii="仿宋_GB2312" w:eastAsia="仿宋_GB2312" w:hAnsi="宋体" w:cs="宋体"/>
          <w:color w:val="000000"/>
          <w:kern w:val="0"/>
          <w:sz w:val="32"/>
          <w:szCs w:val="32"/>
        </w:rPr>
        <w:t>4838.53</w:t>
      </w:r>
      <w:r w:rsidRPr="00F22C73">
        <w:rPr>
          <w:rFonts w:ascii="仿宋_GB2312" w:eastAsia="仿宋_GB2312" w:hAnsi="宋体" w:cs="宋体" w:hint="eastAsia"/>
          <w:color w:val="000000"/>
          <w:kern w:val="0"/>
          <w:sz w:val="32"/>
          <w:szCs w:val="32"/>
        </w:rPr>
        <w:t>万元，项目支出预算数</w:t>
      </w:r>
      <w:r w:rsidR="00F22C73" w:rsidRPr="00F22C73">
        <w:rPr>
          <w:rFonts w:ascii="仿宋_GB2312" w:eastAsia="仿宋_GB2312" w:hAnsi="宋体" w:cs="宋体"/>
          <w:color w:val="000000"/>
          <w:kern w:val="0"/>
          <w:sz w:val="32"/>
          <w:szCs w:val="32"/>
        </w:rPr>
        <w:t>11779.78</w:t>
      </w:r>
      <w:r w:rsidRPr="00F22C73">
        <w:rPr>
          <w:rFonts w:ascii="仿宋_GB2312" w:eastAsia="仿宋_GB2312" w:hAnsi="宋体" w:cs="宋体" w:hint="eastAsia"/>
          <w:color w:val="000000"/>
          <w:kern w:val="0"/>
          <w:sz w:val="32"/>
          <w:szCs w:val="32"/>
        </w:rPr>
        <w:t>，其他支出预算数0万元。资金总体支出</w:t>
      </w:r>
      <w:r w:rsidR="00911570" w:rsidRPr="00F22C73">
        <w:rPr>
          <w:rFonts w:ascii="仿宋_GB2312" w:eastAsia="仿宋_GB2312" w:hAnsi="宋体" w:cs="宋体"/>
          <w:color w:val="000000"/>
          <w:kern w:val="0"/>
          <w:sz w:val="32"/>
          <w:szCs w:val="32"/>
        </w:rPr>
        <w:t>16618.31</w:t>
      </w:r>
      <w:r w:rsidRPr="00F22C73">
        <w:rPr>
          <w:rFonts w:ascii="仿宋_GB2312" w:eastAsia="仿宋_GB2312" w:hAnsi="宋体" w:cs="宋体" w:hint="eastAsia"/>
          <w:color w:val="000000"/>
          <w:kern w:val="0"/>
          <w:sz w:val="32"/>
          <w:szCs w:val="32"/>
        </w:rPr>
        <w:t>万元，其中，基本支出</w:t>
      </w:r>
      <w:r w:rsidR="00911570" w:rsidRPr="00F22C73">
        <w:rPr>
          <w:rFonts w:ascii="仿宋_GB2312" w:eastAsia="仿宋_GB2312" w:hAnsi="宋体" w:cs="宋体"/>
          <w:color w:val="000000"/>
          <w:kern w:val="0"/>
          <w:sz w:val="32"/>
          <w:szCs w:val="32"/>
        </w:rPr>
        <w:t>4838.53</w:t>
      </w:r>
      <w:r w:rsidRPr="00F22C73">
        <w:rPr>
          <w:rFonts w:ascii="仿宋_GB2312" w:eastAsia="仿宋_GB2312" w:hAnsi="宋体" w:cs="宋体" w:hint="eastAsia"/>
          <w:color w:val="000000"/>
          <w:kern w:val="0"/>
          <w:sz w:val="32"/>
          <w:szCs w:val="32"/>
        </w:rPr>
        <w:t>万元，项</w:t>
      </w:r>
      <w:r w:rsidRPr="000C6AD2">
        <w:rPr>
          <w:rFonts w:ascii="仿宋_GB2312" w:eastAsia="仿宋_GB2312" w:hAnsi="宋体" w:cs="宋体" w:hint="eastAsia"/>
          <w:color w:val="000000"/>
          <w:kern w:val="0"/>
          <w:sz w:val="32"/>
          <w:szCs w:val="32"/>
        </w:rPr>
        <w:t>目支出</w:t>
      </w:r>
      <w:r w:rsidR="00911570" w:rsidRPr="000C6AD2">
        <w:rPr>
          <w:rFonts w:ascii="仿宋_GB2312" w:eastAsia="仿宋_GB2312" w:hAnsi="宋体" w:cs="宋体"/>
          <w:color w:val="000000"/>
          <w:kern w:val="0"/>
          <w:sz w:val="32"/>
          <w:szCs w:val="32"/>
        </w:rPr>
        <w:t>11779.78</w:t>
      </w:r>
      <w:r w:rsidRPr="000C6AD2">
        <w:rPr>
          <w:rFonts w:ascii="仿宋_GB2312" w:eastAsia="仿宋_GB2312" w:hAnsi="宋体" w:cs="宋体" w:hint="eastAsia"/>
          <w:color w:val="000000"/>
          <w:kern w:val="0"/>
          <w:sz w:val="32"/>
          <w:szCs w:val="32"/>
        </w:rPr>
        <w:t>万元，其他支出0万元。预算执行率为100%。</w:t>
      </w:r>
      <w:bookmarkEnd w:id="0"/>
    </w:p>
    <w:p w14:paraId="2869C5A6" w14:textId="0266D37A" w:rsidR="00B526A3" w:rsidRDefault="00000000">
      <w:pPr>
        <w:spacing w:line="600" w:lineRule="exact"/>
        <w:ind w:leftChars="50" w:left="105" w:firstLineChars="150" w:firstLine="48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14:paraId="7CD03A5B"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根据2024年部门整体支出绩效目标申报表，我委在整体绩效目标实现方面表现良好，主要通过园区绿化、景观布置、设施完善经费，公共事务协管经费，园区日常环卫保洁经费三个大型项目的实施，较好地完成了绩效目标。</w:t>
      </w:r>
    </w:p>
    <w:p w14:paraId="5B5BB915" w14:textId="77777777" w:rsidR="00B526A3" w:rsidRDefault="00000000">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14:paraId="68D83690"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1.产出数量</w:t>
      </w:r>
    </w:p>
    <w:p w14:paraId="49B22DA5"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t>(1)</w:t>
      </w:r>
      <w:r>
        <w:rPr>
          <w:rFonts w:ascii="仿宋_GB2312" w:eastAsia="仿宋_GB2312" w:hAnsi="宋体" w:cs="宋体" w:hint="eastAsia"/>
          <w:color w:val="000000"/>
          <w:kern w:val="0"/>
          <w:sz w:val="32"/>
          <w:szCs w:val="32"/>
        </w:rPr>
        <w:t>保洁面积达到703000平方米，确保了园区的清洁和整洁。</w:t>
      </w:r>
    </w:p>
    <w:p w14:paraId="538DEC08"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color w:val="000000"/>
          <w:kern w:val="0"/>
          <w:sz w:val="32"/>
          <w:szCs w:val="32"/>
        </w:rPr>
        <w:t>绿地维养面积为245540.84平方米，提升了园区的绿化水平。</w:t>
      </w:r>
    </w:p>
    <w:p w14:paraId="06A4C7A0"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lastRenderedPageBreak/>
        <w:t>(3)</w:t>
      </w:r>
      <w:r>
        <w:rPr>
          <w:rFonts w:ascii="仿宋_GB2312" w:eastAsia="仿宋_GB2312" w:hAnsi="宋体" w:cs="宋体" w:hint="eastAsia"/>
          <w:color w:val="000000"/>
          <w:kern w:val="0"/>
          <w:sz w:val="32"/>
          <w:szCs w:val="32"/>
        </w:rPr>
        <w:t>聘请人数为913人，确保了各项服务的顺利进行。</w:t>
      </w:r>
    </w:p>
    <w:p w14:paraId="7A8AFAFF"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p>
    <w:p w14:paraId="40CBF97B"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bookmarkStart w:id="1" w:name="OLE_LINK3"/>
      <w:r>
        <w:rPr>
          <w:rFonts w:ascii="仿宋_GB2312" w:eastAsia="仿宋_GB2312" w:hAnsi="仿宋_GB2312" w:cs="仿宋_GB2312" w:hint="eastAsia"/>
          <w:sz w:val="32"/>
          <w:szCs w:val="32"/>
        </w:rPr>
        <w:t>(1)</w:t>
      </w:r>
      <w:bookmarkEnd w:id="1"/>
      <w:r>
        <w:rPr>
          <w:rFonts w:ascii="仿宋_GB2312" w:eastAsia="仿宋_GB2312" w:hAnsi="宋体" w:cs="宋体" w:hint="eastAsia"/>
          <w:color w:val="000000"/>
          <w:kern w:val="0"/>
          <w:sz w:val="32"/>
          <w:szCs w:val="32"/>
        </w:rPr>
        <w:t>项目质量定性评价为“好”，表明各项服务和管理工作达到了预期标准。</w:t>
      </w:r>
    </w:p>
    <w:p w14:paraId="6C2EAC70"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color w:val="000000"/>
          <w:kern w:val="0"/>
          <w:sz w:val="32"/>
          <w:szCs w:val="32"/>
        </w:rPr>
        <w:t>质量达标定性评价为“好”，确保了园区各项设施和服务的质量。</w:t>
      </w:r>
    </w:p>
    <w:p w14:paraId="559A2CD6"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3.产出进度</w:t>
      </w:r>
    </w:p>
    <w:p w14:paraId="16B6FA2B"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t>(1)</w:t>
      </w:r>
      <w:r>
        <w:rPr>
          <w:rFonts w:ascii="仿宋_GB2312" w:eastAsia="仿宋_GB2312" w:hAnsi="宋体" w:cs="宋体" w:hint="eastAsia"/>
          <w:color w:val="000000"/>
          <w:kern w:val="0"/>
          <w:sz w:val="32"/>
          <w:szCs w:val="32"/>
        </w:rPr>
        <w:t>合同规定内完成各项任务，确保了项目的按时推进。</w:t>
      </w:r>
    </w:p>
    <w:p w14:paraId="04A7F0BB"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仿宋_GB2312" w:cs="仿宋_GB2312" w:hint="eastAsia"/>
          <w:sz w:val="32"/>
          <w:szCs w:val="32"/>
        </w:rPr>
        <w:t>(2)</w:t>
      </w:r>
      <w:r>
        <w:rPr>
          <w:rFonts w:ascii="仿宋_GB2312" w:eastAsia="仿宋_GB2312" w:hAnsi="宋体" w:cs="宋体" w:hint="eastAsia"/>
          <w:color w:val="000000"/>
          <w:kern w:val="0"/>
          <w:sz w:val="32"/>
          <w:szCs w:val="32"/>
        </w:rPr>
        <w:t>项目期限定性评价为“好”，表明项目在规定时间内顺利完成。</w:t>
      </w:r>
    </w:p>
    <w:p w14:paraId="39CAF6BF"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p>
    <w:p w14:paraId="3A68DBCC"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项目成本控制在预算范围内，体现了良好的成本控制能力。                               </w:t>
      </w:r>
    </w:p>
    <w:p w14:paraId="63C4F5DA" w14:textId="77777777" w:rsidR="00B526A3" w:rsidRDefault="00000000">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14:paraId="161896BF"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14:paraId="485BDC1A"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通过有效的管理和维护，提升了园区的景观和环境品质，吸引了大量游客，促进了奥运功能区的持续发展。</w:t>
      </w:r>
    </w:p>
    <w:p w14:paraId="0717AC90" w14:textId="77777777" w:rsidR="00B526A3" w:rsidRDefault="00000000">
      <w:pPr>
        <w:numPr>
          <w:ilvl w:val="0"/>
          <w:numId w:val="4"/>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社会效益</w:t>
      </w:r>
    </w:p>
    <w:p w14:paraId="3243BEFE"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为园区内开展的各项国家级政治外交活动和其他大型活动提供了良好的环境和安全保障，提升了园区的社会影响力。</w:t>
      </w:r>
    </w:p>
    <w:p w14:paraId="6C02F654" w14:textId="77777777" w:rsidR="00B526A3" w:rsidRDefault="00000000">
      <w:pPr>
        <w:numPr>
          <w:ilvl w:val="0"/>
          <w:numId w:val="4"/>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环境效益</w:t>
      </w:r>
    </w:p>
    <w:p w14:paraId="48B0EF79"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通过控制道路扬尘和异味，提升了游园环境品质，提供了清新美好的空气。不断巩固和提升奥林匹克公园“国家AAAAA级景区”的环境景观品质，营造了优美的景观和浓郁的节日氛围。</w:t>
      </w:r>
    </w:p>
    <w:p w14:paraId="46DFD1A5" w14:textId="77777777" w:rsidR="00B526A3" w:rsidRDefault="00000000">
      <w:pPr>
        <w:numPr>
          <w:ilvl w:val="0"/>
          <w:numId w:val="4"/>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可持续</w:t>
      </w:r>
      <w:r>
        <w:rPr>
          <w:rFonts w:ascii="仿宋_GB2312" w:eastAsia="仿宋_GB2312" w:hAnsi="宋体" w:cs="宋体"/>
          <w:color w:val="000000"/>
          <w:kern w:val="0"/>
          <w:sz w:val="32"/>
          <w:szCs w:val="32"/>
        </w:rPr>
        <w:t>性影响</w:t>
      </w:r>
    </w:p>
    <w:p w14:paraId="137A74DF"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通过持续的绿化和景观布置，提升了园区的长期环境质量，确保了园区的可持续发展。有效的安全服务和环境保洁措施，为园区的长期稳定运营提供了保障。</w:t>
      </w:r>
    </w:p>
    <w:p w14:paraId="5BE23EE4" w14:textId="77777777" w:rsidR="00B526A3" w:rsidRDefault="00000000">
      <w:pPr>
        <w:numPr>
          <w:ilvl w:val="0"/>
          <w:numId w:val="4"/>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服务对象</w:t>
      </w:r>
      <w:r>
        <w:rPr>
          <w:rFonts w:ascii="仿宋_GB2312" w:eastAsia="仿宋_GB2312" w:hAnsi="宋体" w:cs="宋体"/>
          <w:color w:val="000000"/>
          <w:kern w:val="0"/>
          <w:sz w:val="32"/>
          <w:szCs w:val="32"/>
        </w:rPr>
        <w:t>满意度</w:t>
      </w:r>
    </w:p>
    <w:p w14:paraId="11938D4B"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游客满意度达到90%以上，表明游客对园区的环境和服务高度认可。</w:t>
      </w:r>
    </w:p>
    <w:p w14:paraId="64A02F44"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综上所述，我委在2024年的整体支出绩效目标实现方面表现出色，通过多项措施和项目的实施，成功提升了园区的景观环境品质，提供了良好的安全服务保障，并有效控制了环境问题，达到了预期的绩效目标。</w:t>
      </w:r>
    </w:p>
    <w:p w14:paraId="7042264E" w14:textId="77777777" w:rsidR="00B526A3" w:rsidRDefault="00000000">
      <w:pPr>
        <w:spacing w:line="600" w:lineRule="exact"/>
        <w:ind w:leftChars="50" w:left="105" w:firstLineChars="150" w:firstLine="48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14:paraId="34C4800A" w14:textId="77777777" w:rsidR="00B526A3" w:rsidRDefault="00000000">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lastRenderedPageBreak/>
        <w:t>（一）财务管理</w:t>
      </w:r>
    </w:p>
    <w:p w14:paraId="7170C34A"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管理制度健全性</w:t>
      </w:r>
    </w:p>
    <w:p w14:paraId="0E00EEEA" w14:textId="77777777" w:rsidR="00B526A3" w:rsidRDefault="00000000">
      <w:p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单位按照相关规定建立了完善的财务管理制度。涵盖了预算管理、收支管理、资产管理和财务审批等各个环节。明确了各部门在财务管理中的职责，规范了财务工作流程，为财务管理提供了坚实的制度依据。同时，根据政策调整和实际工作需要，及时对制度进行修订完善，确保制度的适应性和有效性。</w:t>
      </w:r>
    </w:p>
    <w:p w14:paraId="54DA3264" w14:textId="77777777" w:rsidR="00B526A3" w:rsidRDefault="00000000">
      <w:pPr>
        <w:numPr>
          <w:ilvl w:val="0"/>
          <w:numId w:val="5"/>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资金使用合规性</w:t>
      </w:r>
      <w:r>
        <w:rPr>
          <w:rFonts w:ascii="仿宋_GB2312" w:eastAsia="仿宋_GB2312" w:hAnsi="宋体" w:cs="宋体"/>
          <w:color w:val="000000"/>
          <w:kern w:val="0"/>
          <w:sz w:val="32"/>
          <w:szCs w:val="32"/>
        </w:rPr>
        <w:t>和安全性</w:t>
      </w:r>
    </w:p>
    <w:p w14:paraId="51CC06AF"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资金使用方面，严格遵循财政法规和相关预算安排。所有资金支出均有合法的依据和审批手续，专款专用，无挪用、挤占现象。在资金安全管理上，制定了严密的资金内部控制制度，加强对资金收支、存储等环节的监管，确保资金流转的每一个环节都安全可靠。定期开展财务风险排查，及时发现并解决潜在风险，保障资金安全。</w:t>
      </w:r>
    </w:p>
    <w:p w14:paraId="1B29580B" w14:textId="77777777" w:rsidR="00B526A3" w:rsidRDefault="00000000">
      <w:pPr>
        <w:numPr>
          <w:ilvl w:val="0"/>
          <w:numId w:val="5"/>
        </w:numPr>
        <w:spacing w:line="600" w:lineRule="exact"/>
        <w:ind w:leftChars="50" w:left="105" w:firstLineChars="150" w:firstLine="48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14:paraId="1C236A20"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会计基础工作扎实，会计凭证的编制准确、规范，原始凭证齐全、合法有效。账簿设置合理，账目记录清晰、完整，账证相符、账账相符、账表相符。财务报表数据真实、准确，能够全面、及时地反映本单位的财务状况和预算执行情况。</w:t>
      </w:r>
      <w:r>
        <w:rPr>
          <w:rFonts w:ascii="仿宋_GB2312" w:eastAsia="仿宋_GB2312" w:hAnsi="宋体" w:cs="宋体" w:hint="eastAsia"/>
          <w:color w:val="000000"/>
          <w:kern w:val="0"/>
          <w:sz w:val="32"/>
          <w:szCs w:val="32"/>
        </w:rPr>
        <w:lastRenderedPageBreak/>
        <w:t>同时，加强会计档案管理，按照规定进行归档、保管和查阅，确保会计信息的可追溯性和</w:t>
      </w:r>
      <w:bookmarkStart w:id="2" w:name="OLE_LINK1"/>
      <w:r>
        <w:rPr>
          <w:rFonts w:ascii="仿宋_GB2312" w:eastAsia="仿宋_GB2312" w:hAnsi="宋体" w:cs="宋体" w:hint="eastAsia"/>
          <w:color w:val="000000"/>
          <w:kern w:val="0"/>
          <w:sz w:val="32"/>
          <w:szCs w:val="32"/>
        </w:rPr>
        <w:t>完整性。</w:t>
      </w:r>
      <w:bookmarkEnd w:id="2"/>
    </w:p>
    <w:p w14:paraId="15AB1615" w14:textId="77777777" w:rsidR="00B526A3" w:rsidRDefault="00000000">
      <w:pPr>
        <w:numPr>
          <w:ilvl w:val="0"/>
          <w:numId w:val="6"/>
        </w:num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资产管理</w:t>
      </w:r>
    </w:p>
    <w:p w14:paraId="5F7AEFE8"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本单位正常开展资产管理工作，确保资产安全与有效利用。建立了完善的资产台账，定期进行清查盘点，做到账实相符、账账相符。</w:t>
      </w:r>
    </w:p>
    <w:p w14:paraId="0A526DAD"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在资产配置环节，严格依据需求及预算合理安排，避免资源闲置与浪费。资产日常管理中，加强对各类资产的维护保养，延长使用寿命。</w:t>
      </w:r>
    </w:p>
    <w:p w14:paraId="174649E3"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根据财政部《固定资产等资产基础分类与代码》（GBT14885 - 2022），本年度对部分资产进行了分类调整。其中，将电动车辆列入电动两轮车和电动多轮车分类，使资产分类更加细化、科学；将部分房屋列入市政基础设施分类，进一步规范了资产分类管理，有助于提升资产管理的准确性与精细化水平，为单位资产管理工作的持续优化奠定了坚实基础。</w:t>
      </w:r>
    </w:p>
    <w:p w14:paraId="7E8D3A3D" w14:textId="77777777" w:rsidR="00B526A3" w:rsidRDefault="00000000">
      <w:pPr>
        <w:numPr>
          <w:ilvl w:val="0"/>
          <w:numId w:val="6"/>
        </w:num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绩效</w:t>
      </w:r>
      <w:r>
        <w:rPr>
          <w:rFonts w:ascii="楷体_GB2312" w:eastAsia="楷体_GB2312"/>
          <w:sz w:val="32"/>
          <w:szCs w:val="32"/>
        </w:rPr>
        <w:t>管理</w:t>
      </w:r>
    </w:p>
    <w:p w14:paraId="0B003FE2"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本年度绩效管理工作有序推进。年初，结合单位战略目标与年度计划，科学设定绩效指标，确保目标明确、可衡量。在预算执行过程中，定期对绩效目标实现程度进行跟踪监控，</w:t>
      </w:r>
      <w:r>
        <w:rPr>
          <w:rFonts w:ascii="仿宋_GB2312" w:eastAsia="仿宋_GB2312" w:hAnsi="宋体" w:cs="宋体" w:hint="eastAsia"/>
          <w:color w:val="000000"/>
          <w:kern w:val="0"/>
          <w:sz w:val="32"/>
          <w:szCs w:val="32"/>
        </w:rPr>
        <w:lastRenderedPageBreak/>
        <w:t>及时发现问题并调整策略，保障项目按计划推进。年末，开展全面的绩效评价工作，运用多种评价方法，客观评价各项工作的产出与效益。同时，注重绩效评价结果的应用，将其作为下一年度预算安排和业务改进的重要依据，不断提升资金使用效益与工作效率。</w:t>
      </w:r>
    </w:p>
    <w:p w14:paraId="239F6F2F" w14:textId="77777777" w:rsidR="00B526A3" w:rsidRDefault="00000000">
      <w:pPr>
        <w:spacing w:line="600" w:lineRule="exact"/>
        <w:ind w:firstLineChars="200" w:firstLine="640"/>
        <w:rPr>
          <w:rFonts w:ascii="楷体_GB2312" w:eastAsia="楷体_GB2312"/>
          <w:sz w:val="32"/>
          <w:szCs w:val="32"/>
        </w:rPr>
      </w:pPr>
      <w:r>
        <w:rPr>
          <w:rFonts w:ascii="楷体_GB2312" w:eastAsia="楷体_GB2312" w:hint="eastAsia"/>
          <w:sz w:val="32"/>
          <w:szCs w:val="32"/>
        </w:rPr>
        <w:t>（四）结转结余率</w:t>
      </w:r>
    </w:p>
    <w:p w14:paraId="36792CC0" w14:textId="77777777" w:rsidR="00B526A3" w:rsidRDefault="00000000">
      <w:pPr>
        <w:spacing w:line="600" w:lineRule="exact"/>
        <w:ind w:firstLineChars="200" w:firstLine="640"/>
        <w:rPr>
          <w:rFonts w:ascii="黑体" w:eastAsia="黑体" w:hAnsi="黑体" w:cs="宋体" w:hint="eastAsia"/>
          <w:color w:val="000000"/>
          <w:kern w:val="0"/>
          <w:sz w:val="32"/>
          <w:szCs w:val="32"/>
        </w:rPr>
      </w:pPr>
      <w:r>
        <w:rPr>
          <w:rFonts w:ascii="仿宋_GB2312" w:eastAsia="仿宋_GB2312" w:hAnsi="宋体" w:cs="宋体" w:hint="eastAsia"/>
          <w:color w:val="000000"/>
          <w:kern w:val="0"/>
          <w:sz w:val="32"/>
          <w:szCs w:val="32"/>
        </w:rPr>
        <w:t>本年度结转结余率0%。</w:t>
      </w:r>
    </w:p>
    <w:p w14:paraId="61B690F3" w14:textId="77777777" w:rsidR="00B526A3" w:rsidRPr="003F1F8E" w:rsidRDefault="00000000">
      <w:pPr>
        <w:numPr>
          <w:ilvl w:val="0"/>
          <w:numId w:val="7"/>
        </w:numPr>
        <w:spacing w:line="600" w:lineRule="exact"/>
        <w:ind w:leftChars="50" w:left="105" w:firstLineChars="150" w:firstLine="480"/>
        <w:rPr>
          <w:rFonts w:ascii="楷体_GB2312" w:eastAsia="楷体_GB2312"/>
          <w:sz w:val="32"/>
          <w:szCs w:val="32"/>
        </w:rPr>
      </w:pPr>
      <w:r w:rsidRPr="003F1F8E">
        <w:rPr>
          <w:rFonts w:ascii="楷体_GB2312" w:eastAsia="楷体_GB2312" w:hint="eastAsia"/>
          <w:sz w:val="32"/>
          <w:szCs w:val="32"/>
        </w:rPr>
        <w:t>部门</w:t>
      </w:r>
      <w:r w:rsidRPr="003F1F8E">
        <w:rPr>
          <w:rFonts w:ascii="楷体_GB2312" w:eastAsia="楷体_GB2312"/>
          <w:sz w:val="32"/>
          <w:szCs w:val="32"/>
        </w:rPr>
        <w:t>预决算差异率</w:t>
      </w:r>
    </w:p>
    <w:p w14:paraId="33E393E5" w14:textId="3152A7E1" w:rsidR="00B526A3" w:rsidRDefault="00000000">
      <w:pPr>
        <w:spacing w:line="600" w:lineRule="exact"/>
        <w:ind w:firstLineChars="200" w:firstLine="640"/>
        <w:rPr>
          <w:rFonts w:ascii="仿宋_GB2312" w:eastAsia="仿宋_GB2312" w:hAnsi="宋体" w:cs="宋体" w:hint="eastAsia"/>
          <w:color w:val="000000"/>
          <w:kern w:val="0"/>
          <w:sz w:val="32"/>
          <w:szCs w:val="32"/>
        </w:rPr>
      </w:pPr>
      <w:r w:rsidRPr="003F1F8E">
        <w:rPr>
          <w:rFonts w:ascii="仿宋_GB2312" w:eastAsia="仿宋_GB2312" w:hAnsi="宋体" w:cs="宋体" w:hint="eastAsia"/>
          <w:color w:val="000000"/>
          <w:kern w:val="0"/>
          <w:sz w:val="32"/>
          <w:szCs w:val="32"/>
        </w:rPr>
        <w:t>2024年部门预算数</w:t>
      </w:r>
      <w:r w:rsidR="003F1F8E" w:rsidRPr="003F1F8E">
        <w:rPr>
          <w:rFonts w:ascii="仿宋_GB2312" w:eastAsia="仿宋_GB2312" w:hAnsi="宋体" w:cs="宋体"/>
          <w:color w:val="000000"/>
          <w:kern w:val="0"/>
          <w:sz w:val="32"/>
          <w:szCs w:val="32"/>
        </w:rPr>
        <w:t>15,711.03</w:t>
      </w:r>
      <w:r w:rsidRPr="003F1F8E">
        <w:rPr>
          <w:rFonts w:ascii="仿宋_GB2312" w:eastAsia="仿宋_GB2312" w:hAnsi="宋体" w:cs="宋体" w:hint="eastAsia"/>
          <w:color w:val="000000"/>
          <w:kern w:val="0"/>
          <w:sz w:val="32"/>
          <w:szCs w:val="32"/>
        </w:rPr>
        <w:t>万元，其中，基本支出预算数</w:t>
      </w:r>
      <w:r w:rsidR="003F1F8E" w:rsidRPr="003F1F8E">
        <w:rPr>
          <w:rFonts w:ascii="仿宋_GB2312" w:eastAsia="仿宋_GB2312" w:hAnsi="宋体" w:cs="宋体"/>
          <w:color w:val="000000"/>
          <w:kern w:val="0"/>
          <w:sz w:val="32"/>
          <w:szCs w:val="32"/>
        </w:rPr>
        <w:t>4,803.60</w:t>
      </w:r>
      <w:r w:rsidRPr="003F1F8E">
        <w:rPr>
          <w:rFonts w:ascii="仿宋_GB2312" w:eastAsia="仿宋_GB2312" w:hAnsi="宋体" w:cs="宋体" w:hint="eastAsia"/>
          <w:color w:val="000000"/>
          <w:kern w:val="0"/>
          <w:sz w:val="32"/>
          <w:szCs w:val="32"/>
        </w:rPr>
        <w:t>万元，项目支出预算数</w:t>
      </w:r>
      <w:r w:rsidR="003F1F8E" w:rsidRPr="003F1F8E">
        <w:rPr>
          <w:rFonts w:ascii="仿宋_GB2312" w:eastAsia="仿宋_GB2312" w:hAnsi="宋体" w:cs="宋体"/>
          <w:color w:val="000000"/>
          <w:kern w:val="0"/>
          <w:sz w:val="32"/>
          <w:szCs w:val="32"/>
        </w:rPr>
        <w:t>10,907.44</w:t>
      </w:r>
      <w:r w:rsidRPr="003F1F8E">
        <w:rPr>
          <w:rFonts w:ascii="仿宋_GB2312" w:eastAsia="仿宋_GB2312" w:hAnsi="宋体" w:cs="宋体" w:hint="eastAsia"/>
          <w:color w:val="000000"/>
          <w:kern w:val="0"/>
          <w:sz w:val="32"/>
          <w:szCs w:val="32"/>
        </w:rPr>
        <w:t>万元。2024年年</w:t>
      </w:r>
      <w:r w:rsidRPr="003F1F8E">
        <w:rPr>
          <w:rFonts w:ascii="仿宋_GB2312" w:eastAsia="仿宋_GB2312" w:hAnsi="宋体" w:cs="宋体" w:hint="eastAsia"/>
          <w:color w:val="000000" w:themeColor="text1"/>
          <w:kern w:val="0"/>
          <w:sz w:val="32"/>
          <w:szCs w:val="32"/>
        </w:rPr>
        <w:t>度部门决算数</w:t>
      </w:r>
      <w:r w:rsidR="003F1F8E" w:rsidRPr="003F1F8E">
        <w:rPr>
          <w:rFonts w:ascii="仿宋_GB2312" w:eastAsia="仿宋_GB2312" w:hAnsi="宋体" w:cs="宋体"/>
          <w:color w:val="000000" w:themeColor="text1"/>
          <w:kern w:val="0"/>
          <w:sz w:val="32"/>
          <w:szCs w:val="32"/>
        </w:rPr>
        <w:t>16,618.31</w:t>
      </w:r>
      <w:r w:rsidRPr="003F1F8E">
        <w:rPr>
          <w:rFonts w:ascii="仿宋_GB2312" w:eastAsia="仿宋_GB2312" w:hAnsi="宋体" w:cs="宋体" w:hint="eastAsia"/>
          <w:color w:val="000000" w:themeColor="text1"/>
          <w:kern w:val="0"/>
          <w:sz w:val="32"/>
          <w:szCs w:val="32"/>
        </w:rPr>
        <w:t>万元，其中，基本支出决算数</w:t>
      </w:r>
      <w:r w:rsidR="003F1F8E" w:rsidRPr="003F1F8E">
        <w:rPr>
          <w:rFonts w:ascii="仿宋_GB2312" w:eastAsia="仿宋_GB2312" w:hAnsi="宋体" w:cs="宋体"/>
          <w:color w:val="000000" w:themeColor="text1"/>
          <w:kern w:val="0"/>
          <w:sz w:val="32"/>
          <w:szCs w:val="32"/>
        </w:rPr>
        <w:t>4,838.53</w:t>
      </w:r>
      <w:r w:rsidRPr="003F1F8E">
        <w:rPr>
          <w:rFonts w:ascii="仿宋_GB2312" w:eastAsia="仿宋_GB2312" w:hAnsi="宋体" w:cs="宋体" w:hint="eastAsia"/>
          <w:color w:val="000000" w:themeColor="text1"/>
          <w:kern w:val="0"/>
          <w:sz w:val="32"/>
          <w:szCs w:val="32"/>
        </w:rPr>
        <w:t>万元，项目支出决算数</w:t>
      </w:r>
      <w:r w:rsidR="003F1F8E" w:rsidRPr="003F1F8E">
        <w:rPr>
          <w:rFonts w:ascii="仿宋_GB2312" w:eastAsia="仿宋_GB2312" w:hAnsi="宋体" w:cs="宋体"/>
          <w:color w:val="000000" w:themeColor="text1"/>
          <w:kern w:val="0"/>
          <w:sz w:val="32"/>
          <w:szCs w:val="32"/>
        </w:rPr>
        <w:t>11,779.78</w:t>
      </w:r>
      <w:r w:rsidRPr="003F1F8E">
        <w:rPr>
          <w:rFonts w:ascii="仿宋_GB2312" w:eastAsia="仿宋_GB2312" w:hAnsi="宋体" w:cs="宋体" w:hint="eastAsia"/>
          <w:color w:val="000000" w:themeColor="text1"/>
          <w:kern w:val="0"/>
          <w:sz w:val="32"/>
          <w:szCs w:val="32"/>
        </w:rPr>
        <w:t>万元。</w:t>
      </w:r>
    </w:p>
    <w:p w14:paraId="0FBC9EB7" w14:textId="5E1AB657" w:rsidR="00B526A3" w:rsidRDefault="00000000" w:rsidP="007D34B1">
      <w:pPr>
        <w:spacing w:line="600" w:lineRule="exact"/>
        <w:ind w:firstLineChars="200" w:firstLine="640"/>
        <w:rPr>
          <w:rFonts w:ascii="仿宋_GB2312" w:eastAsia="仿宋_GB2312" w:hAnsi="宋体" w:cs="宋体" w:hint="eastAsia"/>
          <w:color w:val="000000"/>
          <w:kern w:val="0"/>
          <w:sz w:val="32"/>
          <w:szCs w:val="32"/>
        </w:rPr>
      </w:pPr>
      <w:r w:rsidRPr="003F1F8E">
        <w:rPr>
          <w:rFonts w:ascii="仿宋_GB2312" w:eastAsia="仿宋_GB2312" w:hAnsi="宋体" w:cs="宋体" w:hint="eastAsia"/>
          <w:color w:val="000000"/>
          <w:kern w:val="0"/>
          <w:sz w:val="32"/>
          <w:szCs w:val="32"/>
        </w:rPr>
        <w:t>总体预决算差异率约为</w:t>
      </w:r>
      <w:r w:rsidR="003F1F8E" w:rsidRPr="003F1F8E">
        <w:rPr>
          <w:rFonts w:ascii="仿宋_GB2312" w:eastAsia="仿宋_GB2312" w:hAnsi="宋体" w:cs="宋体"/>
          <w:color w:val="000000"/>
          <w:kern w:val="0"/>
          <w:sz w:val="32"/>
          <w:szCs w:val="32"/>
        </w:rPr>
        <w:t>5.77</w:t>
      </w:r>
      <w:r w:rsidR="003F1F8E" w:rsidRPr="005A06D1">
        <w:rPr>
          <w:rFonts w:ascii="仿宋_GB2312" w:eastAsia="仿宋_GB2312" w:hAnsi="宋体" w:cs="宋体"/>
          <w:color w:val="000000"/>
          <w:kern w:val="0"/>
          <w:sz w:val="32"/>
          <w:szCs w:val="32"/>
        </w:rPr>
        <w:t>%</w:t>
      </w:r>
      <w:r w:rsidRPr="005A06D1">
        <w:rPr>
          <w:rFonts w:ascii="仿宋_GB2312" w:eastAsia="仿宋_GB2312" w:hAnsi="宋体" w:cs="宋体" w:hint="eastAsia"/>
          <w:color w:val="000000"/>
          <w:kern w:val="0"/>
          <w:sz w:val="32"/>
          <w:szCs w:val="32"/>
        </w:rPr>
        <w:t>。整体</w:t>
      </w:r>
      <w:r w:rsidR="00E62244" w:rsidRPr="005A06D1">
        <w:rPr>
          <w:rFonts w:ascii="仿宋_GB2312" w:eastAsia="仿宋_GB2312" w:hAnsi="宋体" w:cs="宋体" w:hint="eastAsia"/>
          <w:color w:val="000000"/>
          <w:kern w:val="0"/>
          <w:sz w:val="32"/>
          <w:szCs w:val="32"/>
        </w:rPr>
        <w:t>决算高于</w:t>
      </w:r>
      <w:r w:rsidR="00E62244">
        <w:rPr>
          <w:rFonts w:ascii="仿宋_GB2312" w:eastAsia="仿宋_GB2312" w:hAnsi="宋体" w:cs="宋体" w:hint="eastAsia"/>
          <w:color w:val="000000"/>
          <w:kern w:val="0"/>
          <w:sz w:val="32"/>
          <w:szCs w:val="32"/>
        </w:rPr>
        <w:t>预算，主要是因为2024年9月园区有重大活动，需进行花卉、绿化、景观等布置。</w:t>
      </w:r>
    </w:p>
    <w:p w14:paraId="52218F3F" w14:textId="77777777" w:rsidR="00B526A3" w:rsidRDefault="00000000">
      <w:pPr>
        <w:spacing w:line="600" w:lineRule="exact"/>
        <w:ind w:leftChars="50" w:left="105" w:firstLineChars="150" w:firstLine="480"/>
        <w:rPr>
          <w:rFonts w:ascii="黑体" w:eastAsia="黑体" w:hAnsi="黑体" w:hint="eastAsia"/>
          <w:sz w:val="32"/>
          <w:szCs w:val="32"/>
        </w:rPr>
      </w:pPr>
      <w:r>
        <w:rPr>
          <w:rFonts w:ascii="黑体" w:eastAsia="黑体" w:hAnsi="黑体" w:hint="eastAsia"/>
          <w:sz w:val="32"/>
          <w:szCs w:val="32"/>
        </w:rPr>
        <w:t>五、总体</w:t>
      </w:r>
      <w:r>
        <w:rPr>
          <w:rFonts w:ascii="黑体" w:eastAsia="黑体" w:hAnsi="黑体"/>
          <w:sz w:val="32"/>
          <w:szCs w:val="32"/>
        </w:rPr>
        <w:t>评价结论</w:t>
      </w:r>
    </w:p>
    <w:p w14:paraId="6C8149A3" w14:textId="77777777" w:rsidR="00B526A3" w:rsidRDefault="00000000">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14:paraId="36F2E5AE"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总体绩效评价得分情况较为理想。当年涉及的57个项目中，因中心区开放、安检口撤除等原因，“奥园公共区域人群态势监测与预警系统项目运维服务”项目不再继续开展，</w:t>
      </w:r>
      <w:r>
        <w:rPr>
          <w:rFonts w:ascii="仿宋_GB2312" w:eastAsia="仿宋_GB2312" w:hAnsi="宋体" w:cs="宋体" w:hint="eastAsia"/>
          <w:color w:val="000000"/>
          <w:kern w:val="0"/>
          <w:sz w:val="32"/>
          <w:szCs w:val="32"/>
        </w:rPr>
        <w:lastRenderedPageBreak/>
        <w:t>属于客观情况导致的项目调整。</w:t>
      </w:r>
    </w:p>
    <w:p w14:paraId="1F621A9B"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而其余56个项目绩效评价得分均在90分以上，达到优秀水平，这表明在项目管理、目标达成、资源利用等多方面表现突出。一方面反映出各部门在项目实施过程中管理规范、执行有力，能够按照预定计划高质量完成项目任务；另一方面也说明预算安排与项目实际需求匹配度较高，资金使用效益良好。整体而言，虽然有个别项目调整，但不影响整体绩效的高质量呈现，为今后项目管理提供了良好范例。</w:t>
      </w:r>
    </w:p>
    <w:p w14:paraId="11A37059" w14:textId="77777777" w:rsidR="00B526A3" w:rsidRDefault="00000000">
      <w:pPr>
        <w:numPr>
          <w:ilvl w:val="0"/>
          <w:numId w:val="9"/>
        </w:num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存在的问题及原因分析</w:t>
      </w:r>
    </w:p>
    <w:p w14:paraId="4619B71C" w14:textId="77777777" w:rsidR="00B526A3" w:rsidRDefault="00000000">
      <w:pPr>
        <w:spacing w:line="600" w:lineRule="exact"/>
        <w:ind w:firstLineChars="200" w:firstLine="640"/>
        <w:rPr>
          <w:rFonts w:ascii="楷体_GB2312" w:eastAsia="楷体_GB2312"/>
          <w:sz w:val="32"/>
          <w:szCs w:val="32"/>
        </w:rPr>
      </w:pPr>
      <w:r>
        <w:rPr>
          <w:rFonts w:ascii="仿宋_GB2312" w:eastAsia="仿宋_GB2312" w:hAnsi="宋体" w:cs="宋体" w:hint="eastAsia"/>
          <w:color w:val="000000"/>
          <w:kern w:val="0"/>
          <w:sz w:val="32"/>
          <w:szCs w:val="32"/>
        </w:rPr>
        <w:t>存在的主要问题包括：一是部分绩效指标缺乏量化，定义模糊。这使得在绩效评价时难以准确衡量项目成果，评价标准不明确，容易导致主观判断差异。二是部分绩效指标与项目实际情况脱节。可能是由于在指标设定前调研不充分，未能深入了解项目的具体目标、流程和关键环节，只是按照常规思路或过往经验设定，导致指标无法真实反映项目的实际成效。</w:t>
      </w:r>
    </w:p>
    <w:p w14:paraId="63929086" w14:textId="77777777" w:rsidR="00B526A3" w:rsidRDefault="00000000">
      <w:pPr>
        <w:spacing w:line="600" w:lineRule="exact"/>
        <w:ind w:firstLineChars="200" w:firstLine="640"/>
      </w:pPr>
      <w:r>
        <w:rPr>
          <w:rFonts w:ascii="黑体" w:eastAsia="黑体" w:hAnsi="黑体" w:cs="宋体" w:hint="eastAsia"/>
          <w:color w:val="000000"/>
          <w:kern w:val="0"/>
          <w:sz w:val="32"/>
          <w:szCs w:val="32"/>
        </w:rPr>
        <w:t>六、措施建议</w:t>
      </w:r>
    </w:p>
    <w:p w14:paraId="08BF5F57"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针对现存问题，制定如下措施建议：组织相关人员开展培训，学习绩效指标设定规范，提升设定能力。针对已存在的问题指标，重新梳理分析项目内容，与项目负责人及执行人员充分沟通，将模糊指标进行量化，使其具备可操作性；</w:t>
      </w:r>
      <w:r>
        <w:rPr>
          <w:rFonts w:ascii="仿宋_GB2312" w:eastAsia="仿宋_GB2312" w:hAnsi="宋体" w:cs="宋体" w:hint="eastAsia"/>
          <w:color w:val="000000"/>
          <w:kern w:val="0"/>
          <w:sz w:val="32"/>
          <w:szCs w:val="32"/>
        </w:rPr>
        <w:lastRenderedPageBreak/>
        <w:t>对不贴合实际的项目指标，深入调研项目具体情况，结合实际需求和目标进行优化调整。</w:t>
      </w:r>
    </w:p>
    <w:p w14:paraId="30B94D58" w14:textId="77777777" w:rsidR="00B526A3" w:rsidRDefault="00000000">
      <w:pPr>
        <w:spacing w:line="6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今后项目绩效指标设定环节，加强前期调研与论证，广泛征求意见。建立指标审核机制，确保指标科学合理。定期对绩效指标执行情况进行检查评估，及时发现问题并动态调整，从而提升绩效评价的准确性和有效性。</w:t>
      </w:r>
    </w:p>
    <w:sectPr w:rsidR="00B526A3">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84FB" w14:textId="77777777" w:rsidR="00D84125" w:rsidRDefault="00D84125">
      <w:pPr>
        <w:spacing w:after="0" w:line="240" w:lineRule="auto"/>
      </w:pPr>
      <w:r>
        <w:separator/>
      </w:r>
    </w:p>
  </w:endnote>
  <w:endnote w:type="continuationSeparator" w:id="0">
    <w:p w14:paraId="123EE379" w14:textId="77777777" w:rsidR="00D84125" w:rsidRDefault="00D8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03ED" w14:textId="77777777" w:rsidR="00B526A3" w:rsidRDefault="00B526A3">
    <w:pPr>
      <w:pStyle w:val="a3"/>
      <w:jc w:val="right"/>
      <w:rPr>
        <w:rFonts w:ascii="宋体" w:hAnsi="宋体" w:hint="eastAsia"/>
        <w:sz w:val="28"/>
        <w:szCs w:val="28"/>
      </w:rPr>
    </w:pPr>
  </w:p>
  <w:p w14:paraId="414893F5" w14:textId="77777777" w:rsidR="00B526A3" w:rsidRDefault="00B526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2268" w14:textId="77777777" w:rsidR="00D84125" w:rsidRDefault="00D84125">
      <w:pPr>
        <w:spacing w:after="0" w:line="240" w:lineRule="auto"/>
      </w:pPr>
      <w:r>
        <w:separator/>
      </w:r>
    </w:p>
  </w:footnote>
  <w:footnote w:type="continuationSeparator" w:id="0">
    <w:p w14:paraId="0BB22B03" w14:textId="77777777" w:rsidR="00D84125" w:rsidRDefault="00D8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ACF1" w14:textId="77777777" w:rsidR="00B526A3" w:rsidRDefault="00B526A3">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38616"/>
    <w:multiLevelType w:val="singleLevel"/>
    <w:tmpl w:val="67D38616"/>
    <w:lvl w:ilvl="0">
      <w:start w:val="2"/>
      <w:numFmt w:val="chineseCounting"/>
      <w:suff w:val="nothing"/>
      <w:lvlText w:val="（%1）"/>
      <w:lvlJc w:val="left"/>
    </w:lvl>
  </w:abstractNum>
  <w:abstractNum w:abstractNumId="1" w15:restartNumberingAfterBreak="0">
    <w:nsid w:val="67D3865A"/>
    <w:multiLevelType w:val="singleLevel"/>
    <w:tmpl w:val="67D3865A"/>
    <w:lvl w:ilvl="0">
      <w:start w:val="2"/>
      <w:numFmt w:val="decimal"/>
      <w:suff w:val="nothing"/>
      <w:lvlText w:val="%1．"/>
      <w:lvlJc w:val="left"/>
    </w:lvl>
  </w:abstractNum>
  <w:abstractNum w:abstractNumId="2" w15:restartNumberingAfterBreak="0">
    <w:nsid w:val="67D3869E"/>
    <w:multiLevelType w:val="singleLevel"/>
    <w:tmpl w:val="67D3869E"/>
    <w:lvl w:ilvl="0">
      <w:start w:val="2"/>
      <w:numFmt w:val="chineseCounting"/>
      <w:suff w:val="nothing"/>
      <w:lvlText w:val="%1、"/>
      <w:lvlJc w:val="left"/>
    </w:lvl>
  </w:abstractNum>
  <w:abstractNum w:abstractNumId="3" w15:restartNumberingAfterBreak="0">
    <w:nsid w:val="67D38F25"/>
    <w:multiLevelType w:val="singleLevel"/>
    <w:tmpl w:val="67D38F25"/>
    <w:lvl w:ilvl="0">
      <w:start w:val="2"/>
      <w:numFmt w:val="decimal"/>
      <w:suff w:val="nothing"/>
      <w:lvlText w:val="%1."/>
      <w:lvlJc w:val="left"/>
    </w:lvl>
  </w:abstractNum>
  <w:abstractNum w:abstractNumId="4" w15:restartNumberingAfterBreak="0">
    <w:nsid w:val="67D3904A"/>
    <w:multiLevelType w:val="singleLevel"/>
    <w:tmpl w:val="67D3904A"/>
    <w:lvl w:ilvl="0">
      <w:start w:val="2"/>
      <w:numFmt w:val="chineseCounting"/>
      <w:suff w:val="nothing"/>
      <w:lvlText w:val="（%1）"/>
      <w:lvlJc w:val="left"/>
    </w:lvl>
  </w:abstractNum>
  <w:abstractNum w:abstractNumId="5" w15:restartNumberingAfterBreak="0">
    <w:nsid w:val="67D3940F"/>
    <w:multiLevelType w:val="singleLevel"/>
    <w:tmpl w:val="67D3940F"/>
    <w:lvl w:ilvl="0">
      <w:start w:val="5"/>
      <w:numFmt w:val="chineseCounting"/>
      <w:suff w:val="nothing"/>
      <w:lvlText w:val="（%1）"/>
      <w:lvlJc w:val="left"/>
    </w:lvl>
  </w:abstractNum>
  <w:abstractNum w:abstractNumId="6" w15:restartNumberingAfterBreak="0">
    <w:nsid w:val="67D394AB"/>
    <w:multiLevelType w:val="singleLevel"/>
    <w:tmpl w:val="67D394AB"/>
    <w:lvl w:ilvl="0">
      <w:start w:val="1"/>
      <w:numFmt w:val="decimal"/>
      <w:suff w:val="space"/>
      <w:lvlText w:val="%1."/>
      <w:lvlJc w:val="left"/>
    </w:lvl>
  </w:abstractNum>
  <w:abstractNum w:abstractNumId="7" w15:restartNumberingAfterBreak="0">
    <w:nsid w:val="67D39751"/>
    <w:multiLevelType w:val="singleLevel"/>
    <w:tmpl w:val="67D39751"/>
    <w:lvl w:ilvl="0">
      <w:start w:val="2"/>
      <w:numFmt w:val="chineseCounting"/>
      <w:suff w:val="nothing"/>
      <w:lvlText w:val="（%1）"/>
      <w:lvlJc w:val="left"/>
    </w:lvl>
  </w:abstractNum>
  <w:abstractNum w:abstractNumId="8" w15:restartNumberingAfterBreak="0">
    <w:nsid w:val="67D39CA8"/>
    <w:multiLevelType w:val="singleLevel"/>
    <w:tmpl w:val="67D39CA8"/>
    <w:lvl w:ilvl="0">
      <w:start w:val="2"/>
      <w:numFmt w:val="decimal"/>
      <w:suff w:val="nothing"/>
      <w:lvlText w:val="%1."/>
      <w:lvlJc w:val="left"/>
    </w:lvl>
  </w:abstractNum>
  <w:num w:numId="1" w16cid:durableId="2081366789">
    <w:abstractNumId w:val="1"/>
  </w:num>
  <w:num w:numId="2" w16cid:durableId="1421175547">
    <w:abstractNumId w:val="0"/>
  </w:num>
  <w:num w:numId="3" w16cid:durableId="174806836">
    <w:abstractNumId w:val="2"/>
  </w:num>
  <w:num w:numId="4" w16cid:durableId="1109398663">
    <w:abstractNumId w:val="8"/>
  </w:num>
  <w:num w:numId="5" w16cid:durableId="1725982386">
    <w:abstractNumId w:val="3"/>
  </w:num>
  <w:num w:numId="6" w16cid:durableId="1635939391">
    <w:abstractNumId w:val="4"/>
  </w:num>
  <w:num w:numId="7" w16cid:durableId="1289974956">
    <w:abstractNumId w:val="5"/>
  </w:num>
  <w:num w:numId="8" w16cid:durableId="1117213040">
    <w:abstractNumId w:val="6"/>
  </w:num>
  <w:num w:numId="9" w16cid:durableId="272787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1D39DF"/>
    <w:rsid w:val="00051FDE"/>
    <w:rsid w:val="0005723B"/>
    <w:rsid w:val="000C6AD2"/>
    <w:rsid w:val="001C7834"/>
    <w:rsid w:val="00246F6C"/>
    <w:rsid w:val="00251C33"/>
    <w:rsid w:val="002C5D22"/>
    <w:rsid w:val="0035559F"/>
    <w:rsid w:val="003C14AD"/>
    <w:rsid w:val="003F1F8E"/>
    <w:rsid w:val="003F65DB"/>
    <w:rsid w:val="004255C9"/>
    <w:rsid w:val="004F5B65"/>
    <w:rsid w:val="005149E4"/>
    <w:rsid w:val="0057202C"/>
    <w:rsid w:val="005867AD"/>
    <w:rsid w:val="00592265"/>
    <w:rsid w:val="00597F7F"/>
    <w:rsid w:val="005A06D1"/>
    <w:rsid w:val="005E3946"/>
    <w:rsid w:val="00606A99"/>
    <w:rsid w:val="006C162F"/>
    <w:rsid w:val="006F5D5C"/>
    <w:rsid w:val="00765EAC"/>
    <w:rsid w:val="007D34B1"/>
    <w:rsid w:val="0082152A"/>
    <w:rsid w:val="00911570"/>
    <w:rsid w:val="0091600C"/>
    <w:rsid w:val="00936B1F"/>
    <w:rsid w:val="00B0252E"/>
    <w:rsid w:val="00B03B70"/>
    <w:rsid w:val="00B526A3"/>
    <w:rsid w:val="00B5353A"/>
    <w:rsid w:val="00BF3448"/>
    <w:rsid w:val="00CF07EE"/>
    <w:rsid w:val="00D40E0F"/>
    <w:rsid w:val="00D84125"/>
    <w:rsid w:val="00DE0776"/>
    <w:rsid w:val="00E311E4"/>
    <w:rsid w:val="00E617B2"/>
    <w:rsid w:val="00E62244"/>
    <w:rsid w:val="00F22C73"/>
    <w:rsid w:val="00F42C33"/>
    <w:rsid w:val="00F77549"/>
    <w:rsid w:val="0AF62277"/>
    <w:rsid w:val="1A3A7BAD"/>
    <w:rsid w:val="1CFA34F8"/>
    <w:rsid w:val="255D778F"/>
    <w:rsid w:val="2F321339"/>
    <w:rsid w:val="3A0A78B8"/>
    <w:rsid w:val="3DFA317F"/>
    <w:rsid w:val="5B1D39DF"/>
    <w:rsid w:val="5DFC5159"/>
    <w:rsid w:val="5E423AFE"/>
    <w:rsid w:val="69C91FDD"/>
    <w:rsid w:val="7673513A"/>
    <w:rsid w:val="7F94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0F19A"/>
  <w15:docId w15:val="{703EF273-114D-4046-A5B2-E274974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rFonts w:ascii="Times New Roman" w:eastAsia="宋体" w:hAnsi="Times New Roman" w:cs="Times New Roman"/>
      <w:kern w:val="2"/>
      <w:sz w:val="18"/>
      <w:szCs w:val="18"/>
    </w:rPr>
  </w:style>
  <w:style w:type="paragraph" w:styleId="a6">
    <w:name w:val="Revision"/>
    <w:hidden/>
    <w:uiPriority w:val="99"/>
    <w:unhideWhenUsed/>
    <w:rsid w:val="0005723B"/>
    <w:pPr>
      <w:spacing w:after="0" w:line="240" w:lineRule="auto"/>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K69835</cp:lastModifiedBy>
  <cp:revision>25</cp:revision>
  <cp:lastPrinted>2025-01-16T06:24:00Z</cp:lastPrinted>
  <dcterms:created xsi:type="dcterms:W3CDTF">2024-01-18T03:00:00Z</dcterms:created>
  <dcterms:modified xsi:type="dcterms:W3CDTF">2025-09-03T07:02:00Z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