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E93" w:rsidRDefault="009310B0">
      <w:pPr>
        <w:widowControl/>
        <w:shd w:val="clear" w:color="auto" w:fill="FFFFFF"/>
        <w:spacing w:line="384" w:lineRule="atLeast"/>
        <w:jc w:val="center"/>
        <w:outlineLvl w:val="3"/>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2021年</w:t>
      </w:r>
      <w:r>
        <w:rPr>
          <w:rFonts w:asciiTheme="majorEastAsia" w:eastAsiaTheme="majorEastAsia" w:hAnsiTheme="majorEastAsia" w:cs="宋体" w:hint="eastAsia"/>
          <w:b/>
          <w:kern w:val="0"/>
          <w:sz w:val="44"/>
          <w:szCs w:val="44"/>
        </w:rPr>
        <w:t>1-8</w:t>
      </w:r>
      <w:r>
        <w:rPr>
          <w:rFonts w:asciiTheme="majorEastAsia" w:eastAsiaTheme="majorEastAsia" w:hAnsiTheme="majorEastAsia" w:cs="宋体" w:hint="eastAsia"/>
          <w:b/>
          <w:kern w:val="0"/>
          <w:sz w:val="44"/>
          <w:szCs w:val="44"/>
        </w:rPr>
        <w:t>月</w:t>
      </w:r>
      <w:r>
        <w:rPr>
          <w:rFonts w:asciiTheme="majorEastAsia" w:eastAsiaTheme="majorEastAsia" w:hAnsiTheme="majorEastAsia" w:cs="宋体" w:hint="eastAsia"/>
          <w:b/>
          <w:kern w:val="0"/>
          <w:sz w:val="44"/>
          <w:szCs w:val="44"/>
        </w:rPr>
        <w:t>中关村朝阳园总收入</w:t>
      </w:r>
      <w:r>
        <w:rPr>
          <w:rFonts w:asciiTheme="majorEastAsia" w:eastAsiaTheme="majorEastAsia" w:hAnsiTheme="majorEastAsia" w:cs="宋体" w:hint="eastAsia"/>
          <w:b/>
          <w:kern w:val="0"/>
          <w:sz w:val="44"/>
          <w:szCs w:val="44"/>
        </w:rPr>
        <w:t>同比增长</w:t>
      </w:r>
      <w:r>
        <w:rPr>
          <w:rFonts w:asciiTheme="majorEastAsia" w:eastAsiaTheme="majorEastAsia" w:hAnsiTheme="majorEastAsia" w:cs="宋体" w:hint="eastAsia"/>
          <w:b/>
          <w:kern w:val="0"/>
          <w:sz w:val="44"/>
          <w:szCs w:val="44"/>
        </w:rPr>
        <w:t>20.2%</w:t>
      </w:r>
    </w:p>
    <w:p w:rsidR="00021E93" w:rsidRDefault="00021E93">
      <w:pPr>
        <w:rPr>
          <w:rFonts w:asciiTheme="minorEastAsia" w:hAnsiTheme="minorEastAsia"/>
          <w:sz w:val="28"/>
          <w:szCs w:val="28"/>
        </w:rPr>
      </w:pPr>
    </w:p>
    <w:p w:rsidR="00021E93" w:rsidRDefault="009310B0">
      <w:pPr>
        <w:pStyle w:val="a5"/>
        <w:shd w:val="clear" w:color="auto" w:fill="FFFFFF"/>
        <w:adjustRightInd w:val="0"/>
        <w:spacing w:before="0" w:beforeAutospacing="0" w:after="0" w:afterAutospacing="0" w:line="480" w:lineRule="auto"/>
        <w:ind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sz w:val="28"/>
          <w:szCs w:val="28"/>
        </w:rPr>
        <w:t>1-8</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，中关村朝阳园规模（限额）以上高新技术企业实现总收入</w:t>
      </w:r>
      <w:r>
        <w:rPr>
          <w:rFonts w:asciiTheme="minorEastAsia" w:eastAsiaTheme="minorEastAsia" w:hAnsiTheme="minorEastAsia" w:hint="eastAsia"/>
          <w:sz w:val="28"/>
          <w:szCs w:val="28"/>
        </w:rPr>
        <w:t>5666.9</w:t>
      </w:r>
      <w:r>
        <w:rPr>
          <w:rFonts w:asciiTheme="minorEastAsia" w:eastAsiaTheme="minorEastAsia" w:hAnsiTheme="minorEastAsia" w:hint="eastAsia"/>
          <w:sz w:val="28"/>
          <w:szCs w:val="28"/>
        </w:rPr>
        <w:t>亿元，同比增长</w:t>
      </w:r>
      <w:r>
        <w:rPr>
          <w:rFonts w:asciiTheme="minorEastAsia" w:eastAsiaTheme="minorEastAsia" w:hAnsiTheme="minorEastAsia" w:hint="eastAsia"/>
          <w:sz w:val="28"/>
          <w:szCs w:val="28"/>
        </w:rPr>
        <w:t>20.2</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。其中，技术收入</w:t>
      </w:r>
      <w:r>
        <w:rPr>
          <w:rFonts w:hint="eastAsia"/>
          <w:color w:val="333333"/>
          <w:sz w:val="28"/>
          <w:szCs w:val="32"/>
        </w:rPr>
        <w:t>1502</w:t>
      </w:r>
      <w:r>
        <w:rPr>
          <w:rFonts w:hint="eastAsia"/>
          <w:color w:val="333333"/>
          <w:sz w:val="28"/>
          <w:szCs w:val="32"/>
        </w:rPr>
        <w:t>.3</w:t>
      </w:r>
      <w:r>
        <w:rPr>
          <w:rFonts w:asciiTheme="minorEastAsia" w:eastAsiaTheme="minorEastAsia" w:hAnsiTheme="minorEastAsia" w:hint="eastAsia"/>
          <w:sz w:val="28"/>
          <w:szCs w:val="28"/>
        </w:rPr>
        <w:t>亿元，同比增长</w:t>
      </w:r>
      <w:r>
        <w:rPr>
          <w:rFonts w:asciiTheme="minorEastAsia" w:eastAsiaTheme="minorEastAsia" w:hAnsiTheme="minorEastAsia" w:hint="eastAsia"/>
          <w:sz w:val="28"/>
          <w:szCs w:val="28"/>
        </w:rPr>
        <w:t>19.9</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w:t>
      </w:r>
    </w:p>
    <w:p w:rsidR="00021E93" w:rsidRDefault="009310B0">
      <w:pPr>
        <w:pStyle w:val="a5"/>
        <w:shd w:val="clear" w:color="auto" w:fill="FFFFFF"/>
        <w:adjustRightInd w:val="0"/>
        <w:spacing w:before="0" w:beforeAutospacing="0" w:after="0" w:afterAutospacing="0" w:line="480" w:lineRule="auto"/>
        <w:ind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sz w:val="28"/>
          <w:szCs w:val="28"/>
        </w:rPr>
        <w:t>1-8</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，中关村</w:t>
      </w:r>
      <w:r>
        <w:rPr>
          <w:rFonts w:asciiTheme="minorEastAsia" w:eastAsiaTheme="minorEastAsia" w:hAnsiTheme="minorEastAsia" w:hint="eastAsia"/>
          <w:sz w:val="28"/>
          <w:szCs w:val="28"/>
        </w:rPr>
        <w:t>朝阳园</w:t>
      </w:r>
      <w:r>
        <w:rPr>
          <w:rFonts w:asciiTheme="minorEastAsia" w:eastAsiaTheme="minorEastAsia" w:hAnsiTheme="minorEastAsia" w:hint="eastAsia"/>
          <w:sz w:val="28"/>
          <w:szCs w:val="28"/>
        </w:rPr>
        <w:t>重点监测</w:t>
      </w:r>
      <w:r>
        <w:rPr>
          <w:rFonts w:asciiTheme="minorEastAsia" w:eastAsiaTheme="minorEastAsia" w:hAnsiTheme="minorEastAsia" w:hint="eastAsia"/>
          <w:sz w:val="28"/>
          <w:szCs w:val="28"/>
        </w:rPr>
        <w:t>的</w:t>
      </w:r>
      <w:r>
        <w:rPr>
          <w:rFonts w:asciiTheme="minorEastAsia" w:eastAsiaTheme="minorEastAsia" w:hAnsiTheme="minorEastAsia" w:hint="eastAsia"/>
          <w:sz w:val="28"/>
          <w:szCs w:val="28"/>
        </w:rPr>
        <w:t>三大高新技术领域共实现总收入</w:t>
      </w:r>
      <w:r>
        <w:rPr>
          <w:rFonts w:asciiTheme="minorEastAsia" w:eastAsiaTheme="minorEastAsia" w:hAnsiTheme="minorEastAsia" w:hint="eastAsia"/>
          <w:sz w:val="28"/>
          <w:szCs w:val="28"/>
        </w:rPr>
        <w:t>4213</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亿元，同比增长</w:t>
      </w:r>
      <w:r>
        <w:rPr>
          <w:rFonts w:asciiTheme="minorEastAsia" w:eastAsiaTheme="minorEastAsia" w:hAnsiTheme="minorEastAsia" w:hint="eastAsia"/>
          <w:sz w:val="28"/>
          <w:szCs w:val="28"/>
        </w:rPr>
        <w:t>20.9</w:t>
      </w:r>
      <w:r>
        <w:rPr>
          <w:rFonts w:asciiTheme="minorEastAsia" w:eastAsiaTheme="minorEastAsia" w:hAnsiTheme="minorEastAsia"/>
          <w:sz w:val="28"/>
          <w:szCs w:val="28"/>
        </w:rPr>
        <w:t>%</w:t>
      </w:r>
      <w:r>
        <w:rPr>
          <w:rFonts w:asciiTheme="minorEastAsia" w:eastAsiaTheme="minorEastAsia" w:hAnsiTheme="minorEastAsia" w:hint="eastAsia"/>
          <w:sz w:val="28"/>
          <w:szCs w:val="28"/>
        </w:rPr>
        <w:t>。其中，新能源与高效节能技术领域同比增长</w:t>
      </w:r>
      <w:r>
        <w:rPr>
          <w:rFonts w:asciiTheme="minorEastAsia" w:eastAsiaTheme="minorEastAsia" w:hAnsiTheme="minorEastAsia" w:hint="eastAsia"/>
          <w:sz w:val="28"/>
          <w:szCs w:val="28"/>
        </w:rPr>
        <w:t>38.7</w:t>
      </w:r>
      <w:r>
        <w:rPr>
          <w:rFonts w:asciiTheme="minorEastAsia" w:eastAsiaTheme="minorEastAsia" w:hAnsiTheme="minorEastAsia"/>
          <w:sz w:val="28"/>
          <w:szCs w:val="28"/>
        </w:rPr>
        <w:t>%</w:t>
      </w:r>
      <w:r>
        <w:rPr>
          <w:rFonts w:asciiTheme="minorEastAsia" w:eastAsiaTheme="minorEastAsia" w:hAnsiTheme="minorEastAsia" w:hint="eastAsia"/>
          <w:sz w:val="28"/>
          <w:szCs w:val="28"/>
        </w:rPr>
        <w:t>；电子与信息领域同比增长</w:t>
      </w:r>
      <w:r>
        <w:rPr>
          <w:rFonts w:asciiTheme="minorEastAsia" w:eastAsiaTheme="minorEastAsia" w:hAnsiTheme="minorEastAsia" w:hint="eastAsia"/>
          <w:sz w:val="28"/>
          <w:szCs w:val="28"/>
        </w:rPr>
        <w:t>23.3</w:t>
      </w:r>
      <w:r>
        <w:rPr>
          <w:rFonts w:asciiTheme="minorEastAsia" w:eastAsiaTheme="minorEastAsia" w:hAnsiTheme="minorEastAsia"/>
          <w:sz w:val="28"/>
          <w:szCs w:val="28"/>
        </w:rPr>
        <w:t>%</w:t>
      </w:r>
      <w:r>
        <w:rPr>
          <w:rFonts w:asciiTheme="minorEastAsia" w:eastAsiaTheme="minorEastAsia" w:hAnsiTheme="minorEastAsia" w:hint="eastAsia"/>
          <w:sz w:val="28"/>
          <w:szCs w:val="28"/>
        </w:rPr>
        <w:t>；先进制造技术领域同比增长</w:t>
      </w:r>
      <w:r>
        <w:rPr>
          <w:rFonts w:asciiTheme="minorEastAsia" w:eastAsiaTheme="minorEastAsia" w:hAnsiTheme="minorEastAsia" w:hint="eastAsia"/>
          <w:sz w:val="28"/>
          <w:szCs w:val="28"/>
        </w:rPr>
        <w:t>8.4</w:t>
      </w:r>
      <w:r>
        <w:rPr>
          <w:rFonts w:asciiTheme="minorEastAsia" w:eastAsiaTheme="minorEastAsia" w:hAnsiTheme="minorEastAsia"/>
          <w:sz w:val="28"/>
          <w:szCs w:val="28"/>
        </w:rPr>
        <w:t>%</w:t>
      </w:r>
      <w:r>
        <w:rPr>
          <w:rFonts w:asciiTheme="minorEastAsia" w:eastAsiaTheme="minorEastAsia" w:hAnsiTheme="minorEastAsia" w:hint="eastAsia"/>
          <w:sz w:val="28"/>
          <w:szCs w:val="28"/>
        </w:rPr>
        <w:t>。</w:t>
      </w:r>
    </w:p>
    <w:p w:rsidR="00021E93" w:rsidRDefault="009310B0">
      <w:pPr>
        <w:pStyle w:val="a5"/>
        <w:shd w:val="clear" w:color="auto" w:fill="FFFFFF"/>
        <w:adjustRightInd w:val="0"/>
        <w:spacing w:before="0" w:beforeAutospacing="0" w:after="0" w:afterAutospacing="0" w:line="480" w:lineRule="auto"/>
        <w:ind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sz w:val="28"/>
          <w:szCs w:val="28"/>
        </w:rPr>
        <w:t>1-8</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，中关村</w:t>
      </w:r>
      <w:r>
        <w:rPr>
          <w:rFonts w:asciiTheme="minorEastAsia" w:eastAsiaTheme="minorEastAsia" w:hAnsiTheme="minorEastAsia" w:hint="eastAsia"/>
          <w:sz w:val="28"/>
          <w:szCs w:val="28"/>
        </w:rPr>
        <w:t>朝阳园</w:t>
      </w:r>
      <w:r>
        <w:rPr>
          <w:rFonts w:asciiTheme="minorEastAsia" w:eastAsiaTheme="minorEastAsia" w:hAnsiTheme="minorEastAsia" w:hint="eastAsia"/>
          <w:sz w:val="28"/>
          <w:szCs w:val="28"/>
        </w:rPr>
        <w:t>规模（限额）</w:t>
      </w:r>
      <w:r>
        <w:rPr>
          <w:rFonts w:asciiTheme="minorEastAsia" w:eastAsiaTheme="minorEastAsia" w:hAnsiTheme="minorEastAsia" w:hint="eastAsia"/>
          <w:sz w:val="28"/>
          <w:szCs w:val="28"/>
        </w:rPr>
        <w:t>以上</w:t>
      </w:r>
      <w:r>
        <w:rPr>
          <w:rFonts w:asciiTheme="minorEastAsia" w:eastAsiaTheme="minorEastAsia" w:hAnsiTheme="minorEastAsia" w:hint="eastAsia"/>
          <w:sz w:val="28"/>
          <w:szCs w:val="28"/>
        </w:rPr>
        <w:t>企业研究开发人员合计</w:t>
      </w:r>
      <w:r>
        <w:rPr>
          <w:rFonts w:asciiTheme="minorEastAsia" w:eastAsiaTheme="minorEastAsia" w:hAnsiTheme="minorEastAsia" w:hint="eastAsia"/>
          <w:sz w:val="28"/>
          <w:szCs w:val="28"/>
        </w:rPr>
        <w:t>为</w:t>
      </w:r>
      <w:r>
        <w:rPr>
          <w:rFonts w:asciiTheme="minorEastAsia" w:eastAsiaTheme="minorEastAsia" w:hAnsiTheme="minorEastAsia" w:hint="eastAsia"/>
          <w:sz w:val="28"/>
          <w:szCs w:val="28"/>
        </w:rPr>
        <w:t>8.5</w:t>
      </w:r>
      <w:r>
        <w:rPr>
          <w:rFonts w:asciiTheme="minorEastAsia" w:eastAsiaTheme="minorEastAsia" w:hAnsiTheme="minorEastAsia" w:hint="eastAsia"/>
          <w:sz w:val="28"/>
          <w:szCs w:val="28"/>
        </w:rPr>
        <w:t>万人，同比增长</w:t>
      </w:r>
      <w:r>
        <w:rPr>
          <w:rFonts w:asciiTheme="minorEastAsia" w:eastAsiaTheme="minorEastAsia" w:hAnsiTheme="minorEastAsia" w:hint="eastAsia"/>
          <w:sz w:val="28"/>
          <w:szCs w:val="28"/>
        </w:rPr>
        <w:t>20.4</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；研究开发费用合计</w:t>
      </w:r>
      <w:r>
        <w:rPr>
          <w:rFonts w:asciiTheme="minorEastAsia" w:eastAsiaTheme="minorEastAsia" w:hAnsiTheme="minorEastAsia" w:hint="eastAsia"/>
          <w:sz w:val="28"/>
          <w:szCs w:val="28"/>
        </w:rPr>
        <w:t>为</w:t>
      </w:r>
      <w:r>
        <w:rPr>
          <w:rFonts w:asciiTheme="minorEastAsia" w:eastAsiaTheme="minorEastAsia" w:hAnsiTheme="minorEastAsia" w:hint="eastAsia"/>
          <w:sz w:val="28"/>
          <w:szCs w:val="28"/>
        </w:rPr>
        <w:t>298</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亿元，同比增长</w:t>
      </w:r>
      <w:r>
        <w:rPr>
          <w:rFonts w:asciiTheme="minorEastAsia" w:eastAsiaTheme="minorEastAsia" w:hAnsiTheme="minorEastAsia" w:hint="eastAsia"/>
          <w:sz w:val="28"/>
          <w:szCs w:val="28"/>
        </w:rPr>
        <w:t>31.6</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w:t>
      </w:r>
      <w:bookmarkStart w:id="0" w:name="_GoBack"/>
      <w:bookmarkEnd w:id="0"/>
    </w:p>
    <w:p w:rsidR="00021E93" w:rsidRDefault="00021E93">
      <w:pPr>
        <w:widowControl/>
        <w:adjustRightInd w:val="0"/>
        <w:spacing w:line="480" w:lineRule="auto"/>
        <w:ind w:firstLineChars="200" w:firstLine="562"/>
        <w:rPr>
          <w:rFonts w:cs="宋体"/>
          <w:b/>
          <w:kern w:val="0"/>
          <w:sz w:val="28"/>
          <w:szCs w:val="32"/>
        </w:rPr>
      </w:pPr>
    </w:p>
    <w:p w:rsidR="00021E93" w:rsidRDefault="009310B0">
      <w:pPr>
        <w:widowControl/>
        <w:adjustRightInd w:val="0"/>
        <w:spacing w:line="480" w:lineRule="auto"/>
        <w:ind w:firstLineChars="200" w:firstLine="562"/>
        <w:rPr>
          <w:rFonts w:cs="宋体"/>
          <w:b/>
          <w:kern w:val="0"/>
          <w:sz w:val="28"/>
          <w:szCs w:val="32"/>
        </w:rPr>
      </w:pPr>
      <w:r>
        <w:rPr>
          <w:rFonts w:cs="宋体" w:hint="eastAsia"/>
          <w:b/>
          <w:kern w:val="0"/>
          <w:sz w:val="28"/>
          <w:szCs w:val="32"/>
        </w:rPr>
        <w:t>附注</w:t>
      </w:r>
    </w:p>
    <w:p w:rsidR="00021E93" w:rsidRDefault="009310B0">
      <w:pPr>
        <w:widowControl/>
        <w:adjustRightInd w:val="0"/>
        <w:spacing w:line="480" w:lineRule="auto"/>
        <w:ind w:firstLineChars="200" w:firstLine="562"/>
        <w:rPr>
          <w:rFonts w:cs="宋体"/>
          <w:b/>
          <w:kern w:val="0"/>
          <w:sz w:val="28"/>
          <w:szCs w:val="32"/>
        </w:rPr>
      </w:pPr>
      <w:r>
        <w:rPr>
          <w:rFonts w:cs="宋体" w:hint="eastAsia"/>
          <w:b/>
          <w:kern w:val="0"/>
          <w:sz w:val="28"/>
          <w:szCs w:val="32"/>
        </w:rPr>
        <w:t>一、统计范围</w:t>
      </w:r>
    </w:p>
    <w:p w:rsidR="00021E93" w:rsidRDefault="009310B0">
      <w:pPr>
        <w:pStyle w:val="a5"/>
        <w:shd w:val="clear" w:color="auto" w:fill="FFFFFF"/>
        <w:adjustRightInd w:val="0"/>
        <w:spacing w:before="0" w:beforeAutospacing="0" w:after="0" w:afterAutospacing="0" w:line="480" w:lineRule="auto"/>
        <w:ind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sz w:val="28"/>
          <w:szCs w:val="28"/>
        </w:rPr>
        <w:t>规模（限额）以上全部入区法人单位及全市国家级高新技术企业法人单位。</w:t>
      </w:r>
    </w:p>
    <w:p w:rsidR="00021E93" w:rsidRDefault="009310B0">
      <w:pPr>
        <w:pStyle w:val="a5"/>
        <w:shd w:val="clear" w:color="auto" w:fill="FFFFFF"/>
        <w:adjustRightInd w:val="0"/>
        <w:spacing w:before="0" w:beforeAutospacing="0" w:after="0" w:afterAutospacing="0" w:line="480" w:lineRule="auto"/>
        <w:ind w:firstLineChars="200" w:firstLine="562"/>
        <w:jc w:val="both"/>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二、采集渠道</w:t>
      </w:r>
    </w:p>
    <w:p w:rsidR="00021E93" w:rsidRDefault="009310B0">
      <w:pPr>
        <w:pStyle w:val="a5"/>
        <w:shd w:val="clear" w:color="auto" w:fill="FFFFFF"/>
        <w:adjustRightInd w:val="0"/>
        <w:spacing w:before="0" w:beforeAutospacing="0" w:after="0" w:afterAutospacing="0" w:line="480" w:lineRule="auto"/>
        <w:ind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sz w:val="28"/>
          <w:szCs w:val="28"/>
        </w:rPr>
        <w:t>本报表由经注册认定的规模（限额）以上高新技术企业通过北京市统计联网直报系统报送数据。</w:t>
      </w:r>
    </w:p>
    <w:p w:rsidR="00021E93" w:rsidRDefault="009310B0">
      <w:pPr>
        <w:pStyle w:val="a5"/>
        <w:shd w:val="clear" w:color="auto" w:fill="FFFFFF"/>
        <w:adjustRightInd w:val="0"/>
        <w:spacing w:before="0" w:beforeAutospacing="0" w:after="0" w:afterAutospacing="0" w:line="480" w:lineRule="auto"/>
        <w:ind w:firstLineChars="200" w:firstLine="562"/>
        <w:jc w:val="both"/>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三、主要统计指标解释</w:t>
      </w:r>
    </w:p>
    <w:p w:rsidR="00021E93" w:rsidRDefault="009310B0">
      <w:pPr>
        <w:pStyle w:val="a5"/>
        <w:shd w:val="clear" w:color="auto" w:fill="FFFFFF"/>
        <w:adjustRightInd w:val="0"/>
        <w:spacing w:before="0" w:beforeAutospacing="0" w:after="0" w:afterAutospacing="0" w:line="480" w:lineRule="auto"/>
        <w:ind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总收入：指企业全年的生产产品销售收入、技术性收入和与本企业产品相关的商品的销售收入、其他收入等各种收入的总和，等于主营业务收入加上其他业务收入。总收入应按不含增值税的价格计算，不包括补贴收入、营业外收入、投资收益。</w:t>
      </w:r>
    </w:p>
    <w:p w:rsidR="00021E93" w:rsidRDefault="009310B0">
      <w:pPr>
        <w:pStyle w:val="a5"/>
        <w:shd w:val="clear" w:color="auto" w:fill="FFFFFF"/>
        <w:adjustRightInd w:val="0"/>
        <w:spacing w:before="0" w:beforeAutospacing="0" w:after="0" w:afterAutospacing="0" w:line="480" w:lineRule="auto"/>
        <w:ind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sz w:val="28"/>
          <w:szCs w:val="28"/>
        </w:rPr>
        <w:t>研究开发费用合计：指报告期内企业用于研究开发活动的费用合计，包括人员人工费用、直接投入费用、折旧费用与长期待摊费用、无形资产摊销费用、设计费用、装备调试费用与试验费用、委托外部研究开发费用及其他费用。该指标应与企业有关研究开发会计科目或辅助账中研究开发费用对应。</w:t>
      </w:r>
    </w:p>
    <w:p w:rsidR="00021E93" w:rsidRDefault="009310B0">
      <w:pPr>
        <w:pStyle w:val="a5"/>
        <w:shd w:val="clear" w:color="auto" w:fill="FFFFFF"/>
        <w:adjustRightInd w:val="0"/>
        <w:spacing w:before="0" w:beforeAutospacing="0" w:after="0" w:afterAutospacing="0" w:line="480" w:lineRule="auto"/>
        <w:ind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sz w:val="28"/>
          <w:szCs w:val="28"/>
        </w:rPr>
        <w:t>三大重点监测高新技术领域包括：电子与信息、先进制造技术、新能源与高效节能技术。</w:t>
      </w:r>
    </w:p>
    <w:sectPr w:rsidR="00021E93" w:rsidSect="00021E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0B0" w:rsidRDefault="009310B0" w:rsidP="009310B0">
      <w:r>
        <w:separator/>
      </w:r>
    </w:p>
  </w:endnote>
  <w:endnote w:type="continuationSeparator" w:id="1">
    <w:p w:rsidR="009310B0" w:rsidRDefault="009310B0" w:rsidP="009310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0B0" w:rsidRDefault="009310B0" w:rsidP="009310B0">
      <w:r>
        <w:separator/>
      </w:r>
    </w:p>
  </w:footnote>
  <w:footnote w:type="continuationSeparator" w:id="1">
    <w:p w:rsidR="009310B0" w:rsidRDefault="009310B0" w:rsidP="009310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markup="0"/>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F6DE3"/>
    <w:rsid w:val="00003F6C"/>
    <w:rsid w:val="00021E93"/>
    <w:rsid w:val="0012120D"/>
    <w:rsid w:val="002D7964"/>
    <w:rsid w:val="003F6DE3"/>
    <w:rsid w:val="00457041"/>
    <w:rsid w:val="004873B9"/>
    <w:rsid w:val="004A32A0"/>
    <w:rsid w:val="004D7D98"/>
    <w:rsid w:val="005B715C"/>
    <w:rsid w:val="006B0B15"/>
    <w:rsid w:val="0076392C"/>
    <w:rsid w:val="0079042B"/>
    <w:rsid w:val="00823BE7"/>
    <w:rsid w:val="009310B0"/>
    <w:rsid w:val="009D5DC7"/>
    <w:rsid w:val="00A068DC"/>
    <w:rsid w:val="00B20903"/>
    <w:rsid w:val="00B665BC"/>
    <w:rsid w:val="00B674C7"/>
    <w:rsid w:val="00CE69C9"/>
    <w:rsid w:val="00E06B68"/>
    <w:rsid w:val="00E9323B"/>
    <w:rsid w:val="00EC0D7F"/>
    <w:rsid w:val="011E537C"/>
    <w:rsid w:val="015F2929"/>
    <w:rsid w:val="02635B67"/>
    <w:rsid w:val="03FA51D5"/>
    <w:rsid w:val="06143FEF"/>
    <w:rsid w:val="072E38C9"/>
    <w:rsid w:val="0E233418"/>
    <w:rsid w:val="10C83327"/>
    <w:rsid w:val="10EA6847"/>
    <w:rsid w:val="12612C2E"/>
    <w:rsid w:val="13852E49"/>
    <w:rsid w:val="13CF31B5"/>
    <w:rsid w:val="17F04DC2"/>
    <w:rsid w:val="1B455FBE"/>
    <w:rsid w:val="1B7C34E7"/>
    <w:rsid w:val="1D152FFB"/>
    <w:rsid w:val="26694EDE"/>
    <w:rsid w:val="28004F0F"/>
    <w:rsid w:val="31A72C6D"/>
    <w:rsid w:val="32B40E4F"/>
    <w:rsid w:val="362A3517"/>
    <w:rsid w:val="36D71F05"/>
    <w:rsid w:val="387C4DE7"/>
    <w:rsid w:val="3E71437B"/>
    <w:rsid w:val="40411183"/>
    <w:rsid w:val="41FA7562"/>
    <w:rsid w:val="42D31C31"/>
    <w:rsid w:val="44117A89"/>
    <w:rsid w:val="463D4683"/>
    <w:rsid w:val="48BE6548"/>
    <w:rsid w:val="499179ED"/>
    <w:rsid w:val="4BD23667"/>
    <w:rsid w:val="4EF71289"/>
    <w:rsid w:val="546E600D"/>
    <w:rsid w:val="55527984"/>
    <w:rsid w:val="55E87EDA"/>
    <w:rsid w:val="563B0052"/>
    <w:rsid w:val="57160C54"/>
    <w:rsid w:val="5A456FB5"/>
    <w:rsid w:val="5B0B4C73"/>
    <w:rsid w:val="5B3B6804"/>
    <w:rsid w:val="5B896BBF"/>
    <w:rsid w:val="5ED762BC"/>
    <w:rsid w:val="5F9A223B"/>
    <w:rsid w:val="603567E4"/>
    <w:rsid w:val="60FB192D"/>
    <w:rsid w:val="61464EAB"/>
    <w:rsid w:val="62E36817"/>
    <w:rsid w:val="62EE2CCC"/>
    <w:rsid w:val="6308415C"/>
    <w:rsid w:val="65C50032"/>
    <w:rsid w:val="6995257A"/>
    <w:rsid w:val="6A1341D1"/>
    <w:rsid w:val="6D4D7843"/>
    <w:rsid w:val="6FEF41D7"/>
    <w:rsid w:val="70707B25"/>
    <w:rsid w:val="718A31D3"/>
    <w:rsid w:val="71DA33C4"/>
    <w:rsid w:val="75F6614A"/>
    <w:rsid w:val="7BFC2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E93"/>
    <w:pPr>
      <w:widowControl w:val="0"/>
      <w:jc w:val="both"/>
    </w:pPr>
    <w:rPr>
      <w:rFonts w:asciiTheme="minorHAnsi" w:eastAsiaTheme="minorEastAsia" w:hAnsiTheme="minorHAnsi" w:cstheme="minorBidi"/>
      <w:kern w:val="2"/>
      <w:sz w:val="21"/>
      <w:szCs w:val="22"/>
    </w:rPr>
  </w:style>
  <w:style w:type="paragraph" w:styleId="4">
    <w:name w:val="heading 4"/>
    <w:basedOn w:val="a"/>
    <w:next w:val="a"/>
    <w:link w:val="4Char"/>
    <w:uiPriority w:val="9"/>
    <w:qFormat/>
    <w:rsid w:val="00021E93"/>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21E9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021E93"/>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021E93"/>
    <w:pPr>
      <w:widowControl/>
      <w:spacing w:before="100" w:beforeAutospacing="1" w:after="100" w:afterAutospacing="1"/>
      <w:jc w:val="left"/>
    </w:pPr>
    <w:rPr>
      <w:rFonts w:ascii="宋体" w:eastAsia="宋体" w:hAnsi="宋体" w:cs="宋体"/>
      <w:kern w:val="0"/>
      <w:sz w:val="24"/>
      <w:szCs w:val="24"/>
    </w:rPr>
  </w:style>
  <w:style w:type="character" w:customStyle="1" w:styleId="4Char">
    <w:name w:val="标题 4 Char"/>
    <w:basedOn w:val="a0"/>
    <w:link w:val="4"/>
    <w:uiPriority w:val="9"/>
    <w:qFormat/>
    <w:rsid w:val="00021E93"/>
    <w:rPr>
      <w:rFonts w:ascii="宋体" w:eastAsia="宋体" w:hAnsi="宋体" w:cs="宋体"/>
      <w:b/>
      <w:bCs/>
      <w:kern w:val="0"/>
      <w:sz w:val="24"/>
      <w:szCs w:val="24"/>
    </w:rPr>
  </w:style>
  <w:style w:type="character" w:customStyle="1" w:styleId="Char0">
    <w:name w:val="页眉 Char"/>
    <w:basedOn w:val="a0"/>
    <w:link w:val="a4"/>
    <w:uiPriority w:val="99"/>
    <w:semiHidden/>
    <w:qFormat/>
    <w:rsid w:val="00021E93"/>
    <w:rPr>
      <w:sz w:val="18"/>
      <w:szCs w:val="18"/>
    </w:rPr>
  </w:style>
  <w:style w:type="character" w:customStyle="1" w:styleId="Char">
    <w:name w:val="页脚 Char"/>
    <w:basedOn w:val="a0"/>
    <w:link w:val="a3"/>
    <w:uiPriority w:val="99"/>
    <w:semiHidden/>
    <w:qFormat/>
    <w:rsid w:val="00021E9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Words>
  <Characters>574</Characters>
  <Application>Microsoft Office Word</Application>
  <DocSecurity>0</DocSecurity>
  <Lines>4</Lines>
  <Paragraphs>1</Paragraphs>
  <ScaleCrop>false</ScaleCrop>
  <Company>MS</Company>
  <LinksUpToDate>false</LinksUpToDate>
  <CharactersWithSpaces>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黄桂俊</cp:lastModifiedBy>
  <cp:revision>16</cp:revision>
  <dcterms:created xsi:type="dcterms:W3CDTF">2021-01-04T07:46:00Z</dcterms:created>
  <dcterms:modified xsi:type="dcterms:W3CDTF">2021-10-08T08:02:00Z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