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19C36">
      <w:pPr>
        <w:spacing w:before="0" w:after="0" w:line="600" w:lineRule="auto"/>
        <w:ind w:left="0" w:right="0" w:firstLine="640"/>
        <w:jc w:val="both"/>
        <w:rPr>
          <w:rFonts w:ascii="黑体" w:hAnsi="黑体" w:eastAsia="黑体" w:cs="黑体"/>
          <w:color w:val="auto"/>
          <w:spacing w:val="0"/>
          <w:position w:val="0"/>
          <w:sz w:val="32"/>
          <w:shd w:val="clear" w:fill="auto"/>
        </w:rPr>
      </w:pPr>
    </w:p>
    <w:p w14:paraId="7B2E81C4">
      <w:pPr>
        <w:spacing w:before="0" w:after="0" w:line="480" w:lineRule="auto"/>
        <w:ind w:left="0" w:right="0" w:firstLine="0"/>
        <w:jc w:val="both"/>
        <w:rPr>
          <w:rFonts w:hint="eastAsia" w:ascii="方正小标宋简体" w:hAnsi="方正小标宋简体" w:eastAsia="黑体" w:cs="方正小标宋简体"/>
          <w:color w:val="auto"/>
          <w:spacing w:val="0"/>
          <w:position w:val="0"/>
          <w:sz w:val="36"/>
          <w:shd w:val="clear" w:fill="auto"/>
          <w:lang w:val="en-US" w:eastAsia="zh-CN"/>
        </w:rPr>
      </w:pPr>
      <w:r>
        <w:rPr>
          <w:rFonts w:ascii="黑体" w:hAnsi="黑体" w:eastAsia="黑体" w:cs="黑体"/>
          <w:color w:val="auto"/>
          <w:spacing w:val="0"/>
          <w:position w:val="0"/>
          <w:sz w:val="32"/>
          <w:shd w:val="clear" w:fill="auto"/>
        </w:rPr>
        <w:t>附件</w:t>
      </w:r>
      <w:r>
        <w:rPr>
          <w:rFonts w:hint="eastAsia" w:ascii="黑体" w:hAnsi="黑体" w:eastAsia="黑体" w:cs="黑体"/>
          <w:color w:val="auto"/>
          <w:spacing w:val="0"/>
          <w:position w:val="0"/>
          <w:sz w:val="32"/>
          <w:shd w:val="clear" w:fill="auto"/>
          <w:lang w:val="en-US" w:eastAsia="zh-CN"/>
        </w:rPr>
        <w:t>1</w:t>
      </w:r>
    </w:p>
    <w:p w14:paraId="03A19C14">
      <w:pPr>
        <w:spacing w:before="0" w:after="0" w:line="560" w:lineRule="auto"/>
        <w:ind w:left="0" w:right="0" w:firstLine="0"/>
        <w:jc w:val="center"/>
        <w:rPr>
          <w:rFonts w:ascii="方正小标宋简体" w:hAnsi="方正小标宋简体" w:eastAsia="方正小标宋简体" w:cs="方正小标宋简体"/>
          <w:color w:val="auto"/>
          <w:spacing w:val="0"/>
          <w:position w:val="0"/>
          <w:sz w:val="36"/>
          <w:shd w:val="clear" w:fill="auto"/>
        </w:rPr>
      </w:pPr>
      <w:r>
        <w:rPr>
          <w:rFonts w:ascii="方正小标宋简体" w:hAnsi="方正小标宋简体" w:eastAsia="方正小标宋简体" w:cs="方正小标宋简体"/>
          <w:color w:val="auto"/>
          <w:spacing w:val="0"/>
          <w:position w:val="0"/>
          <w:sz w:val="36"/>
          <w:shd w:val="clear" w:fill="auto"/>
        </w:rPr>
        <w:t>中国人民政治协商会议北京市朝阳区委员会</w:t>
      </w:r>
    </w:p>
    <w:p w14:paraId="5DC80106">
      <w:pPr>
        <w:spacing w:before="0" w:after="0" w:line="560" w:lineRule="auto"/>
        <w:ind w:left="0" w:right="0" w:firstLine="0"/>
        <w:jc w:val="center"/>
        <w:rPr>
          <w:rFonts w:ascii="方正小标宋简体" w:hAnsi="方正小标宋简体" w:eastAsia="方正小标宋简体" w:cs="方正小标宋简体"/>
          <w:color w:val="auto"/>
          <w:spacing w:val="0"/>
          <w:position w:val="0"/>
          <w:sz w:val="36"/>
          <w:shd w:val="clear" w:fill="auto"/>
        </w:rPr>
      </w:pPr>
      <w:r>
        <w:rPr>
          <w:rFonts w:ascii="方正小标宋简体" w:hAnsi="方正小标宋简体" w:eastAsia="方正小标宋简体" w:cs="方正小标宋简体"/>
          <w:color w:val="auto"/>
          <w:spacing w:val="0"/>
          <w:position w:val="0"/>
          <w:sz w:val="36"/>
          <w:shd w:val="clear" w:fill="auto"/>
        </w:rPr>
        <w:t>部门整体绩效评价报告</w:t>
      </w:r>
    </w:p>
    <w:p w14:paraId="73A01E35">
      <w:pPr>
        <w:spacing w:before="0" w:after="0" w:line="240" w:lineRule="auto"/>
        <w:ind w:left="0" w:right="0" w:firstLine="0"/>
        <w:jc w:val="center"/>
        <w:rPr>
          <w:rFonts w:ascii="仿宋_GB2312" w:hAnsi="仿宋_GB2312" w:eastAsia="仿宋_GB2312" w:cs="仿宋_GB2312"/>
          <w:color w:val="auto"/>
          <w:spacing w:val="0"/>
          <w:position w:val="0"/>
          <w:sz w:val="21"/>
          <w:shd w:val="clear" w:fill="auto"/>
        </w:rPr>
      </w:pPr>
    </w:p>
    <w:p w14:paraId="3A7B604A">
      <w:pPr>
        <w:spacing w:before="0" w:after="0" w:line="600" w:lineRule="auto"/>
        <w:ind w:left="0" w:right="0" w:firstLine="640"/>
        <w:jc w:val="both"/>
        <w:rPr>
          <w:rFonts w:ascii="黑体" w:hAnsi="黑体" w:eastAsia="黑体" w:cs="黑体"/>
          <w:color w:val="000000"/>
          <w:spacing w:val="0"/>
          <w:position w:val="0"/>
          <w:sz w:val="32"/>
          <w:shd w:val="clear" w:fill="auto"/>
        </w:rPr>
      </w:pPr>
      <w:r>
        <w:rPr>
          <w:rFonts w:ascii="黑体" w:hAnsi="黑体" w:eastAsia="黑体" w:cs="黑体"/>
          <w:color w:val="000000"/>
          <w:spacing w:val="0"/>
          <w:position w:val="0"/>
          <w:sz w:val="32"/>
          <w:shd w:val="clear" w:fill="auto"/>
        </w:rPr>
        <w:t>一、部门概况</w:t>
      </w:r>
    </w:p>
    <w:p w14:paraId="64B6C63D">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（一）机构设置及职责工作任务情况</w:t>
      </w:r>
    </w:p>
    <w:p w14:paraId="07004283">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区政协机关是区政协的工作机构，承担为区政协履行政治协商、民主监督、参政议政等职能服务的各项工作。其主要职责是：</w:t>
      </w:r>
    </w:p>
    <w:p w14:paraId="7AA99B3C">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（1）负责区政协全体会议、常务委员会会议、主席会议和专门委员会会议的会务工作。</w:t>
      </w:r>
    </w:p>
    <w:p w14:paraId="666269A4">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（2）组织实施区政协全体会议、常务委员会会议、主席会议的决议、决定。</w:t>
      </w:r>
    </w:p>
    <w:p w14:paraId="2BA63800">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（3）组织委员视察、参观和调查，就本区各项事业的改革与发展及群众生活的重要问题进行研究，通过建议案、提案和其他形式向有关部门提出批评和建议，推动本区改革开放和社会主义现代化建设。</w:t>
      </w:r>
    </w:p>
    <w:p w14:paraId="4319F3B9">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（4）组织委员学习交流，不断提高履行职能的水平；研究统一战线和人民政协的理论、政策，提出人民政协履行职能的工作建议。</w:t>
      </w:r>
    </w:p>
    <w:p w14:paraId="03006877">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（5）负责与市政协办公厅及区委、区政府有关部门的工作联系；广泛团结本区各党派、团体和各族各界人士，反映他们及所联系群众的意见和要求。</w:t>
      </w:r>
    </w:p>
    <w:p w14:paraId="3CEF6F90">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（6）负责区政协工作的宣传报道和信息工作，收集、反映社情民意。</w:t>
      </w:r>
    </w:p>
    <w:p w14:paraId="1491F99A">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（7）承办市政协及区委交办的其他工作。</w:t>
      </w:r>
    </w:p>
    <w:p w14:paraId="22B77C99">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（二）部门整体绩效目标设立情况</w:t>
      </w:r>
    </w:p>
    <w:p w14:paraId="5F821C2D">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深入学习贯彻习近平新时代中国特色社会主义思想，深入贯彻落实习近平总书记关于加强和改进人民政协工作的重要思想和党的十九届六中全会精神，坚持中国共产党的领导，坚持人民政协性质定位，牢牢把握团结和民主两大主题，把加强思想政治引领、广泛凝聚共识作为中心环节，聚焦事关朝阳区改革发展稳定的重要问题和人民群众普遍关心的热点难点问题协商议政，努力实现从偏重数量和形式向注重质量和效果转变，使政协工作不断适应新时代党和国家事业发展新要求，不断顺应首都各族各界群众新期待，不断助力朝阳区各项事业新发展，把党对人民政协的要求落实好，把各方力量智慧和力量凝聚起来，为建设国际一流和谐宜居之都不懈奋斗。</w:t>
      </w:r>
    </w:p>
    <w:p w14:paraId="589B6C71">
      <w:pPr>
        <w:spacing w:before="0" w:after="0" w:line="600" w:lineRule="auto"/>
        <w:ind w:left="0" w:right="0" w:firstLine="640"/>
        <w:jc w:val="both"/>
        <w:rPr>
          <w:rFonts w:ascii="黑体" w:hAnsi="黑体" w:eastAsia="黑体" w:cs="黑体"/>
          <w:color w:val="000000"/>
          <w:spacing w:val="0"/>
          <w:position w:val="0"/>
          <w:sz w:val="32"/>
          <w:shd w:val="clear" w:fill="auto"/>
        </w:rPr>
      </w:pPr>
      <w:r>
        <w:rPr>
          <w:rFonts w:ascii="黑体" w:hAnsi="黑体" w:eastAsia="黑体" w:cs="黑体"/>
          <w:color w:val="000000"/>
          <w:spacing w:val="0"/>
          <w:position w:val="0"/>
          <w:sz w:val="32"/>
          <w:shd w:val="clear" w:fill="auto"/>
        </w:rPr>
        <w:t>二、当年预算执行情况</w:t>
      </w:r>
    </w:p>
    <w:p w14:paraId="21BB32FD">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202</w:t>
      </w:r>
      <w:r>
        <w:rPr>
          <w:rFonts w:hint="eastAsia" w:ascii="仿宋_GB2312" w:hAnsi="仿宋_GB2312" w:eastAsia="仿宋_GB2312" w:cs="仿宋_GB2312"/>
          <w:color w:val="000000"/>
          <w:spacing w:val="0"/>
          <w:position w:val="0"/>
          <w:sz w:val="32"/>
          <w:shd w:val="clear" w:fill="auto"/>
          <w:lang w:val="en-US" w:eastAsia="zh-CN"/>
        </w:rPr>
        <w:t>4</w:t>
      </w:r>
      <w:r>
        <w:rPr>
          <w:rFonts w:ascii="仿宋_GB2312" w:hAnsi="仿宋_GB2312" w:eastAsia="仿宋_GB2312" w:cs="仿宋_GB2312"/>
          <w:color w:val="000000"/>
          <w:spacing w:val="0"/>
          <w:position w:val="0"/>
          <w:sz w:val="32"/>
          <w:shd w:val="clear" w:fill="auto"/>
        </w:rPr>
        <w:t>年全年预算数</w:t>
      </w:r>
      <w:r>
        <w:rPr>
          <w:rFonts w:hint="eastAsia" w:ascii="仿宋_GB2312" w:hAnsi="仿宋" w:eastAsia="仿宋_GB2312"/>
          <w:sz w:val="32"/>
          <w:szCs w:val="32"/>
        </w:rPr>
        <w:t>3296.62</w:t>
      </w:r>
      <w:r>
        <w:rPr>
          <w:rFonts w:ascii="仿宋_GB2312" w:hAnsi="仿宋_GB2312" w:eastAsia="仿宋_GB2312" w:cs="仿宋_GB2312"/>
          <w:color w:val="000000"/>
          <w:spacing w:val="0"/>
          <w:position w:val="0"/>
          <w:sz w:val="32"/>
          <w:shd w:val="clear" w:fill="auto"/>
        </w:rPr>
        <w:t>万元，其中，基本支出预算数</w:t>
      </w:r>
      <w:r>
        <w:rPr>
          <w:rFonts w:hint="eastAsia" w:ascii="仿宋_GB2312" w:hAnsi="仿宋" w:eastAsia="仿宋_GB2312"/>
          <w:sz w:val="32"/>
          <w:szCs w:val="32"/>
        </w:rPr>
        <w:t>1828.41</w:t>
      </w:r>
      <w:r>
        <w:rPr>
          <w:rFonts w:ascii="仿宋_GB2312" w:hAnsi="仿宋_GB2312" w:eastAsia="仿宋_GB2312" w:cs="仿宋_GB2312"/>
          <w:color w:val="000000"/>
          <w:spacing w:val="0"/>
          <w:position w:val="0"/>
          <w:sz w:val="32"/>
          <w:shd w:val="clear" w:fill="auto"/>
        </w:rPr>
        <w:t>万元，项目支出预算数</w:t>
      </w:r>
      <w:r>
        <w:rPr>
          <w:rFonts w:hint="eastAsia" w:ascii="仿宋_GB2312" w:hAnsi="仿宋" w:eastAsia="仿宋_GB2312"/>
          <w:sz w:val="32"/>
          <w:szCs w:val="32"/>
        </w:rPr>
        <w:t>1468.21</w:t>
      </w:r>
      <w:r>
        <w:rPr>
          <w:rFonts w:ascii="仿宋_GB2312" w:hAnsi="仿宋_GB2312" w:eastAsia="仿宋_GB2312" w:cs="仿宋_GB2312"/>
          <w:color w:val="000000"/>
          <w:spacing w:val="0"/>
          <w:position w:val="0"/>
          <w:sz w:val="32"/>
          <w:shd w:val="clear" w:fill="auto"/>
        </w:rPr>
        <w:t>万元，其他支出预算数0万元。资金总体支出</w:t>
      </w:r>
      <w:r>
        <w:rPr>
          <w:rFonts w:hint="eastAsia" w:ascii="仿宋_GB2312" w:hAnsi="仿宋_GB2312" w:eastAsia="仿宋_GB2312" w:cs="仿宋_GB2312"/>
          <w:color w:val="000000"/>
          <w:spacing w:val="0"/>
          <w:position w:val="0"/>
          <w:sz w:val="32"/>
          <w:shd w:val="clear" w:fill="auto"/>
          <w:lang w:val="en-US" w:eastAsia="zh-CN"/>
        </w:rPr>
        <w:t>3424.45</w:t>
      </w:r>
      <w:r>
        <w:rPr>
          <w:rFonts w:ascii="仿宋_GB2312" w:hAnsi="仿宋_GB2312" w:eastAsia="仿宋_GB2312" w:cs="仿宋_GB2312"/>
          <w:color w:val="000000"/>
          <w:spacing w:val="0"/>
          <w:position w:val="0"/>
          <w:sz w:val="32"/>
          <w:shd w:val="clear" w:fill="auto"/>
        </w:rPr>
        <w:t>万元，其中，基本支出</w:t>
      </w:r>
      <w:r>
        <w:rPr>
          <w:rFonts w:hint="eastAsia" w:ascii="仿宋_GB2312" w:hAnsi="仿宋" w:eastAsia="仿宋_GB2312"/>
          <w:sz w:val="32"/>
          <w:szCs w:val="32"/>
        </w:rPr>
        <w:t>1874</w:t>
      </w:r>
      <w:r>
        <w:rPr>
          <w:rFonts w:hint="eastAsia" w:ascii="仿宋_GB2312" w:hAnsi="仿宋" w:eastAsia="仿宋_GB2312"/>
          <w:sz w:val="32"/>
          <w:szCs w:val="32"/>
          <w:lang w:val="en-US" w:eastAsia="zh-CN"/>
        </w:rPr>
        <w:t>.</w:t>
      </w:r>
      <w:r>
        <w:rPr>
          <w:rFonts w:hint="eastAsia" w:ascii="仿宋_GB2312" w:hAnsi="仿宋" w:eastAsia="仿宋_GB2312"/>
          <w:sz w:val="32"/>
          <w:szCs w:val="32"/>
        </w:rPr>
        <w:t>0</w:t>
      </w:r>
      <w:r>
        <w:rPr>
          <w:rFonts w:hint="eastAsia" w:ascii="仿宋_GB2312" w:hAnsi="仿宋" w:eastAsia="仿宋_GB2312"/>
          <w:sz w:val="32"/>
          <w:szCs w:val="32"/>
          <w:lang w:val="en-US" w:eastAsia="zh-CN"/>
        </w:rPr>
        <w:t>6</w:t>
      </w:r>
      <w:r>
        <w:rPr>
          <w:rFonts w:ascii="仿宋_GB2312" w:hAnsi="仿宋_GB2312" w:eastAsia="仿宋_GB2312" w:cs="仿宋_GB2312"/>
          <w:color w:val="000000"/>
          <w:spacing w:val="0"/>
          <w:position w:val="0"/>
          <w:sz w:val="32"/>
          <w:shd w:val="clear" w:fill="auto"/>
        </w:rPr>
        <w:t>万元，项目支出</w:t>
      </w:r>
      <w:r>
        <w:rPr>
          <w:rFonts w:hint="eastAsia" w:ascii="仿宋_GB2312" w:hAnsi="仿宋" w:eastAsia="仿宋_GB2312"/>
          <w:sz w:val="32"/>
          <w:szCs w:val="32"/>
        </w:rPr>
        <w:t>1550</w:t>
      </w:r>
      <w:r>
        <w:rPr>
          <w:rFonts w:hint="eastAsia" w:ascii="仿宋_GB2312" w:hAnsi="仿宋" w:eastAsia="仿宋_GB2312"/>
          <w:sz w:val="32"/>
          <w:szCs w:val="32"/>
          <w:lang w:val="en-US" w:eastAsia="zh-CN"/>
        </w:rPr>
        <w:t>.</w:t>
      </w:r>
      <w:r>
        <w:rPr>
          <w:rFonts w:hint="eastAsia" w:ascii="仿宋_GB2312" w:hAnsi="仿宋" w:eastAsia="仿宋_GB2312"/>
          <w:sz w:val="32"/>
          <w:szCs w:val="32"/>
        </w:rPr>
        <w:t>39</w:t>
      </w:r>
      <w:r>
        <w:rPr>
          <w:rFonts w:ascii="仿宋_GB2312" w:hAnsi="仿宋_GB2312" w:eastAsia="仿宋_GB2312" w:cs="仿宋_GB2312"/>
          <w:color w:val="000000"/>
          <w:spacing w:val="0"/>
          <w:position w:val="0"/>
          <w:sz w:val="32"/>
          <w:shd w:val="clear" w:fill="auto"/>
        </w:rPr>
        <w:t>万元，其他支出0万元。</w:t>
      </w:r>
    </w:p>
    <w:p w14:paraId="3C34EAE5">
      <w:pPr>
        <w:spacing w:before="0" w:after="0" w:line="600" w:lineRule="auto"/>
        <w:ind w:left="105" w:right="0" w:firstLine="480"/>
        <w:jc w:val="both"/>
        <w:rPr>
          <w:rFonts w:ascii="黑体" w:hAnsi="黑体" w:eastAsia="黑体" w:cs="黑体"/>
          <w:color w:val="000000"/>
          <w:spacing w:val="0"/>
          <w:position w:val="0"/>
          <w:sz w:val="32"/>
          <w:shd w:val="clear" w:fill="auto"/>
        </w:rPr>
      </w:pPr>
      <w:r>
        <w:rPr>
          <w:rFonts w:ascii="黑体" w:hAnsi="黑体" w:eastAsia="黑体" w:cs="黑体"/>
          <w:color w:val="000000"/>
          <w:spacing w:val="0"/>
          <w:position w:val="0"/>
          <w:sz w:val="32"/>
          <w:shd w:val="clear" w:fill="auto"/>
        </w:rPr>
        <w:t>三、整体绩效目标实现情况</w:t>
      </w:r>
    </w:p>
    <w:p w14:paraId="36D141CC">
      <w:pPr>
        <w:spacing w:before="0" w:after="0" w:line="600" w:lineRule="auto"/>
        <w:ind w:left="105" w:right="0" w:firstLine="480"/>
        <w:jc w:val="both"/>
        <w:rPr>
          <w:rFonts w:ascii="楷体_GB2312" w:hAnsi="楷体_GB2312" w:eastAsia="楷体_GB2312" w:cs="楷体_GB2312"/>
          <w:color w:val="auto"/>
          <w:spacing w:val="0"/>
          <w:position w:val="0"/>
          <w:sz w:val="32"/>
          <w:shd w:val="clear" w:fill="auto"/>
        </w:rPr>
      </w:pPr>
      <w:r>
        <w:rPr>
          <w:rFonts w:ascii="楷体_GB2312" w:hAnsi="楷体_GB2312" w:eastAsia="楷体_GB2312" w:cs="楷体_GB2312"/>
          <w:color w:val="auto"/>
          <w:spacing w:val="0"/>
          <w:position w:val="0"/>
          <w:sz w:val="32"/>
          <w:shd w:val="clear" w:fill="auto"/>
        </w:rPr>
        <w:t>（一）产出完成情况分析</w:t>
      </w:r>
    </w:p>
    <w:p w14:paraId="3F58FE03">
      <w:pPr>
        <w:spacing w:before="0" w:after="0" w:line="600" w:lineRule="auto"/>
        <w:ind w:left="0" w:right="0" w:firstLine="640"/>
        <w:jc w:val="both"/>
        <w:rPr>
          <w:rFonts w:hint="eastAsia" w:ascii="仿宋_GB2312" w:hAnsi="仿宋_GB2312" w:eastAsia="仿宋_GB2312" w:cs="仿宋_GB2312"/>
          <w:color w:val="000000"/>
          <w:spacing w:val="0"/>
          <w:position w:val="0"/>
          <w:sz w:val="32"/>
          <w:shd w:val="clear" w:fill="auto"/>
        </w:rPr>
      </w:pPr>
      <w:r>
        <w:rPr>
          <w:rFonts w:hint="eastAsia" w:ascii="仿宋_GB2312" w:hAnsi="仿宋_GB2312" w:eastAsia="仿宋_GB2312" w:cs="仿宋_GB2312"/>
          <w:color w:val="000000"/>
          <w:spacing w:val="0"/>
          <w:position w:val="0"/>
          <w:sz w:val="32"/>
          <w:shd w:val="clear" w:fill="auto"/>
        </w:rPr>
        <w:t>2024年区政协坚持党的领导、统一战线、协商民主有机结合，坚持围绕中心、服务大局，坚持守正创新、务实争先，充分发挥专门协商机构作用，全年共完成重点协商任务21项，立案办理提案397件，反映社情民意信息3000余篇。</w:t>
      </w:r>
      <w:r>
        <w:rPr>
          <w:rFonts w:ascii="仿宋_GB2312" w:hAnsi="仿宋_GB2312" w:eastAsia="仿宋_GB2312" w:cs="仿宋_GB2312"/>
          <w:color w:val="000000"/>
          <w:spacing w:val="0"/>
          <w:position w:val="0"/>
          <w:sz w:val="32"/>
          <w:shd w:val="clear" w:fill="auto"/>
        </w:rPr>
        <w:t>全年举办委员报告厅、暑期读书班</w:t>
      </w:r>
      <w:r>
        <w:rPr>
          <w:rFonts w:hint="eastAsia" w:ascii="仿宋_GB2312" w:hAnsi="仿宋_GB2312" w:eastAsia="仿宋_GB2312" w:cs="仿宋_GB2312"/>
          <w:color w:val="000000"/>
          <w:spacing w:val="0"/>
          <w:position w:val="0"/>
          <w:sz w:val="32"/>
          <w:shd w:val="clear" w:fill="auto"/>
        </w:rPr>
        <w:t>、</w:t>
      </w:r>
      <w:r>
        <w:rPr>
          <w:rFonts w:ascii="仿宋_GB2312" w:hAnsi="仿宋_GB2312" w:eastAsia="仿宋_GB2312" w:cs="仿宋_GB2312"/>
          <w:color w:val="000000"/>
          <w:spacing w:val="0"/>
          <w:position w:val="0"/>
          <w:sz w:val="32"/>
          <w:shd w:val="clear" w:fill="auto"/>
        </w:rPr>
        <w:t>新任委员和党外委员专题培训班</w:t>
      </w:r>
      <w:r>
        <w:rPr>
          <w:rFonts w:hint="eastAsia" w:ascii="仿宋_GB2312" w:hAnsi="仿宋_GB2312" w:eastAsia="仿宋_GB2312" w:cs="仿宋_GB2312"/>
          <w:color w:val="000000"/>
          <w:spacing w:val="0"/>
          <w:position w:val="0"/>
          <w:sz w:val="32"/>
          <w:shd w:val="clear" w:fill="auto"/>
        </w:rPr>
        <w:t>、委员</w:t>
      </w:r>
      <w:r>
        <w:rPr>
          <w:rFonts w:ascii="仿宋_GB2312" w:hAnsi="仿宋_GB2312" w:eastAsia="仿宋_GB2312" w:cs="仿宋_GB2312"/>
          <w:color w:val="000000"/>
          <w:spacing w:val="0"/>
          <w:position w:val="0"/>
          <w:sz w:val="32"/>
          <w:shd w:val="clear" w:fill="auto"/>
        </w:rPr>
        <w:t>读书分享等集体学习活动30次，委员和党派成员参与线上线下学习共4200余人次</w:t>
      </w:r>
      <w:r>
        <w:rPr>
          <w:rFonts w:hint="eastAsia" w:ascii="仿宋_GB2312" w:hAnsi="仿宋_GB2312" w:eastAsia="仿宋_GB2312" w:cs="仿宋_GB2312"/>
          <w:color w:val="000000"/>
          <w:spacing w:val="0"/>
          <w:position w:val="0"/>
          <w:sz w:val="32"/>
          <w:shd w:val="clear" w:fill="auto"/>
        </w:rPr>
        <w:t>。</w:t>
      </w:r>
      <w:r>
        <w:rPr>
          <w:rFonts w:ascii="仿宋_GB2312" w:hAnsi="仿宋_GB2312" w:eastAsia="仿宋_GB2312" w:cs="仿宋_GB2312"/>
          <w:color w:val="000000"/>
          <w:spacing w:val="0"/>
          <w:position w:val="0"/>
          <w:sz w:val="32"/>
          <w:shd w:val="clear" w:fill="auto"/>
        </w:rPr>
        <w:t>共组织开展区内外调研71次，调研点位108个，委员和党派成员参与1065人次，提交建言</w:t>
      </w:r>
      <w:r>
        <w:rPr>
          <w:rFonts w:hint="eastAsia" w:ascii="仿宋_GB2312" w:hAnsi="仿宋_GB2312" w:eastAsia="仿宋_GB2312" w:cs="仿宋_GB2312"/>
          <w:color w:val="000000"/>
          <w:spacing w:val="0"/>
          <w:position w:val="0"/>
          <w:sz w:val="32"/>
          <w:shd w:val="clear" w:fill="auto"/>
        </w:rPr>
        <w:t>3</w:t>
      </w:r>
      <w:r>
        <w:rPr>
          <w:rFonts w:ascii="仿宋_GB2312" w:hAnsi="仿宋_GB2312" w:eastAsia="仿宋_GB2312" w:cs="仿宋_GB2312"/>
          <w:color w:val="000000"/>
          <w:spacing w:val="0"/>
          <w:position w:val="0"/>
          <w:sz w:val="32"/>
          <w:shd w:val="clear" w:fill="auto"/>
        </w:rPr>
        <w:t>77份</w:t>
      </w:r>
      <w:r>
        <w:rPr>
          <w:rFonts w:hint="eastAsia" w:ascii="仿宋_GB2312" w:hAnsi="仿宋_GB2312" w:eastAsia="仿宋_GB2312" w:cs="仿宋_GB2312"/>
          <w:color w:val="000000"/>
          <w:spacing w:val="0"/>
          <w:position w:val="0"/>
          <w:sz w:val="32"/>
          <w:shd w:val="clear" w:fill="auto"/>
        </w:rPr>
        <w:t>。</w:t>
      </w:r>
      <w:r>
        <w:rPr>
          <w:rFonts w:ascii="仿宋_GB2312" w:hAnsi="仿宋_GB2312" w:eastAsia="仿宋_GB2312" w:cs="仿宋_GB2312"/>
          <w:color w:val="000000"/>
          <w:spacing w:val="0"/>
          <w:position w:val="0"/>
          <w:sz w:val="32"/>
          <w:shd w:val="clear" w:fill="auto"/>
        </w:rPr>
        <w:t>组织监督调研座谈51次，委员和党派成员参与监督857人次，形成并报送重点议题监督报告4份，提出监督意见387条，有效协助党委政府解决问题、改进工作、增进团结。全年组织开展各类履职活动480次，参与委员达到11000多人次，活动次数和参与</w:t>
      </w:r>
      <w:r>
        <w:rPr>
          <w:rFonts w:hint="eastAsia" w:ascii="仿宋_GB2312" w:hAnsi="仿宋_GB2312" w:eastAsia="仿宋_GB2312" w:cs="仿宋_GB2312"/>
          <w:color w:val="000000"/>
          <w:spacing w:val="0"/>
          <w:position w:val="0"/>
          <w:sz w:val="32"/>
          <w:shd w:val="clear" w:fill="auto"/>
        </w:rPr>
        <w:t>人数</w:t>
      </w:r>
      <w:r>
        <w:rPr>
          <w:rFonts w:ascii="仿宋_GB2312" w:hAnsi="仿宋_GB2312" w:eastAsia="仿宋_GB2312" w:cs="仿宋_GB2312"/>
          <w:color w:val="000000"/>
          <w:spacing w:val="0"/>
          <w:position w:val="0"/>
          <w:sz w:val="32"/>
          <w:shd w:val="clear" w:fill="auto"/>
        </w:rPr>
        <w:t>同比</w:t>
      </w:r>
      <w:r>
        <w:rPr>
          <w:rFonts w:hint="eastAsia" w:ascii="仿宋_GB2312" w:hAnsi="仿宋_GB2312" w:eastAsia="仿宋_GB2312" w:cs="仿宋_GB2312"/>
          <w:color w:val="000000"/>
          <w:spacing w:val="0"/>
          <w:position w:val="0"/>
          <w:sz w:val="32"/>
          <w:shd w:val="clear" w:fill="auto"/>
        </w:rPr>
        <w:t>增加</w:t>
      </w:r>
      <w:r>
        <w:rPr>
          <w:rFonts w:ascii="仿宋_GB2312" w:hAnsi="仿宋_GB2312" w:eastAsia="仿宋_GB2312" w:cs="仿宋_GB2312"/>
          <w:color w:val="000000"/>
          <w:spacing w:val="0"/>
          <w:position w:val="0"/>
          <w:sz w:val="32"/>
          <w:shd w:val="clear" w:fill="auto"/>
        </w:rPr>
        <w:t>均超过</w:t>
      </w:r>
      <w:r>
        <w:rPr>
          <w:rFonts w:hint="eastAsia" w:ascii="仿宋_GB2312" w:hAnsi="仿宋_GB2312" w:eastAsia="仿宋_GB2312" w:cs="仿宋_GB2312"/>
          <w:color w:val="000000"/>
          <w:spacing w:val="0"/>
          <w:position w:val="0"/>
          <w:sz w:val="32"/>
          <w:shd w:val="clear" w:fill="auto"/>
        </w:rPr>
        <w:t>1</w:t>
      </w:r>
      <w:r>
        <w:rPr>
          <w:rFonts w:ascii="仿宋_GB2312" w:hAnsi="仿宋_GB2312" w:eastAsia="仿宋_GB2312" w:cs="仿宋_GB2312"/>
          <w:color w:val="000000"/>
          <w:spacing w:val="0"/>
          <w:position w:val="0"/>
          <w:sz w:val="32"/>
          <w:shd w:val="clear" w:fill="auto"/>
        </w:rPr>
        <w:t>00%</w:t>
      </w:r>
      <w:r>
        <w:rPr>
          <w:rFonts w:hint="eastAsia" w:ascii="仿宋_GB2312" w:hAnsi="仿宋_GB2312" w:eastAsia="仿宋_GB2312" w:cs="仿宋_GB2312"/>
          <w:color w:val="000000"/>
          <w:spacing w:val="0"/>
          <w:position w:val="0"/>
          <w:sz w:val="32"/>
          <w:shd w:val="clear" w:fill="auto"/>
        </w:rPr>
        <w:t>。工作制度机制更加成熟定型，在推进中国式现代化的朝阳实践中充分展现了政协担当</w:t>
      </w:r>
      <w:r>
        <w:rPr>
          <w:rFonts w:ascii="仿宋_GB2312" w:hAnsi="仿宋_GB2312" w:eastAsia="仿宋_GB2312" w:cs="仿宋_GB2312"/>
          <w:color w:val="000000"/>
          <w:spacing w:val="0"/>
          <w:position w:val="0"/>
          <w:sz w:val="32"/>
          <w:shd w:val="clear" w:fill="auto"/>
        </w:rPr>
        <w:t>、贡献了政协力量</w:t>
      </w:r>
      <w:r>
        <w:rPr>
          <w:rFonts w:hint="eastAsia" w:ascii="仿宋_GB2312" w:hAnsi="仿宋_GB2312" w:eastAsia="仿宋_GB2312" w:cs="仿宋_GB2312"/>
          <w:color w:val="000000"/>
          <w:spacing w:val="0"/>
          <w:position w:val="0"/>
          <w:sz w:val="32"/>
          <w:shd w:val="clear" w:fill="auto"/>
        </w:rPr>
        <w:t>。</w:t>
      </w:r>
    </w:p>
    <w:p w14:paraId="24458910">
      <w:pPr>
        <w:spacing w:before="0" w:after="0" w:line="600" w:lineRule="auto"/>
        <w:ind w:left="105" w:right="0" w:firstLine="480"/>
        <w:jc w:val="both"/>
        <w:rPr>
          <w:rFonts w:ascii="楷体_GB2312" w:hAnsi="楷体_GB2312" w:eastAsia="楷体_GB2312" w:cs="楷体_GB2312"/>
          <w:color w:val="auto"/>
          <w:spacing w:val="0"/>
          <w:position w:val="0"/>
          <w:sz w:val="32"/>
          <w:shd w:val="clear" w:fill="auto"/>
        </w:rPr>
      </w:pPr>
      <w:r>
        <w:rPr>
          <w:rFonts w:ascii="楷体_GB2312" w:hAnsi="楷体_GB2312" w:eastAsia="楷体_GB2312" w:cs="楷体_GB2312"/>
          <w:color w:val="auto"/>
          <w:spacing w:val="0"/>
          <w:position w:val="0"/>
          <w:sz w:val="32"/>
          <w:shd w:val="clear" w:fill="auto"/>
        </w:rPr>
        <w:t>（二）效果实现情况分析</w:t>
      </w:r>
    </w:p>
    <w:p w14:paraId="009C2E1B">
      <w:pPr>
        <w:spacing w:before="0" w:after="0" w:line="600" w:lineRule="auto"/>
        <w:ind w:left="105" w:right="0" w:firstLine="48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一年来，在中共朝阳区委领导下，区政协常委会以习近平新时代中国特色社会主义思想为指引，紧抓贯彻落实中共中央办公厅《关于加强和改进新时代市县政协工作的意见》和市委、区委配套文件的契机，坚持围绕中心、服务大局，坚持党的领导、统一战线、协商民主有机结合，坚持发扬民主和增进团结相互贯通、建言资政和凝聚共识双向发力，充分发挥人民政协作为专门协商机构作用，守正创新，凝心聚力，勇担使命，为朝阳区各项事业发展作出政协新贡献。</w:t>
      </w:r>
    </w:p>
    <w:p w14:paraId="68F91743">
      <w:pPr>
        <w:spacing w:before="0" w:after="0" w:line="600" w:lineRule="auto"/>
        <w:ind w:left="105" w:right="0" w:firstLine="480"/>
        <w:jc w:val="both"/>
        <w:rPr>
          <w:rFonts w:ascii="黑体" w:hAnsi="黑体" w:eastAsia="黑体" w:cs="黑体"/>
          <w:color w:val="000000"/>
          <w:spacing w:val="0"/>
          <w:position w:val="0"/>
          <w:sz w:val="32"/>
          <w:shd w:val="clear" w:fill="auto"/>
        </w:rPr>
      </w:pPr>
      <w:r>
        <w:rPr>
          <w:rFonts w:ascii="黑体" w:hAnsi="黑体" w:eastAsia="黑体" w:cs="黑体"/>
          <w:color w:val="000000"/>
          <w:spacing w:val="0"/>
          <w:position w:val="0"/>
          <w:sz w:val="32"/>
          <w:shd w:val="clear" w:fill="auto"/>
        </w:rPr>
        <w:t>四、预算管理情况分析</w:t>
      </w:r>
    </w:p>
    <w:p w14:paraId="36091595">
      <w:pPr>
        <w:spacing w:before="0" w:after="0" w:line="600" w:lineRule="auto"/>
        <w:ind w:left="105" w:right="0" w:firstLine="480"/>
        <w:jc w:val="both"/>
        <w:rPr>
          <w:rFonts w:ascii="楷体_GB2312" w:hAnsi="楷体_GB2312" w:eastAsia="楷体_GB2312" w:cs="楷体_GB2312"/>
          <w:color w:val="auto"/>
          <w:spacing w:val="0"/>
          <w:position w:val="0"/>
          <w:sz w:val="32"/>
          <w:shd w:val="clear" w:fill="auto"/>
        </w:rPr>
      </w:pPr>
      <w:r>
        <w:rPr>
          <w:rFonts w:ascii="楷体_GB2312" w:hAnsi="楷体_GB2312" w:eastAsia="楷体_GB2312" w:cs="楷体_GB2312"/>
          <w:color w:val="auto"/>
          <w:spacing w:val="0"/>
          <w:position w:val="0"/>
          <w:sz w:val="32"/>
          <w:shd w:val="clear" w:fill="auto"/>
        </w:rPr>
        <w:t>（一）财务管理</w:t>
      </w:r>
    </w:p>
    <w:p w14:paraId="5BA9100C">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1.财务管理制度健全性</w:t>
      </w:r>
    </w:p>
    <w:p w14:paraId="5B2026B1">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不断加大财务管理制度化、规范化、程序化水平。于修订完善了《政协北京市朝阳区委员会机关财务管理办法》《朝阳区政协机关走访看望政协委员支出管理办法》《朝阳区政协机关慰问活动经费管理办法》，明确各项活动申请流程及报销依据。</w:t>
      </w:r>
    </w:p>
    <w:p w14:paraId="7B7589D2">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2.资金使用合规性和安全性</w:t>
      </w:r>
    </w:p>
    <w:p w14:paraId="7F91F50E">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加强现金、银行存款管理，严格按照资金管理各项法规条例执行。</w:t>
      </w:r>
    </w:p>
    <w:p w14:paraId="0DA50FBF">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3.会计基础信息完善性</w:t>
      </w:r>
    </w:p>
    <w:p w14:paraId="18381447">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加强会计核算学习、完善内控管理体系。</w:t>
      </w:r>
    </w:p>
    <w:p w14:paraId="187FD414">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（二）资产管理</w:t>
      </w:r>
    </w:p>
    <w:p w14:paraId="20F9923E">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建立健全固定资产管理制度，加强固定资产动态库管理，定期盘点，计提折旧和摊销。</w:t>
      </w:r>
    </w:p>
    <w:p w14:paraId="5019D495">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（三）绩效管理</w:t>
      </w:r>
    </w:p>
    <w:p w14:paraId="4A1D29C1">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加强绩效管理，按财政部门要求及时进行预算公开，建立“预算编制有目标，预算执行有监控，预算完成有评价”的全过程预算绩效管理机制。</w:t>
      </w:r>
    </w:p>
    <w:p w14:paraId="4CE959A8">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（四）结转结余率</w:t>
      </w:r>
    </w:p>
    <w:p w14:paraId="78422690">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提高资金使用效率，202</w:t>
      </w:r>
      <w:r>
        <w:rPr>
          <w:rFonts w:hint="eastAsia" w:ascii="仿宋_GB2312" w:hAnsi="仿宋_GB2312" w:eastAsia="仿宋_GB2312" w:cs="仿宋_GB2312"/>
          <w:color w:val="000000"/>
          <w:spacing w:val="0"/>
          <w:position w:val="0"/>
          <w:sz w:val="32"/>
          <w:shd w:val="clear" w:fill="auto"/>
          <w:lang w:val="en-US" w:eastAsia="zh-CN"/>
        </w:rPr>
        <w:t>4</w:t>
      </w:r>
      <w:r>
        <w:rPr>
          <w:rFonts w:ascii="仿宋_GB2312" w:hAnsi="仿宋_GB2312" w:eastAsia="仿宋_GB2312" w:cs="仿宋_GB2312"/>
          <w:color w:val="000000"/>
          <w:spacing w:val="0"/>
          <w:position w:val="0"/>
          <w:sz w:val="32"/>
          <w:shd w:val="clear" w:fill="auto"/>
        </w:rPr>
        <w:t>年我单位无财政结转和结余资金</w:t>
      </w:r>
    </w:p>
    <w:p w14:paraId="47A0DBA7">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（五）部门预决算差异率</w:t>
      </w:r>
    </w:p>
    <w:p w14:paraId="6B273DB4">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依据批复的预算安排各类收支，确保预算严格有效执行。加强决算管理，强化决算分析结果运用，建立健全单位预算与决算相互反映、相互促进的机制。</w:t>
      </w:r>
    </w:p>
    <w:p w14:paraId="522A7CAE">
      <w:pPr>
        <w:spacing w:before="0" w:after="0" w:line="600" w:lineRule="auto"/>
        <w:ind w:left="0" w:right="0" w:firstLine="640"/>
        <w:jc w:val="both"/>
        <w:rPr>
          <w:rFonts w:ascii="仿宋_GB2312" w:hAnsi="仿宋_GB2312" w:eastAsia="仿宋_GB2312" w:cs="仿宋_GB2312"/>
          <w:b/>
          <w:bCs/>
          <w:color w:val="000000"/>
          <w:spacing w:val="0"/>
          <w:position w:val="0"/>
          <w:sz w:val="32"/>
          <w:shd w:val="clear" w:fill="auto"/>
        </w:rPr>
      </w:pPr>
      <w:r>
        <w:rPr>
          <w:rFonts w:ascii="仿宋_GB2312" w:hAnsi="仿宋_GB2312" w:eastAsia="仿宋_GB2312" w:cs="仿宋_GB2312"/>
          <w:b/>
          <w:bCs/>
          <w:color w:val="000000"/>
          <w:spacing w:val="0"/>
          <w:position w:val="0"/>
          <w:sz w:val="32"/>
          <w:shd w:val="clear" w:fill="auto"/>
        </w:rPr>
        <w:t>五、总体评价结论</w:t>
      </w:r>
    </w:p>
    <w:p w14:paraId="2B6F983E">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全部完成202</w:t>
      </w:r>
      <w:r>
        <w:rPr>
          <w:rFonts w:hint="eastAsia" w:ascii="仿宋_GB2312" w:hAnsi="仿宋_GB2312" w:eastAsia="仿宋_GB2312" w:cs="仿宋_GB2312"/>
          <w:color w:val="000000"/>
          <w:spacing w:val="0"/>
          <w:position w:val="0"/>
          <w:sz w:val="32"/>
          <w:shd w:val="clear" w:fill="auto"/>
          <w:lang w:val="en-US" w:eastAsia="zh-CN"/>
        </w:rPr>
        <w:t>4</w:t>
      </w:r>
      <w:r>
        <w:rPr>
          <w:rFonts w:ascii="仿宋_GB2312" w:hAnsi="仿宋_GB2312" w:eastAsia="仿宋_GB2312" w:cs="仿宋_GB2312"/>
          <w:color w:val="000000"/>
          <w:spacing w:val="0"/>
          <w:position w:val="0"/>
          <w:sz w:val="32"/>
          <w:shd w:val="clear" w:fill="auto"/>
        </w:rPr>
        <w:t>年部门绩效目标</w:t>
      </w:r>
    </w:p>
    <w:p w14:paraId="6377D476">
      <w:pPr>
        <w:spacing w:before="0" w:after="0" w:line="600" w:lineRule="auto"/>
        <w:ind w:left="0" w:right="0" w:firstLine="640"/>
        <w:jc w:val="both"/>
        <w:rPr>
          <w:rFonts w:ascii="仿宋_GB2312" w:hAnsi="仿宋_GB2312" w:eastAsia="仿宋_GB2312" w:cs="仿宋_GB2312"/>
          <w:b/>
          <w:bCs/>
          <w:color w:val="000000"/>
          <w:spacing w:val="0"/>
          <w:position w:val="0"/>
          <w:sz w:val="32"/>
          <w:shd w:val="clear" w:fill="auto"/>
        </w:rPr>
      </w:pPr>
      <w:r>
        <w:rPr>
          <w:rFonts w:ascii="仿宋_GB2312" w:hAnsi="仿宋_GB2312" w:eastAsia="仿宋_GB2312" w:cs="仿宋_GB2312"/>
          <w:b/>
          <w:bCs/>
          <w:color w:val="000000"/>
          <w:spacing w:val="0"/>
          <w:position w:val="0"/>
          <w:sz w:val="32"/>
          <w:shd w:val="clear" w:fill="auto"/>
        </w:rPr>
        <w:t>六、措施建议（整改措施、下一步工作举措）</w:t>
      </w:r>
    </w:p>
    <w:p w14:paraId="20A8EA90">
      <w:pPr>
        <w:spacing w:before="0" w:after="0" w:line="600" w:lineRule="auto"/>
        <w:ind w:left="0" w:right="0" w:firstLine="640"/>
        <w:jc w:val="both"/>
        <w:rPr>
          <w:rFonts w:ascii="仿宋_GB2312" w:hAnsi="仿宋_GB2312" w:eastAsia="仿宋_GB2312" w:cs="仿宋_GB2312"/>
          <w:color w:val="000000"/>
          <w:spacing w:val="0"/>
          <w:position w:val="0"/>
          <w:sz w:val="32"/>
          <w:shd w:val="clear" w:fill="auto"/>
        </w:rPr>
      </w:pPr>
      <w:r>
        <w:rPr>
          <w:rFonts w:ascii="仿宋_GB2312" w:hAnsi="仿宋_GB2312" w:eastAsia="仿宋_GB2312" w:cs="仿宋_GB2312"/>
          <w:color w:val="000000"/>
          <w:spacing w:val="0"/>
          <w:position w:val="0"/>
          <w:sz w:val="32"/>
          <w:shd w:val="clear" w:fill="auto"/>
        </w:rPr>
        <w:t>1. 建议加大对基层行政单位绩效管理工作的培训和指导力度，进一步完善各单位自身绩效管理制度，提高单位绩效管理能力。</w:t>
      </w:r>
    </w:p>
    <w:p w14:paraId="7BEC724A">
      <w:pPr>
        <w:spacing w:before="0" w:after="0" w:line="600" w:lineRule="auto"/>
        <w:ind w:left="0" w:right="0" w:firstLine="640"/>
        <w:jc w:val="both"/>
        <w:rPr>
          <w:rFonts w:ascii="Times New Roman" w:hAnsi="Times New Roman" w:eastAsia="Times New Roman" w:cs="Times New Roman"/>
          <w:color w:val="auto"/>
          <w:spacing w:val="0"/>
          <w:position w:val="0"/>
          <w:sz w:val="21"/>
          <w:shd w:val="clear" w:fill="auto"/>
        </w:rPr>
      </w:pPr>
      <w:r>
        <w:rPr>
          <w:rFonts w:ascii="仿宋_GB2312" w:hAnsi="仿宋_GB2312" w:eastAsia="仿宋_GB2312" w:cs="仿宋_GB2312"/>
          <w:color w:val="000000"/>
          <w:spacing w:val="0"/>
          <w:position w:val="0"/>
          <w:sz w:val="32"/>
          <w:shd w:val="clear" w:fill="auto"/>
        </w:rPr>
        <w:t>2. 加强部门绩效数据分析利用工作、部门绩效信息化建设，部门绩效与一体化系统无缝对接建设工作。</w:t>
      </w:r>
      <w:bookmarkStart w:id="0" w:name="_GoBack"/>
      <w:bookmarkEnd w:id="0"/>
    </w:p>
    <w:sectPr>
      <w:pgSz w:w="11906" w:h="16838"/>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splitPgBreakAndParaMark/>
    <w:compatSetting w:name="compatibilityMode" w:uri="http://schemas.microsoft.com/office/word" w:val="12"/>
  </w:compat>
  <w:rsids>
    <w:rsidRoot w:val="00000000"/>
    <w:rsid w:val="3E4C7D0D"/>
    <w:rsid w:val="3E8C418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2021</Words>
  <Characters>2106</Characters>
  <TotalTime>17</TotalTime>
  <ScaleCrop>false</ScaleCrop>
  <LinksUpToDate>false</LinksUpToDate>
  <CharactersWithSpaces>2109</CharactersWithSpaces>
  <Application>WPS Office_12.1.0.20260_F1E327BC-269C-435d-A152-05C5408002CA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2025-02-11T06:47:00Z</dcterms:created>
  <dc:creator>lenovo</dc:creator>
  <cp:lastModifiedBy>jokermmm</cp:lastModifiedBy>
  <dcterms:modified xsi:type="dcterms:W3CDTF">2025-02-12T02:45:00Z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eyJoZGlkIjoiOTA5MTcxYjA0YTEwYzcxNDJjZGQ5ZGQzNjcyNTljMDMiLCJ1c2VySWQiOiIzMTkzMzczNTIifQ==</vt:lpwstr>
  </property>
  <property fmtid="{D5CDD505-2E9C-101B-9397-08002B2CF9AE}" pid="3" name="KSOProductBuildVer">
    <vt:lpwstr>2052-12.1.0.20260</vt:lpwstr>
  </property>
  <property fmtid="{D5CDD505-2E9C-101B-9397-08002B2CF9AE}" pid="4" name="ICV">
    <vt:lpwstr>CFCAC91414C740F0A8C44FB8ED2AFD45_12</vt:lpwstr>
  </property>
</Properties>
</file>