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14" w:name="_GoBack"/>
      <w:bookmarkEnd w:id="14"/>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重点支出项目绩效评价报告</w:t>
      </w:r>
    </w:p>
    <w:p>
      <w:pPr>
        <w:spacing w:line="360" w:lineRule="auto"/>
        <w:ind w:firstLine="2240" w:firstLineChars="7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—2024年城管执法专项费</w:t>
      </w:r>
    </w:p>
    <w:p>
      <w:pPr>
        <w:spacing w:line="360" w:lineRule="auto"/>
        <w:ind w:firstLine="640" w:firstLineChars="200"/>
        <w:outlineLvl w:val="0"/>
        <w:rPr>
          <w:rFonts w:ascii="仿宋_GB2312" w:hAnsi="楷体_GB2312" w:eastAsia="仿宋_GB2312" w:cs="楷体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360" w:lineRule="auto"/>
        <w:ind w:firstLine="643" w:firstLineChars="200"/>
        <w:rPr>
          <w:rFonts w:hint="eastAsia" w:ascii="仿宋_GB2312" w:hAnsi="楷体_GB2312" w:eastAsia="仿宋_GB2312" w:cs="楷体_GB2312"/>
          <w:b/>
          <w:sz w:val="32"/>
          <w:szCs w:val="32"/>
        </w:rPr>
      </w:pPr>
      <w:r>
        <w:rPr>
          <w:rFonts w:hint="eastAsia" w:ascii="仿宋_GB2312" w:hAnsi="楷体_GB2312" w:eastAsia="仿宋_GB2312" w:cs="楷体_GB2312"/>
          <w:b/>
          <w:sz w:val="32"/>
          <w:szCs w:val="32"/>
        </w:rPr>
        <w:t>（一）项目概况</w:t>
      </w:r>
    </w:p>
    <w:p>
      <w:pPr>
        <w:spacing w:line="360" w:lineRule="auto"/>
        <w:ind w:firstLine="640" w:firstLineChars="200"/>
        <w:rPr>
          <w:rFonts w:hint="eastAsia" w:ascii="仿宋_GB2312" w:hAnsi="楷体_GB2312" w:eastAsia="仿宋_GB2312" w:cs="楷体_GB2312"/>
          <w:b/>
          <w:sz w:val="32"/>
          <w:szCs w:val="32"/>
        </w:rPr>
      </w:pPr>
      <w:r>
        <w:rPr>
          <w:rFonts w:hint="eastAsia" w:ascii="仿宋_GB2312" w:hAnsi="楷体_GB2312" w:eastAsia="仿宋_GB2312" w:cs="楷体_GB2312"/>
          <w:sz w:val="32"/>
          <w:szCs w:val="32"/>
        </w:rPr>
        <w:t>1.</w:t>
      </w:r>
      <w:r>
        <w:rPr>
          <w:rFonts w:hint="eastAsia" w:ascii="仿宋_GB2312" w:hAnsi="楷体_GB2312" w:eastAsia="仿宋_GB2312" w:cs="楷体_GB2312"/>
          <w:b/>
          <w:sz w:val="32"/>
          <w:szCs w:val="32"/>
        </w:rPr>
        <w:t>基本情况</w:t>
      </w:r>
    </w:p>
    <w:p>
      <w:pPr>
        <w:spacing w:line="360" w:lineRule="auto"/>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项目名称： 城管执法专项费</w:t>
      </w:r>
    </w:p>
    <w:p>
      <w:pPr>
        <w:spacing w:line="360" w:lineRule="auto"/>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实施单位：北京市朝阳区城市管理综合行政执法局</w:t>
      </w:r>
    </w:p>
    <w:p>
      <w:pPr>
        <w:spacing w:line="360" w:lineRule="auto"/>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项目类型：经常性项目</w:t>
      </w:r>
    </w:p>
    <w:p>
      <w:pPr>
        <w:spacing w:line="360" w:lineRule="auto"/>
        <w:ind w:firstLine="640" w:firstLineChars="200"/>
        <w:rPr>
          <w:rFonts w:hint="eastAsia" w:ascii="仿宋_GB2312" w:hAnsi="楷体_GB2312" w:eastAsia="仿宋_GB2312" w:cs="楷体_GB2312"/>
          <w:sz w:val="32"/>
          <w:szCs w:val="32"/>
          <w:highlight w:val="yellow"/>
        </w:rPr>
      </w:pPr>
      <w:r>
        <w:rPr>
          <w:rFonts w:hint="eastAsia" w:ascii="仿宋_GB2312" w:hAnsi="楷体_GB2312" w:eastAsia="仿宋_GB2312" w:cs="楷体_GB2312"/>
          <w:sz w:val="32"/>
          <w:szCs w:val="32"/>
          <w:highlight w:val="none"/>
        </w:rPr>
        <w:t>项目开始时间：2024年</w:t>
      </w:r>
      <w:r>
        <w:rPr>
          <w:rFonts w:hint="eastAsia" w:ascii="仿宋_GB2312" w:hAnsi="楷体_GB2312" w:eastAsia="仿宋_GB2312" w:cs="楷体_GB2312"/>
          <w:sz w:val="32"/>
          <w:szCs w:val="32"/>
          <w:highlight w:val="none"/>
          <w:lang w:val="en-US" w:eastAsia="zh-CN"/>
        </w:rPr>
        <w:t>7</w:t>
      </w:r>
      <w:r>
        <w:rPr>
          <w:rFonts w:hint="eastAsia" w:ascii="仿宋_GB2312" w:hAnsi="楷体_GB2312" w:eastAsia="仿宋_GB2312" w:cs="楷体_GB2312"/>
          <w:sz w:val="32"/>
          <w:szCs w:val="32"/>
          <w:highlight w:val="none"/>
        </w:rPr>
        <w:t>月</w:t>
      </w:r>
    </w:p>
    <w:p>
      <w:pPr>
        <w:spacing w:line="360" w:lineRule="auto"/>
        <w:ind w:firstLine="640" w:firstLineChars="200"/>
        <w:rPr>
          <w:rFonts w:hint="eastAsia" w:ascii="仿宋_GB2312" w:hAnsi="楷体_GB2312" w:eastAsia="仿宋_GB2312" w:cs="楷体_GB2312"/>
          <w:sz w:val="32"/>
          <w:szCs w:val="32"/>
          <w:highlight w:val="none"/>
        </w:rPr>
      </w:pPr>
      <w:r>
        <w:rPr>
          <w:rFonts w:ascii="仿宋_GB2312" w:hAnsi="楷体_GB2312" w:eastAsia="仿宋_GB2312" w:cs="楷体_GB2312"/>
          <w:sz w:val="32"/>
          <w:szCs w:val="32"/>
          <w:highlight w:val="none"/>
        </w:rPr>
        <w:t>项目结束时间：</w:t>
      </w:r>
      <w:r>
        <w:rPr>
          <w:rFonts w:hint="eastAsia" w:ascii="仿宋_GB2312" w:hAnsi="楷体_GB2312" w:eastAsia="仿宋_GB2312" w:cs="楷体_GB2312"/>
          <w:sz w:val="32"/>
          <w:szCs w:val="32"/>
          <w:highlight w:val="none"/>
        </w:rPr>
        <w:t>2025年</w:t>
      </w:r>
      <w:r>
        <w:rPr>
          <w:rFonts w:hint="eastAsia" w:ascii="仿宋_GB2312" w:hAnsi="楷体_GB2312" w:eastAsia="仿宋_GB2312" w:cs="楷体_GB2312"/>
          <w:sz w:val="32"/>
          <w:szCs w:val="32"/>
          <w:highlight w:val="none"/>
          <w:lang w:val="en-US" w:eastAsia="zh-CN"/>
        </w:rPr>
        <w:t>6</w:t>
      </w:r>
      <w:r>
        <w:rPr>
          <w:rFonts w:hint="eastAsia" w:ascii="仿宋_GB2312" w:hAnsi="楷体_GB2312" w:eastAsia="仿宋_GB2312" w:cs="楷体_GB2312"/>
          <w:sz w:val="32"/>
          <w:szCs w:val="32"/>
          <w:highlight w:val="none"/>
        </w:rPr>
        <w:t>月</w:t>
      </w:r>
    </w:p>
    <w:p>
      <w:pPr>
        <w:spacing w:line="360" w:lineRule="auto"/>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2.项目背景</w:t>
      </w:r>
    </w:p>
    <w:p>
      <w:pPr>
        <w:ind w:firstLine="640" w:firstLineChars="200"/>
      </w:pPr>
      <w:r>
        <w:rPr>
          <w:rFonts w:hint="eastAsia" w:ascii="仿宋_GB2312" w:hAnsi="楷体_GB2312" w:eastAsia="仿宋_GB2312" w:cs="楷体_GB2312"/>
          <w:sz w:val="32"/>
          <w:szCs w:val="32"/>
        </w:rPr>
        <w:t>随着社会经济的迅猛发展和人们生活水平的不断提高,</w:t>
      </w:r>
    </w:p>
    <w:p>
      <w:pPr>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在后勤日益社会化的新形势下,单位食堂建设显得尤为重要,单位食堂已经成为干部职工生活中不可或缺的重要场所。项目的设立可以最大限度地解决干部职工工作餐成本过高、用餐时间不规律、就餐体验感较差等问题</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为满足大家对美好生活的向往和追求，进一步提高生活质量和健康水平，设立“城管执法专项费”项目符合广大干部职工的美好愿景，是一项惠及全局的暖心项目和德政项目。</w:t>
      </w:r>
    </w:p>
    <w:p>
      <w:pPr>
        <w:spacing w:line="360" w:lineRule="auto"/>
        <w:ind w:firstLine="643" w:firstLineChars="200"/>
        <w:outlineLvl w:val="0"/>
        <w:rPr>
          <w:rFonts w:hint="eastAsia" w:ascii="仿宋_GB2312" w:hAnsi="楷体_GB2312" w:eastAsia="仿宋_GB2312" w:cs="楷体_GB2312"/>
          <w:sz w:val="32"/>
          <w:szCs w:val="32"/>
        </w:rPr>
      </w:pPr>
      <w:r>
        <w:rPr>
          <w:rFonts w:hint="eastAsia" w:ascii="仿宋_GB2312" w:hAnsi="楷体_GB2312" w:eastAsia="仿宋_GB2312" w:cs="楷体_GB2312"/>
          <w:b/>
          <w:sz w:val="32"/>
          <w:szCs w:val="32"/>
        </w:rPr>
        <w:t>3.主要内容及实施情况</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highlight w:val="none"/>
        </w:rPr>
        <w:t>按照城管执法局</w:t>
      </w:r>
      <w:r>
        <w:rPr>
          <w:rFonts w:hint="eastAsia" w:ascii="仿宋_GB2312" w:hAnsi="楷体_GB2312" w:eastAsia="仿宋_GB2312" w:cs="楷体_GB2312"/>
          <w:sz w:val="32"/>
          <w:szCs w:val="32"/>
          <w:highlight w:val="none"/>
          <w:lang w:eastAsia="zh-CN"/>
        </w:rPr>
        <w:t>内控制度相关</w:t>
      </w:r>
      <w:r>
        <w:rPr>
          <w:rFonts w:hint="eastAsia" w:ascii="仿宋_GB2312" w:hAnsi="楷体_GB2312" w:eastAsia="仿宋_GB2312" w:cs="楷体_GB2312"/>
          <w:sz w:val="32"/>
          <w:szCs w:val="32"/>
        </w:rPr>
        <w:t>办法，该项目于2024年</w:t>
      </w:r>
      <w:r>
        <w:rPr>
          <w:rFonts w:hint="eastAsia" w:ascii="仿宋_GB2312" w:hAnsi="楷体_GB2312" w:eastAsia="仿宋_GB2312" w:cs="楷体_GB2312"/>
          <w:sz w:val="32"/>
          <w:szCs w:val="32"/>
          <w:lang w:val="en-US" w:eastAsia="zh-CN"/>
        </w:rPr>
        <w:t>7</w:t>
      </w:r>
      <w:r>
        <w:rPr>
          <w:rFonts w:hint="eastAsia" w:ascii="仿宋_GB2312" w:hAnsi="楷体_GB2312" w:eastAsia="仿宋_GB2312" w:cs="楷体_GB2312"/>
          <w:sz w:val="32"/>
          <w:szCs w:val="32"/>
        </w:rPr>
        <w:t>月由招标代理机构采用竞争性磋商办法产生第三方服务商，服务内容为局机关、晨光家园、望京三个办公区职工餐厅提供供餐服务，就餐人数每天大约</w:t>
      </w:r>
      <w:r>
        <w:rPr>
          <w:rFonts w:hint="eastAsia" w:ascii="仿宋_GB2312" w:hAnsi="楷体_GB2312" w:eastAsia="仿宋_GB2312" w:cs="楷体_GB2312"/>
          <w:sz w:val="32"/>
          <w:szCs w:val="32"/>
          <w:highlight w:val="none"/>
          <w:lang w:val="en-US" w:eastAsia="zh-CN"/>
        </w:rPr>
        <w:t>155</w:t>
      </w:r>
      <w:r>
        <w:rPr>
          <w:rFonts w:hint="eastAsia" w:ascii="仿宋_GB2312" w:hAnsi="楷体_GB2312" w:eastAsia="仿宋_GB2312" w:cs="楷体_GB2312"/>
          <w:sz w:val="32"/>
          <w:szCs w:val="32"/>
          <w:highlight w:val="none"/>
        </w:rPr>
        <w:t>人,</w:t>
      </w:r>
      <w:r>
        <w:rPr>
          <w:rFonts w:hint="eastAsia" w:ascii="仿宋_GB2312" w:hAnsi="楷体_GB2312" w:eastAsia="仿宋_GB2312" w:cs="楷体_GB2312"/>
          <w:sz w:val="32"/>
          <w:szCs w:val="32"/>
        </w:rPr>
        <w:t>就餐实行自助餐形式，用餐时间每天分早、中、晚三餐。</w:t>
      </w:r>
    </w:p>
    <w:p>
      <w:pPr>
        <w:spacing w:line="360" w:lineRule="auto"/>
        <w:ind w:firstLine="643" w:firstLineChars="200"/>
        <w:rPr>
          <w:rFonts w:hint="eastAsia" w:ascii="仿宋_GB2312" w:hAnsi="楷体_GB2312" w:eastAsia="仿宋_GB2312" w:cs="楷体_GB2312"/>
          <w:b/>
          <w:sz w:val="32"/>
          <w:szCs w:val="32"/>
        </w:rPr>
      </w:pPr>
      <w:r>
        <w:rPr>
          <w:rFonts w:hint="eastAsia" w:ascii="仿宋_GB2312" w:hAnsi="楷体_GB2312" w:eastAsia="仿宋_GB2312" w:cs="楷体_GB2312"/>
          <w:b/>
          <w:sz w:val="32"/>
          <w:szCs w:val="32"/>
        </w:rPr>
        <w:t>4.资金投入和使用情况</w:t>
      </w:r>
    </w:p>
    <w:p>
      <w:pPr>
        <w:spacing w:line="360" w:lineRule="auto"/>
        <w:ind w:firstLine="640" w:firstLineChars="200"/>
        <w:outlineLvl w:val="0"/>
        <w:rPr>
          <w:rFonts w:hint="eastAsia" w:ascii="仿宋_GB2312" w:hAnsi="楷体_GB2312" w:eastAsia="仿宋_GB2312" w:cs="楷体_GB2312"/>
          <w:sz w:val="32"/>
          <w:szCs w:val="32"/>
        </w:rPr>
      </w:pPr>
      <w:bookmarkStart w:id="0" w:name="OLE_LINK6"/>
      <w:bookmarkStart w:id="1" w:name="OLE_LINK5"/>
      <w:r>
        <w:rPr>
          <w:rFonts w:hint="eastAsia" w:ascii="仿宋_GB2312" w:hAnsi="楷体_GB2312" w:eastAsia="仿宋_GB2312" w:cs="楷体_GB2312"/>
          <w:sz w:val="32"/>
          <w:szCs w:val="32"/>
        </w:rPr>
        <w:t>2024年该项目申请预算金额</w:t>
      </w:r>
      <w:r>
        <w:rPr>
          <w:rFonts w:ascii="仿宋_GB2312" w:hAnsi="楷体_GB2312" w:eastAsia="仿宋_GB2312" w:cs="楷体_GB2312"/>
          <w:sz w:val="32"/>
          <w:szCs w:val="32"/>
        </w:rPr>
        <w:t>122.9136</w:t>
      </w:r>
      <w:r>
        <w:rPr>
          <w:rFonts w:hint="eastAsia" w:ascii="仿宋_GB2312" w:hAnsi="楷体_GB2312" w:eastAsia="仿宋_GB2312" w:cs="楷体_GB2312"/>
          <w:sz w:val="32"/>
          <w:szCs w:val="32"/>
        </w:rPr>
        <w:t>万元，实际批复金额</w:t>
      </w:r>
      <w:r>
        <w:rPr>
          <w:rFonts w:ascii="仿宋_GB2312" w:hAnsi="楷体_GB2312" w:eastAsia="仿宋_GB2312" w:cs="楷体_GB2312"/>
          <w:sz w:val="32"/>
          <w:szCs w:val="32"/>
        </w:rPr>
        <w:t>122.9136</w:t>
      </w:r>
      <w:r>
        <w:rPr>
          <w:rFonts w:hint="eastAsia" w:ascii="仿宋_GB2312" w:hAnsi="楷体_GB2312" w:eastAsia="仿宋_GB2312" w:cs="楷体_GB2312"/>
          <w:sz w:val="32"/>
          <w:szCs w:val="32"/>
        </w:rPr>
        <w:t>万元，截至2024年12月31日，全年预算执行</w:t>
      </w:r>
      <w:r>
        <w:rPr>
          <w:rFonts w:ascii="仿宋_GB2312" w:hAnsi="楷体_GB2312" w:eastAsia="仿宋_GB2312" w:cs="楷体_GB2312"/>
          <w:sz w:val="32"/>
          <w:szCs w:val="32"/>
        </w:rPr>
        <w:t>122.8636</w:t>
      </w:r>
      <w:r>
        <w:rPr>
          <w:rFonts w:hint="eastAsia" w:ascii="仿宋_GB2312" w:hAnsi="楷体_GB2312" w:eastAsia="仿宋_GB2312" w:cs="楷体_GB2312"/>
          <w:sz w:val="32"/>
          <w:szCs w:val="32"/>
        </w:rPr>
        <w:t>万元，财政资金使用率为99.96%。</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该项目经费严格按照单位的财务制度和预算支出范围的使用，由装备财务科统一核算，按照项目计划安排和实际工作情况开支，做到了专款专用，经费均按区财政局印发有关文件、通知精神执行。</w:t>
      </w:r>
    </w:p>
    <w:bookmarkEnd w:id="0"/>
    <w:bookmarkEnd w:id="1"/>
    <w:p>
      <w:pPr>
        <w:spacing w:line="360" w:lineRule="auto"/>
        <w:ind w:firstLine="643" w:firstLineChars="200"/>
        <w:rPr>
          <w:rFonts w:hint="eastAsia" w:ascii="仿宋_GB2312" w:hAnsi="楷体_GB2312" w:eastAsia="仿宋_GB2312" w:cs="楷体_GB2312"/>
          <w:b/>
          <w:sz w:val="32"/>
          <w:szCs w:val="32"/>
        </w:rPr>
      </w:pPr>
      <w:r>
        <w:rPr>
          <w:rFonts w:hint="eastAsia" w:ascii="仿宋_GB2312" w:hAnsi="楷体_GB2312" w:eastAsia="仿宋_GB2312" w:cs="楷体_GB2312"/>
          <w:b/>
          <w:sz w:val="32"/>
          <w:szCs w:val="32"/>
        </w:rPr>
        <w:t>（二）项目绩效目标</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该项目2024年绩效目标：解决我局各办公区人员就餐需求。实际完成情况：已按要求完成该项目支出，能够通过该项目满足三个办公区职工就餐需要，达到保障机构正常运转，保障执法工作顺利开展的绩效目标。</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（一）绩效评价目的、对象和范围</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1.评价目的</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城管执法专项费项目支出的绩效管理工作方式。</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2.评价对象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2024年城管执法专项费</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（二）绩效评价原则、评价指标体系、评价方法、评价标准等。</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1.评价原则</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一是客观公正原则。本次绩效评价工作本着实事求是的原则，站在客观、公正的立场发表评价意见。</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二是科学规范原则。本次绩效评价严格遵循《北京市项目支出绩效评价管理办法》（京财绩效〔2020〕2146号）及《北京市财政局关于2023年推进全面实施预算绩效管理工作的预通知》文件相关规定、要求组织实施。</w:t>
      </w:r>
    </w:p>
    <w:p>
      <w:pPr>
        <w:snapToGrid w:val="0"/>
        <w:spacing w:line="360" w:lineRule="auto"/>
        <w:ind w:firstLine="518" w:firstLineChars="162"/>
        <w:rPr>
          <w:rFonts w:ascii="仿宋_GB2312" w:hAnsi="仿宋" w:eastAsia="仿宋_GB2312"/>
          <w:sz w:val="32"/>
          <w:szCs w:val="32"/>
        </w:rPr>
      </w:pPr>
      <w:r>
        <w:rPr>
          <w:rFonts w:hint="eastAsia" w:ascii="仿宋_GB2312" w:eastAsia="仿宋_GB2312"/>
          <w:color w:val="000000"/>
          <w:kern w:val="0"/>
          <w:sz w:val="32"/>
          <w:szCs w:val="32"/>
        </w:rPr>
        <w:t>三是</w:t>
      </w:r>
      <w:r>
        <w:rPr>
          <w:rFonts w:hint="eastAsia" w:ascii="仿宋_GB2312" w:hAnsi="仿宋" w:eastAsia="仿宋_GB2312"/>
          <w:sz w:val="32"/>
          <w:szCs w:val="32"/>
        </w:rPr>
        <w:t>绩效相关原则。绩效评价针对具体支出及其产出绩效进行评价，结果清晰反映产出和绩效之间的紧密对应关系。</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2.评价指标体系</w:t>
      </w:r>
    </w:p>
    <w:p>
      <w:pPr>
        <w:spacing w:line="360" w:lineRule="auto"/>
        <w:ind w:firstLine="512" w:firstLineChars="160"/>
        <w:rPr>
          <w:rFonts w:ascii="仿宋_GB2312" w:eastAsia="仿宋_GB2312"/>
          <w:color w:val="000000"/>
          <w:kern w:val="0"/>
          <w:sz w:val="32"/>
          <w:szCs w:val="32"/>
        </w:rPr>
      </w:pPr>
      <w:r>
        <w:rPr>
          <w:rFonts w:hint="eastAsia" w:ascii="仿宋_GB2312" w:eastAsia="仿宋_GB2312"/>
          <w:color w:val="000000"/>
          <w:kern w:val="0"/>
          <w:sz w:val="32"/>
          <w:szCs w:val="32"/>
        </w:rPr>
        <w:t>按照《北京市项目支出绩效评价管理办法》（京财绩效〔2020〕2146号）文件，确定了该项目绩效评价指标体系，其中一级指标4个，二级指标6个，三级指标6个，</w:t>
      </w:r>
      <w:r>
        <w:rPr>
          <w:rFonts w:hint="eastAsia" w:ascii="仿宋_GB2312" w:eastAsia="仿宋_GB2312"/>
          <w:bCs/>
          <w:sz w:val="32"/>
          <w:szCs w:val="32"/>
        </w:rPr>
        <w:t>其中定性指标4个，定量指标2个。</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3.评价方法</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根据《北京市项目支出绩效评价管理办法》（京财绩效〔2020〕2146号）文件规定的绩效评价方法，结合项目实际情况，本次绩效评价工作以</w:t>
      </w:r>
      <w:r>
        <w:rPr>
          <w:rFonts w:hint="eastAsia" w:ascii="仿宋_GB2312" w:hAnsi="仿宋" w:eastAsia="仿宋_GB2312"/>
          <w:sz w:val="32"/>
          <w:szCs w:val="32"/>
        </w:rPr>
        <w:t>绩效评价领导小组</w:t>
      </w:r>
      <w:r>
        <w:rPr>
          <w:rFonts w:hint="eastAsia" w:ascii="仿宋_GB2312" w:eastAsia="仿宋_GB2312"/>
          <w:color w:val="000000"/>
          <w:kern w:val="0"/>
          <w:sz w:val="32"/>
          <w:szCs w:val="32"/>
        </w:rPr>
        <w:t>为主，按照全面评价与重点评价相结合、现场评价与非现场评价相结合的方式组织实施。</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4.评价标准</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根据《北京市项目支出绩效评价管理办法》（京财绩效〔2020〕2146号）文件规定的绩效评价标准，结合项目实际情况，本次绩效评价工作采用计划标准，以预先制定的目标、计划、预算、定额作为本次绩效评价的标准。</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（三）绩效评价工作过程。</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根据《北京市朝阳区城市管理综合行政执法局预算绩效管理实施细则》，成立绩效评价领导小组，订立评价流程。</w:t>
      </w:r>
      <w:r>
        <w:rPr>
          <w:rFonts w:hint="eastAsia" w:ascii="仿宋_GB2312" w:eastAsia="仿宋_GB2312"/>
          <w:sz w:val="32"/>
          <w:szCs w:val="32"/>
        </w:rPr>
        <w:t>由</w:t>
      </w:r>
      <w:r>
        <w:rPr>
          <w:rFonts w:hint="eastAsia" w:ascii="仿宋_GB2312" w:hAnsi="仿宋" w:eastAsia="仿宋_GB2312"/>
          <w:sz w:val="32"/>
          <w:szCs w:val="32"/>
        </w:rPr>
        <w:t>“城管执法专项费”</w:t>
      </w:r>
      <w:r>
        <w:rPr>
          <w:rFonts w:hint="eastAsia" w:ascii="仿宋_GB2312" w:eastAsia="仿宋_GB2312"/>
          <w:sz w:val="32"/>
          <w:szCs w:val="32"/>
        </w:rPr>
        <w:t>的项目负责人提交项目总结，并对照2024年初设定的绩效目标，填写《项目支出绩效自评表》，各科室队出1名人员评分，财务人员结合实际经费支出情况，撰写《项目支出绩效评价报告》。</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w:t>
      </w:r>
      <w:r>
        <w:rPr>
          <w:rFonts w:hint="eastAsia" w:ascii="仿宋_GB2312" w:hAnsi="仿宋" w:eastAsia="仿宋_GB2312"/>
          <w:color w:val="000000" w:themeColor="text1"/>
          <w:sz w:val="32"/>
          <w:szCs w:val="32"/>
          <w14:textFill>
            <w14:solidFill>
              <w14:schemeClr w14:val="tx1"/>
            </w14:solidFill>
          </w14:textFill>
        </w:rPr>
        <w:t>项目绩效评价综合得分100分。</w:t>
      </w:r>
    </w:p>
    <w:p>
      <w:pPr>
        <w:spacing w:line="360" w:lineRule="auto"/>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四、绩效评价指标分析</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（一）项目决策情况。</w:t>
      </w:r>
    </w:p>
    <w:p>
      <w:pPr>
        <w:snapToGrid w:val="0"/>
        <w:spacing w:line="360" w:lineRule="auto"/>
        <w:ind w:firstLine="832" w:firstLineChars="260"/>
        <w:rPr>
          <w:rFonts w:ascii="仿宋_GB2312" w:eastAsia="仿宋_GB2312"/>
          <w:bCs/>
          <w:sz w:val="32"/>
          <w:szCs w:val="32"/>
        </w:rPr>
      </w:pPr>
      <w:bookmarkStart w:id="2" w:name="_Toc40971717"/>
      <w:bookmarkStart w:id="3" w:name="_Toc462125903"/>
      <w:r>
        <w:rPr>
          <w:rFonts w:hint="eastAsia" w:ascii="仿宋_GB2312" w:eastAsia="仿宋_GB2312"/>
          <w:bCs/>
          <w:sz w:val="32"/>
          <w:szCs w:val="32"/>
        </w:rPr>
        <w:t>1.目标明确性分析</w:t>
      </w:r>
      <w:bookmarkEnd w:id="2"/>
      <w:bookmarkEnd w:id="3"/>
    </w:p>
    <w:p>
      <w:pPr>
        <w:snapToGrid w:val="0"/>
        <w:spacing w:line="360" w:lineRule="auto"/>
        <w:ind w:firstLine="832" w:firstLineChars="260"/>
        <w:rPr>
          <w:rFonts w:ascii="仿宋_GB2312" w:hAnsi="宋体" w:eastAsia="仿宋_GB2312"/>
          <w:sz w:val="32"/>
          <w:szCs w:val="32"/>
        </w:rPr>
      </w:pPr>
      <w:bookmarkStart w:id="4"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4"/>
      <w:r>
        <w:rPr>
          <w:rFonts w:hint="eastAsia" w:ascii="仿宋_GB2312" w:hAnsi="宋体" w:eastAsia="仿宋_GB2312"/>
          <w:sz w:val="32"/>
          <w:szCs w:val="32"/>
        </w:rPr>
        <w:t xml:space="preserve"> </w:t>
      </w:r>
    </w:p>
    <w:p>
      <w:pPr>
        <w:snapToGrid w:val="0"/>
        <w:spacing w:line="360" w:lineRule="auto"/>
        <w:ind w:firstLine="832" w:firstLineChars="260"/>
        <w:rPr>
          <w:rFonts w:ascii="仿宋_GB2312" w:eastAsia="仿宋_GB2312"/>
          <w:bCs/>
          <w:sz w:val="32"/>
          <w:szCs w:val="32"/>
        </w:rPr>
      </w:pPr>
      <w:bookmarkStart w:id="5" w:name="_Toc40971719"/>
      <w:bookmarkStart w:id="6" w:name="_Toc462125904"/>
      <w:r>
        <w:rPr>
          <w:rFonts w:hint="eastAsia" w:ascii="仿宋_GB2312" w:eastAsia="仿宋_GB2312"/>
          <w:bCs/>
          <w:sz w:val="32"/>
          <w:szCs w:val="32"/>
        </w:rPr>
        <w:t>2.目标合理性分析</w:t>
      </w:r>
      <w:bookmarkEnd w:id="5"/>
      <w:bookmarkEnd w:id="6"/>
    </w:p>
    <w:p>
      <w:pPr>
        <w:snapToGrid w:val="0"/>
        <w:spacing w:line="360" w:lineRule="auto"/>
        <w:ind w:firstLine="832" w:firstLineChars="260"/>
        <w:rPr>
          <w:rFonts w:ascii="仿宋_GB2312" w:eastAsia="仿宋_GB2312"/>
          <w:bCs/>
          <w:sz w:val="32"/>
          <w:szCs w:val="32"/>
        </w:rPr>
      </w:pPr>
      <w:bookmarkStart w:id="7" w:name="_Toc40971720"/>
      <w:r>
        <w:rPr>
          <w:rFonts w:hint="eastAsia" w:ascii="仿宋_GB2312" w:eastAsia="仿宋_GB2312"/>
          <w:bCs/>
          <w:sz w:val="32"/>
          <w:szCs w:val="32"/>
        </w:rPr>
        <w:t>项目目标制定较为合理。符合国家法律法规，符合北京市朝阳区城市管理综合行政执法局的职能要求。</w:t>
      </w:r>
      <w:bookmarkEnd w:id="7"/>
    </w:p>
    <w:p>
      <w:pPr>
        <w:snapToGrid w:val="0"/>
        <w:spacing w:line="360" w:lineRule="auto"/>
        <w:ind w:firstLine="832" w:firstLineChars="260"/>
        <w:rPr>
          <w:rFonts w:ascii="仿宋_GB2312" w:eastAsia="仿宋_GB2312"/>
          <w:bCs/>
          <w:sz w:val="32"/>
          <w:szCs w:val="32"/>
        </w:rPr>
      </w:pPr>
      <w:bookmarkStart w:id="8" w:name="_Toc40971721"/>
      <w:bookmarkStart w:id="9" w:name="_Toc462125905"/>
      <w:r>
        <w:rPr>
          <w:rFonts w:hint="eastAsia" w:ascii="仿宋_GB2312" w:eastAsia="仿宋_GB2312"/>
          <w:bCs/>
          <w:sz w:val="32"/>
          <w:szCs w:val="32"/>
        </w:rPr>
        <w:t>3.目标细化程度分析</w:t>
      </w:r>
      <w:bookmarkEnd w:id="8"/>
      <w:bookmarkEnd w:id="9"/>
    </w:p>
    <w:p>
      <w:pPr>
        <w:snapToGrid w:val="0"/>
        <w:spacing w:line="360" w:lineRule="auto"/>
        <w:ind w:firstLine="832" w:firstLineChars="260"/>
        <w:rPr>
          <w:rFonts w:ascii="仿宋_GB2312" w:eastAsia="仿宋_GB2312"/>
          <w:bCs/>
          <w:color w:val="000000" w:themeColor="text1"/>
          <w:sz w:val="32"/>
          <w:szCs w:val="32"/>
          <w14:textFill>
            <w14:solidFill>
              <w14:schemeClr w14:val="tx1"/>
            </w14:solidFill>
          </w14:textFill>
        </w:rPr>
      </w:pPr>
      <w:bookmarkStart w:id="10" w:name="_Toc40971722"/>
      <w:r>
        <w:rPr>
          <w:rFonts w:hint="eastAsia" w:ascii="仿宋_GB2312" w:eastAsia="仿宋_GB2312"/>
          <w:bCs/>
          <w:sz w:val="32"/>
          <w:szCs w:val="32"/>
        </w:rPr>
        <w:t>依据项目内容，从项目产出数量、产出质量、产出时效、经济成本、社会效益、服务对象满意度指标方面设定了具体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10"/>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（二）项目过程情况。</w:t>
      </w:r>
    </w:p>
    <w:p>
      <w:pPr>
        <w:spacing w:line="360" w:lineRule="auto"/>
        <w:ind w:firstLine="800" w:firstLineChars="250"/>
        <w:rPr>
          <w:rFonts w:ascii="仿宋_GB2312" w:eastAsia="仿宋_GB2312"/>
          <w:color w:val="000000"/>
          <w:kern w:val="0"/>
          <w:sz w:val="32"/>
          <w:szCs w:val="32"/>
        </w:rPr>
      </w:pPr>
      <w:r>
        <w:rPr>
          <w:rFonts w:hint="eastAsia" w:ascii="仿宋_GB2312" w:eastAsia="仿宋_GB2312"/>
          <w:color w:val="000000"/>
          <w:kern w:val="0"/>
          <w:sz w:val="32"/>
          <w:szCs w:val="32"/>
        </w:rPr>
        <w:t>1.资金使用及管理情况评价分析</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（1）资金使用情况</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2024年该项目申请预算金额122.9136万元，实际批复金额122.9136万元，截至2024年12月31日，全年预算执行</w:t>
      </w:r>
      <w:bookmarkStart w:id="11" w:name="OLE_LINK7"/>
      <w:bookmarkStart w:id="12" w:name="OLE_LINK8"/>
      <w:r>
        <w:rPr>
          <w:rFonts w:hint="eastAsia" w:ascii="仿宋_GB2312" w:hAnsi="楷体_GB2312" w:eastAsia="仿宋_GB2312" w:cs="楷体_GB2312"/>
          <w:sz w:val="32"/>
          <w:szCs w:val="32"/>
        </w:rPr>
        <w:t>122.8636</w:t>
      </w:r>
      <w:bookmarkEnd w:id="11"/>
      <w:bookmarkEnd w:id="12"/>
      <w:r>
        <w:rPr>
          <w:rFonts w:hint="eastAsia" w:ascii="仿宋_GB2312" w:hAnsi="楷体_GB2312" w:eastAsia="仿宋_GB2312" w:cs="楷体_GB2312"/>
          <w:sz w:val="32"/>
          <w:szCs w:val="32"/>
        </w:rPr>
        <w:t>万元，财政资金使用率为99.96%。</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（2）资金管理情况</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我局按照《中华人民共和国预算法》《中华人民共和国政府采购法》等相关文件要求进行资金管理，资金使用过程中严把监督审核关，认真落实内部资金审批制度，相关资金信息真实、准确、完整，不存</w:t>
      </w:r>
      <w:r>
        <w:rPr>
          <w:rFonts w:hint="eastAsia" w:ascii="仿宋_GB2312" w:eastAsia="仿宋_GB2312"/>
          <w:sz w:val="32"/>
          <w:szCs w:val="32"/>
        </w:rPr>
        <w:t>在截留或挪用专项资金行为。</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2.项目组织实施情况评价分析</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（1）项目组织实施程序</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我局针对该项目制定了《北京市朝阳区城市管理综合行政执法局城管执法专项项目实施方案、实施计划、管理制度》，从项目概述、组织结构、实施进度计划、安全保障等方面进行了明确，对项目实施具有一定的指导性。</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（2）项目管理制度执行情况</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我局按照《中华人民共和国政府采购实施条例》以及相关政策规定通过竞争性磋商方式确定了该项目的第三方服务商。在项目实施过程中，</w:t>
      </w:r>
      <w:r>
        <w:rPr>
          <w:rFonts w:hint="eastAsia" w:ascii="仿宋_GB2312" w:eastAsia="仿宋_GB2312"/>
          <w:sz w:val="32"/>
          <w:szCs w:val="32"/>
        </w:rPr>
        <w:t>定期召开例会，对第三方服务商人员行为管理、运维工作管理、协同配合管理、服务质量管理进行日常管理。</w:t>
      </w:r>
      <w:r>
        <w:rPr>
          <w:rFonts w:hint="eastAsia" w:ascii="仿宋_GB2312" w:eastAsia="仿宋_GB2312"/>
          <w:color w:val="000000"/>
          <w:kern w:val="0"/>
          <w:sz w:val="32"/>
          <w:szCs w:val="32"/>
        </w:rPr>
        <w:t>项目合同到期后，组织被服务人员对项目的服务内容进行了验收。</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（三）项目产出情况</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项目产出数量分析</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该项目满足三个办公区就餐需求，符合实际情况。</w:t>
      </w:r>
    </w:p>
    <w:p>
      <w:pPr>
        <w:snapToGrid w:val="0"/>
        <w:spacing w:line="360" w:lineRule="auto"/>
        <w:ind w:firstLine="604" w:firstLineChars="189"/>
        <w:rPr>
          <w:rFonts w:hint="eastAsia" w:ascii="仿宋_GB2312" w:hAnsi="仿宋" w:eastAsia="仿宋_GB2312"/>
          <w:color w:val="000000" w:themeColor="text1"/>
          <w:sz w:val="32"/>
          <w:szCs w:val="32"/>
          <w14:textFill>
            <w14:solidFill>
              <w14:schemeClr w14:val="tx1"/>
            </w14:solidFill>
          </w14:textFill>
        </w:rPr>
      </w:pPr>
      <w:bookmarkStart w:id="13" w:name="_Toc462125912"/>
      <w:r>
        <w:rPr>
          <w:rFonts w:hint="eastAsia" w:ascii="仿宋_GB2312" w:hAnsi="仿宋" w:eastAsia="仿宋_GB2312"/>
          <w:color w:val="000000" w:themeColor="text1"/>
          <w:sz w:val="32"/>
          <w:szCs w:val="32"/>
          <w14:textFill>
            <w14:solidFill>
              <w14:schemeClr w14:val="tx1"/>
            </w14:solidFill>
          </w14:textFill>
        </w:rPr>
        <w:t>2.项目产出质量分析</w:t>
      </w:r>
      <w:bookmarkEnd w:id="13"/>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该项目已按要求完成支付，在预算资金有限的情况下，做到饭菜种类较丰富、口味多样、食品卫生安全可靠，切实解决我局三个办公区人员就餐需求，行政机关满意度达95%。</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3.项目产出时效分析</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该项目计划于2024年12月完成，实际于日期2024年12月31日前完成。</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（四）项目效益情况</w:t>
      </w:r>
    </w:p>
    <w:p>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实施部门提供了针对第三方服务商的服务评价报告，报告显示该项目</w:t>
      </w:r>
      <w:r>
        <w:rPr>
          <w:rFonts w:hint="eastAsia" w:ascii="仿宋_GB2312" w:eastAsia="仿宋_GB2312"/>
          <w:smallCaps/>
          <w:color w:val="000000"/>
          <w:sz w:val="32"/>
          <w:szCs w:val="32"/>
        </w:rPr>
        <w:t>运行良好、稳定，符合业务需求，已达到项目预定目标。</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napToGrid w:val="0"/>
        <w:spacing w:line="360" w:lineRule="auto"/>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kern w:val="44"/>
          <w:sz w:val="32"/>
          <w:szCs w:val="32"/>
          <w14:textFill>
            <w14:solidFill>
              <w14:schemeClr w14:val="tx1"/>
            </w14:solidFill>
          </w14:textFill>
        </w:rPr>
        <w:t>（一）加强预算编制的规范性，做到细化、量化、可衡量，完善整体绩效目标管理体系，保证年度预算支出进度和项目完成程度同步，有效控制结余结转资金规模。</w:t>
      </w:r>
      <w:r>
        <w:rPr>
          <w:rFonts w:hint="eastAsia" w:ascii="仿宋_GB2312" w:hAnsi="黑体" w:eastAsia="仿宋_GB2312"/>
          <w:color w:val="000000" w:themeColor="text1"/>
          <w:sz w:val="32"/>
          <w:szCs w:val="32"/>
          <w14:textFill>
            <w14:solidFill>
              <w14:schemeClr w14:val="tx1"/>
            </w14:solidFill>
          </w14:textFill>
        </w:rPr>
        <w:t>进一步细化项目管理控制制度，使之更加完善。</w:t>
      </w:r>
    </w:p>
    <w:p>
      <w:pPr>
        <w:snapToGrid w:val="0"/>
        <w:spacing w:line="360" w:lineRule="auto"/>
        <w:ind w:firstLine="640" w:firstLineChars="200"/>
        <w:rPr>
          <w:rFonts w:ascii="仿宋_GB2312" w:eastAsia="仿宋_GB2312"/>
          <w:bCs/>
          <w:color w:val="000000" w:themeColor="text1"/>
          <w:kern w:val="44"/>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提高绩效意识。科学有效地设定项目绩效目标，细化量化绩效指标，发挥绩效目标的引领和约束作用。</w:t>
      </w:r>
      <w:r>
        <w:rPr>
          <w:rFonts w:hint="eastAsia" w:ascii="仿宋_GB2312" w:eastAsia="仿宋_GB2312"/>
          <w:bCs/>
          <w:color w:val="000000" w:themeColor="text1"/>
          <w:kern w:val="44"/>
          <w:sz w:val="32"/>
          <w:szCs w:val="32"/>
          <w14:textFill>
            <w14:solidFill>
              <w14:schemeClr w14:val="tx1"/>
            </w14:solidFill>
          </w14:textFill>
        </w:rPr>
        <w:t>规范绩效资料归集管理，通过制度约束，及时、完整归集绩效信息资料。</w:t>
      </w:r>
    </w:p>
    <w:p>
      <w:pPr>
        <w:snapToGrid w:val="0"/>
        <w:spacing w:line="360" w:lineRule="auto"/>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（三）提升项目管理水平。重视项目前期准备，细化需求分析，明确年度任务与资金分配依据。进一步提升项目管理的规范性，在有能力的前提下，建立事前评审、事中控制和事后评价绩效管理体系。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snapToGrid w:val="0"/>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45135" cy="230505"/>
              <wp:effectExtent l="0" t="0" r="5715" b="10795"/>
              <wp:wrapNone/>
              <wp:docPr id="2"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right;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9z4b0gAAAAMBAAAPAAAAAAAAAAEA&#10;IAAAACIAAABkcnMvZG93bnJldi54bWxQSwECFAAUAAAACACHTuJA0us1YhUCAAAFBAAADgAAAAAA&#10;AAABACAAAAAhAQAAZHJzL2Uyb0RvYy54bWxQSwUGAAAAAAYABgBZAQAAqAU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86244"/>
    <w:rsid w:val="000A27AF"/>
    <w:rsid w:val="000F1FBA"/>
    <w:rsid w:val="001249FF"/>
    <w:rsid w:val="0015069E"/>
    <w:rsid w:val="00161C76"/>
    <w:rsid w:val="001B7546"/>
    <w:rsid w:val="00202AC0"/>
    <w:rsid w:val="002306DE"/>
    <w:rsid w:val="00262011"/>
    <w:rsid w:val="002A3087"/>
    <w:rsid w:val="002C3FAB"/>
    <w:rsid w:val="00351975"/>
    <w:rsid w:val="003A340B"/>
    <w:rsid w:val="003A5FCC"/>
    <w:rsid w:val="00535388"/>
    <w:rsid w:val="005678A8"/>
    <w:rsid w:val="005D2D08"/>
    <w:rsid w:val="00617E27"/>
    <w:rsid w:val="006366DA"/>
    <w:rsid w:val="006568FD"/>
    <w:rsid w:val="00670772"/>
    <w:rsid w:val="00685FD7"/>
    <w:rsid w:val="00760E25"/>
    <w:rsid w:val="00762AD1"/>
    <w:rsid w:val="00851DD5"/>
    <w:rsid w:val="008C259F"/>
    <w:rsid w:val="008F1EA7"/>
    <w:rsid w:val="0092758A"/>
    <w:rsid w:val="00961423"/>
    <w:rsid w:val="009817A1"/>
    <w:rsid w:val="009D21F8"/>
    <w:rsid w:val="00A47C98"/>
    <w:rsid w:val="00AA41DD"/>
    <w:rsid w:val="00B40A65"/>
    <w:rsid w:val="00B55E31"/>
    <w:rsid w:val="00B70EB5"/>
    <w:rsid w:val="00B75222"/>
    <w:rsid w:val="00BB3BDA"/>
    <w:rsid w:val="00BC1947"/>
    <w:rsid w:val="00BF192F"/>
    <w:rsid w:val="00C06B9B"/>
    <w:rsid w:val="00C06E24"/>
    <w:rsid w:val="00C10C4F"/>
    <w:rsid w:val="00C3520A"/>
    <w:rsid w:val="00C60033"/>
    <w:rsid w:val="00CB2CF1"/>
    <w:rsid w:val="00CC2388"/>
    <w:rsid w:val="00D009C7"/>
    <w:rsid w:val="00D20A35"/>
    <w:rsid w:val="00D33560"/>
    <w:rsid w:val="00DD409D"/>
    <w:rsid w:val="00DE1B79"/>
    <w:rsid w:val="00E229CA"/>
    <w:rsid w:val="00EA31F7"/>
    <w:rsid w:val="00EC550A"/>
    <w:rsid w:val="00F51615"/>
    <w:rsid w:val="00F84B2A"/>
    <w:rsid w:val="00FA7359"/>
    <w:rsid w:val="00FB77BC"/>
    <w:rsid w:val="00FF33E0"/>
    <w:rsid w:val="06FE2F48"/>
    <w:rsid w:val="0D2072BE"/>
    <w:rsid w:val="2B5A27BA"/>
    <w:rsid w:val="37173543"/>
    <w:rsid w:val="3FF76880"/>
    <w:rsid w:val="43744EF9"/>
    <w:rsid w:val="50290C58"/>
    <w:rsid w:val="54642CF3"/>
    <w:rsid w:val="5C073259"/>
    <w:rsid w:val="71AE6998"/>
    <w:rsid w:val="735A34D3"/>
    <w:rsid w:val="73BD6240"/>
    <w:rsid w:val="79A304E1"/>
    <w:rsid w:val="7AB7FF50"/>
    <w:rsid w:val="7BFEB0DB"/>
    <w:rsid w:val="7E3A6EDA"/>
    <w:rsid w:val="CEFD3F3D"/>
    <w:rsid w:val="EA3F77F2"/>
    <w:rsid w:val="EEFE5989"/>
    <w:rsid w:val="EFCF3EAE"/>
    <w:rsid w:val="F5B764A2"/>
    <w:rsid w:val="F77F09F4"/>
    <w:rsid w:val="FFD7BFFC"/>
    <w:rsid w:val="FFFA6B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2993</Words>
  <Characters>3146</Characters>
  <Lines>22</Lines>
  <Paragraphs>6</Paragraphs>
  <TotalTime>0</TotalTime>
  <ScaleCrop>false</ScaleCrop>
  <LinksUpToDate>false</LinksUpToDate>
  <CharactersWithSpaces>3148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2025-02-16T06:04:00Z</dcterms:created>
  <dc:creator>user</dc:creator>
  <cp:lastModifiedBy>wt</cp:lastModifiedBy>
  <cp:lastPrinted>2025-02-17T02:41:00Z</cp:lastPrinted>
  <dcterms:modified xsi:type="dcterms:W3CDTF">2025-08-28T02:12:22Z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KSOTemplateDocerSaveRecord">
    <vt:lpwstr>eyJoZGlkIjoiNGY5ZWQ2YTUzZGNhY2ZhZDBhNDAzYWY1YTNiNTk4OTQifQ==</vt:lpwstr>
  </property>
  <property fmtid="{D5CDD505-2E9C-101B-9397-08002B2CF9AE}" pid="4" name="ICV">
    <vt:lpwstr>30D7CC4111D4485D9F4B4ABED30A36CC_12</vt:lpwstr>
  </property>
</Properties>
</file>