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1-8月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1-8月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，朝阳区实现规模以上工业总产值465.8亿元，同比下降4.9%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1-8月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个行业产值同比增长，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1-8月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  <w:bookmarkStart w:id="0" w:name="_GoBack"/>
      <w:bookmarkEnd w:id="0"/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1-8月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0.2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1.7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1-8月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1-8月</w:t>
      </w:r>
      <w:r>
        <w:rPr>
          <w:rFonts w:hint="eastAsia" w:ascii="宋体" w:hAnsi="宋体" w:cs="宋体"/>
          <w:sz w:val="28"/>
          <w:szCs w:val="28"/>
        </w:rPr>
        <w:t>，朝阳区实现社会消费品零售总额2127.9亿元，同比下降2.3%。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1-8月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[外网信息图.xls]工业!$A$101:$B$118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[外网信息图.xls]工业!$C$101:$C$118</c:f>
              <c:numCache>
                <c:formatCode>0.0_ </c:formatCode>
                <c:ptCount val="18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  <c:pt idx="17">
                  <c:v>-4.9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[外网信息图.xls]投资!$A$101:$B$118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[外网信息图.xls]投资!$C$101:$C$118</c:f>
              <c:numCache>
                <c:formatCode>0.0_ </c:formatCode>
                <c:ptCount val="18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  <c:pt idx="17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[外网信息图.xls]零售额!$A$101:$B$118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[外网信息图.xls]零售额!$C$101:$C$118</c:f>
              <c:numCache>
                <c:formatCode>0.0_ </c:formatCode>
                <c:ptCount val="18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  <c:pt idx="17">
                  <c:v>-2.3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2024-09-19T07:33:55Z</cp:lastPrinted>
  <dcterms:modified xsi:type="dcterms:W3CDTF">2024-09-19T07:34:42Z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